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60"/>
      </w:pPr>
      <w:r>
        <w:rPr>
          <w:b/>
          <w:bCs/>
          <w:color w:val="5C3A1E"/>
          <w:sz w:val="24"/>
          <w:szCs w:val="24"/>
        </w:rPr>
        <w:t xml:space="preserve">第4章　検体の性状と測定妨害</w:t>
      </w:r>
    </w:p>
    <w:p>
      <w:pPr>
        <w:spacing w:after="240"/>
      </w:pPr>
      <w:r>
        <w:rPr>
          <w:b/>
          <w:bCs/>
          <w:color w:val="8A5A2B"/>
          <w:sz w:val="40"/>
          <w:szCs w:val="40"/>
        </w:rPr>
        <w:t xml:space="preserve">4-A　溶血</w:t>
      </w:r>
    </w:p>
    <w:p>
      <w:pPr>
        <w:pBdr>
          <w:bottom w:val="single" w:color="CCCCCC" w:sz="4" w:space="4"/>
        </w:pBdr>
        <w:spacing w:after="300"/>
      </w:pPr>
      <w:r>
        <w:rPr>
          <w:color w:val="888888"/>
          <w:sz w:val="17"/>
          <w:szCs w:val="17"/>
        </w:rPr>
        <w:t xml:space="preserve">対応小項目: a 成因　b 溶血指数　c 偽高値項目　d 偽低値項目　e 許容限界　f 報告方針</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pStyle w:val="Heading1"/>
        <w:pBdr>
          <w:bottom w:val="single" w:color="8A5A2B" w:sz="6" w:space="4"/>
        </w:pBdr>
        <w:spacing w:after="160" w:before="320"/>
      </w:pPr>
      <w:r>
        <w:rPr>
          <w:b/>
          <w:bCs/>
          <w:color w:val="8A5A2B"/>
          <w:sz w:val="32"/>
          <w:szCs w:val="32"/>
        </w:rPr>
        <w:t xml:space="preserve">a　溶血の成因</w:t>
      </w:r>
    </w:p>
    <w:p>
      <w:pPr>
        <w:spacing w:after="140" w:line="300"/>
      </w:pPr>
      <w:r>
        <w:rPr>
          <w:sz w:val="21"/>
          <w:szCs w:val="21"/>
        </w:rPr>
        <w:t xml:space="preserve">溶血とは、赤血球の細胞膜が損傷を受け、赤血球内部の成分が血漿(血清)中に漏れ出す現象をいう。赤血球の中と外とでは成分の濃度が大きく異なるため、いったん溶血が起こると、その検体で測定するほぼすべての項目の値が本来の値からずれてしまう。</w:t>
      </w:r>
    </w:p>
    <w:p>
      <w:pPr>
        <w:spacing w:after="140" w:line="300"/>
      </w:pPr>
      <w:r>
        <w:rPr>
          <w:sz w:val="21"/>
          <w:szCs w:val="21"/>
        </w:rPr>
        <w:t xml:space="preserve">溶血は起こる場所によって2種類に分けて考える必要がある。</w:t>
      </w:r>
    </w:p>
    <w:p>
      <w:pPr>
        <w:spacing w:after="80" w:before="180"/>
      </w:pPr>
      <w:r>
        <w:rPr>
          <w:b/>
          <w:bCs/>
          <w:color w:val="5C3A1E"/>
          <w:sz w:val="22"/>
          <w:szCs w:val="22"/>
        </w:rPr>
        <w:t xml:space="preserve">① 体外溶血(検体としての溶血)</w:t>
      </w:r>
    </w:p>
    <w:p>
      <w:pPr>
        <w:spacing w:after="140" w:line="300"/>
      </w:pPr>
      <w:r>
        <w:rPr>
          <w:sz w:val="21"/>
          <w:szCs w:val="21"/>
        </w:rPr>
        <w:t xml:space="preserve">採血・搬送・保存・遠心など、検体が患者の体を離れてから測定されるまでの過程で人為的に起こる溶血。本章で扱う「溶血」は、原則としてこちらを指す。主な原因は次のとおり。</w:t>
      </w:r>
    </w:p>
    <w:p>
      <w:pPr>
        <w:spacing w:after="80" w:line="280"/>
        <w:ind w:left="340"/>
      </w:pPr>
      <w:r>
        <w:rPr>
          <w:sz w:val="21"/>
          <w:szCs w:val="21"/>
        </w:rPr>
        <w:t xml:space="preserve">・採血手技: 細い注射針での急激な吸引、駆血帯の締めすぎと長時間の駆血、採取した血液を勢いよく試験管へ注入して泡立てること</w:t>
      </w:r>
    </w:p>
    <w:p>
      <w:pPr>
        <w:spacing w:after="80" w:line="280"/>
        <w:ind w:left="340"/>
      </w:pPr>
      <w:r>
        <w:rPr>
          <w:sz w:val="21"/>
          <w:szCs w:val="21"/>
        </w:rPr>
        <w:t xml:space="preserve">・搬送: 気送管(エアシューター)での急激な加減速・振動による物理的な衝撃</w:t>
      </w:r>
    </w:p>
    <w:p>
      <w:pPr>
        <w:spacing w:after="80" w:line="280"/>
        <w:ind w:left="340"/>
      </w:pPr>
      <w:r>
        <w:rPr>
          <w:sz w:val="21"/>
          <w:szCs w:val="21"/>
        </w:rPr>
        <w:t xml:space="preserve">・遠心: 規定より強いG・長い時間での遠心、遠心前の長時間放置</w:t>
      </w:r>
    </w:p>
    <w:p>
      <w:pPr>
        <w:spacing w:after="80" w:line="280"/>
        <w:ind w:left="340"/>
      </w:pPr>
      <w:r>
        <w:rPr>
          <w:sz w:val="21"/>
          <w:szCs w:val="21"/>
        </w:rPr>
        <w:t xml:space="preserve">・保存: 検体の凍結(グリセロール処理をしていない赤血球を凍結すると膜が壊れて溶血する)、高温での放置</w:t>
      </w:r>
    </w:p>
    <w:p>
      <w:pPr>
        <w:spacing w:after="80" w:before="180"/>
      </w:pPr>
      <w:r>
        <w:rPr>
          <w:b/>
          <w:bCs/>
          <w:color w:val="5C3A1E"/>
          <w:sz w:val="22"/>
          <w:szCs w:val="22"/>
        </w:rPr>
        <w:t xml:space="preserve">② 体内溶血(疾患としての溶血)</w:t>
      </w:r>
    </w:p>
    <w:p>
      <w:pPr>
        <w:spacing w:after="140" w:line="300"/>
      </w:pPr>
      <w:r>
        <w:rPr>
          <w:sz w:val="21"/>
          <w:szCs w:val="21"/>
        </w:rPr>
        <w:t xml:space="preserve">患者の体の中で赤血球が壊れている状態。溶血性貧血をはじめとする疾患であり、検体としての溶血(体外溶血)とは原因も対応も異なる。ただし紛らわしいことに、体内で溶血が起きている患者の検体は、体外溶血がなくても血漿中の遊離ヘモグロビンが多く、外見上・測定上は溶血検体と似た挙動を示すことがある。両者の違いは章末のコラムで整理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正常検体(左)と溶血検体(右)の遠心後の外観比較 ※実際の写真をここに挿入</w:t>
            </w:r>
          </w:p>
          <w:p>
            <w:pPr>
              <w:spacing w:after="1200"/>
            </w:pPr>
          </w:p>
        </w:tc>
      </w:tr>
    </w:tbl>
    <w:p>
      <w:pPr>
        <w:pStyle w:val="Heading1"/>
        <w:pBdr>
          <w:bottom w:val="single" w:color="8A5A2B" w:sz="6" w:space="4"/>
        </w:pBdr>
        <w:spacing w:after="160" w:before="320"/>
      </w:pPr>
      <w:r>
        <w:rPr>
          <w:b/>
          <w:bCs/>
          <w:color w:val="8A5A2B"/>
          <w:sz w:val="32"/>
          <w:szCs w:val="32"/>
        </w:rPr>
        <w:t xml:space="preserve">b　溶血指数(H)の測定原理と表示</w:t>
      </w:r>
    </w:p>
    <w:p>
      <w:pPr>
        <w:spacing w:after="140" w:line="300"/>
      </w:pPr>
      <w:r>
        <w:rPr>
          <w:sz w:val="21"/>
          <w:szCs w:val="21"/>
        </w:rPr>
        <w:t xml:space="preserve">多くの自動分析装置は、検体を測定する際に二波長比色測定を行い、そこから演算によって「溶血指数(溶血度、H)」という相対値を算出して表示する機能を持っている。ヘモグロビンは特定の波長で強く吸光するため、その吸光度から血漿中の遊離ヘモグロビンのおおよその濃度を推定するしくみである。</w:t>
      </w:r>
    </w:p>
    <w:p>
      <w:pPr>
        <w:spacing w:after="140" w:line="300"/>
      </w:pPr>
      <w:r>
        <w:rPr>
          <w:sz w:val="21"/>
          <w:szCs w:val="21"/>
        </w:rPr>
        <w:t xml:space="preserve">溶血指数の表示のしかたは施設・機種によって異なり(段階表示、数値表示など)、統一された基準はない。以下の2点を必ず押さえておくこと。</w:t>
      </w:r>
    </w:p>
    <w:p>
      <w:pPr>
        <w:spacing w:after="80" w:line="280"/>
        <w:ind w:left="340"/>
      </w:pPr>
      <w:r>
        <w:rPr>
          <w:sz w:val="21"/>
          <w:szCs w:val="21"/>
        </w:rPr>
        <w:t xml:space="preserve">・① 標準化されていない相対値であるため、機種や施設が違えば同じ検体でも表示される値が異なりうる。他施設の基準をそのまま持ち込むことはできない。</w:t>
      </w:r>
    </w:p>
    <w:p>
      <w:pPr>
        <w:spacing w:after="80" w:line="280"/>
        <w:ind w:left="340"/>
      </w:pPr>
      <w:r>
        <w:rPr>
          <w:sz w:val="21"/>
          <w:szCs w:val="21"/>
        </w:rPr>
        <w:t xml:space="preserve">・② 溶血の程度と赤血球内成分の増分の関係はおおむね比例するが、必ずしも一致するとは限らない。たとえばLDだけが単独で高い場合、溶血以外の原因(悪性腫瘍など)が隠れている可能性もあり、「溶血指数が高いから異常値は無視してよい」と単純に判断するのは危険である。</w:t>
      </w:r>
    </w:p>
    <w:p>
      <w:pPr>
        <w:pStyle w:val="Heading1"/>
        <w:pBdr>
          <w:bottom w:val="single" w:color="8A5A2B" w:sz="6" w:space="4"/>
        </w:pBdr>
        <w:spacing w:after="160" w:before="320"/>
      </w:pPr>
      <w:r>
        <w:rPr>
          <w:b/>
          <w:bCs/>
          <w:color w:val="8A5A2B"/>
          <w:sz w:val="32"/>
          <w:szCs w:val="32"/>
        </w:rPr>
        <w:t xml:space="preserve">c　偽高値となる項目</w:t>
      </w:r>
    </w:p>
    <w:p>
      <w:pPr>
        <w:spacing w:after="140" w:line="300"/>
      </w:pPr>
      <w:r>
        <w:rPr>
          <w:sz w:val="21"/>
          <w:szCs w:val="21"/>
        </w:rPr>
        <w:t xml:space="preserve">赤血球の中に多く含まれる成分ほど、少しの溶血でも血漿中の値が大きく底上げされる。赤血球内濃度が血漿中濃度の何倍あるかという「赤血球/血漿 濃度比」が、そのままその項目の溶血への鋭敏さの目安になる。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750"/>
        <w:gridCol w:w="1800"/>
        <w:gridCol w:w="4000"/>
      </w:tblGrid>
      <w:tr>
        <w:trPr>
          <w:tblHeader/>
        </w:trPr>
        <w:tc>
          <w:tcPr>
            <w:tcW w:type="dxa" w:w="1800"/>
            <w:shd w:fill="E9DDC4" w:val="clear"/>
            <w:tcMar>
              <w:top w:type="dxa" w:w="60"/>
              <w:left w:type="dxa" w:w="100"/>
              <w:bottom w:type="dxa" w:w="60"/>
              <w:right w:type="dxa" w:w="100"/>
            </w:tcMar>
            <w:vAlign w:val="center"/>
          </w:tcPr>
          <w:p>
            <w:pPr>
              <w:jc w:val="center"/>
            </w:pPr>
            <w:r>
              <w:rPr>
                <w:b/>
                <w:bCs/>
                <w:sz w:val="19"/>
                <w:szCs w:val="19"/>
              </w:rPr>
              <w:t xml:space="preserve">項目</w:t>
            </w:r>
          </w:p>
        </w:tc>
        <w:tc>
          <w:tcPr>
            <w:tcW w:type="dxa" w:w="1750"/>
            <w:shd w:fill="E9DDC4" w:val="clear"/>
            <w:tcMar>
              <w:top w:type="dxa" w:w="60"/>
              <w:left w:type="dxa" w:w="100"/>
              <w:bottom w:type="dxa" w:w="60"/>
              <w:right w:type="dxa" w:w="100"/>
            </w:tcMar>
            <w:vAlign w:val="center"/>
          </w:tcPr>
          <w:p>
            <w:pPr>
              <w:jc w:val="center"/>
            </w:pPr>
            <w:r>
              <w:rPr>
                <w:b/>
                <w:bCs/>
                <w:sz w:val="19"/>
                <w:szCs w:val="19"/>
              </w:rPr>
              <w:t xml:space="preserve">赤血球/血漿
濃度比(目安)</w:t>
            </w:r>
          </w:p>
        </w:tc>
        <w:tc>
          <w:tcPr>
            <w:tcW w:type="dxa" w:w="1800"/>
            <w:shd w:fill="E9DDC4" w:val="clear"/>
            <w:tcMar>
              <w:top w:type="dxa" w:w="60"/>
              <w:left w:type="dxa" w:w="100"/>
              <w:bottom w:type="dxa" w:w="60"/>
              <w:right w:type="dxa" w:w="100"/>
            </w:tcMar>
            <w:vAlign w:val="center"/>
          </w:tcPr>
          <w:p>
            <w:pPr>
              <w:jc w:val="center"/>
            </w:pPr>
            <w:r>
              <w:rPr>
                <w:b/>
                <w:bCs/>
                <w:sz w:val="19"/>
                <w:szCs w:val="19"/>
              </w:rPr>
              <w:t xml:space="preserve">溶血への
鋭敏さ</w:t>
            </w:r>
          </w:p>
        </w:tc>
        <w:tc>
          <w:tcPr>
            <w:tcW w:type="dxa" w:w="4000"/>
            <w:shd w:fill="E9DDC4" w:val="clear"/>
            <w:tcMar>
              <w:top w:type="dxa" w:w="60"/>
              <w:left w:type="dxa" w:w="100"/>
              <w:bottom w:type="dxa" w:w="60"/>
              <w:right w:type="dxa" w:w="100"/>
            </w:tcMar>
            <w:vAlign w:val="center"/>
          </w:tcPr>
          <w:p>
            <w:pPr>
              <w:jc w:val="center"/>
            </w:pPr>
            <w:r>
              <w:rPr>
                <w:b/>
                <w:bCs/>
                <w:sz w:val="19"/>
                <w:szCs w:val="19"/>
              </w:rPr>
              <w:t xml:space="preserve">備考</w:t>
            </w:r>
          </w:p>
        </w:tc>
      </w:tr>
      <w:tr>
        <w:tc>
          <w:tcPr>
            <w:tcW w:type="dxa" w:w="1800"/>
            <w:shd w:fill="FFFFFF" w:val="clear"/>
            <w:tcMar>
              <w:top w:type="dxa" w:w="60"/>
              <w:left w:type="dxa" w:w="100"/>
              <w:bottom w:type="dxa" w:w="60"/>
              <w:right w:type="dxa" w:w="100"/>
            </w:tcMar>
            <w:vAlign w:val="center"/>
          </w:tcPr>
          <w:p>
            <w:r>
              <w:rPr>
                <w:sz w:val="19"/>
                <w:szCs w:val="19"/>
              </w:rPr>
              <w:t xml:space="preserve">LD(LDH)</w:t>
            </w:r>
          </w:p>
        </w:tc>
        <w:tc>
          <w:tcPr>
            <w:tcW w:type="dxa" w:w="1750"/>
            <w:shd w:fill="FFFFFF" w:val="clear"/>
            <w:tcMar>
              <w:top w:type="dxa" w:w="60"/>
              <w:left w:type="dxa" w:w="100"/>
              <w:bottom w:type="dxa" w:w="60"/>
              <w:right w:type="dxa" w:w="100"/>
            </w:tcMar>
            <w:vAlign w:val="center"/>
          </w:tcPr>
          <w:p>
            <w:r>
              <w:rPr>
                <w:sz w:val="19"/>
                <w:szCs w:val="19"/>
              </w:rPr>
              <w:t xml:space="preserve">約160倍</w:t>
            </w:r>
          </w:p>
        </w:tc>
        <w:tc>
          <w:tcPr>
            <w:tcW w:type="dxa" w:w="1800"/>
            <w:shd w:fill="FFFFFF" w:val="clear"/>
            <w:tcMar>
              <w:top w:type="dxa" w:w="60"/>
              <w:left w:type="dxa" w:w="100"/>
              <w:bottom w:type="dxa" w:w="60"/>
              <w:right w:type="dxa" w:w="100"/>
            </w:tcMar>
            <w:vAlign w:val="center"/>
          </w:tcPr>
          <w:p>
            <w:r>
              <w:rPr>
                <w:sz w:val="19"/>
                <w:szCs w:val="19"/>
              </w:rPr>
              <w:t xml:space="preserve">非常に高い</w:t>
            </w:r>
          </w:p>
        </w:tc>
        <w:tc>
          <w:tcPr>
            <w:tcW w:type="dxa" w:w="4000"/>
            <w:shd w:fill="FFFFFF" w:val="clear"/>
            <w:tcMar>
              <w:top w:type="dxa" w:w="60"/>
              <w:left w:type="dxa" w:w="100"/>
              <w:bottom w:type="dxa" w:w="60"/>
              <w:right w:type="dxa" w:w="100"/>
            </w:tcMar>
            <w:vAlign w:val="center"/>
          </w:tcPr>
          <w:p>
            <w:r>
              <w:rPr>
                <w:sz w:val="19"/>
                <w:szCs w:val="19"/>
              </w:rPr>
              <w:t xml:space="preserve">溶血に最も敏感な項目。わずかな溶血でも上昇する。LD1・LD2が優位</w:t>
            </w:r>
          </w:p>
        </w:tc>
      </w:tr>
      <w:tr>
        <w:tc>
          <w:tcPr>
            <w:tcW w:type="dxa" w:w="1800"/>
            <w:shd w:fill="FBF6EC" w:val="clear"/>
            <w:tcMar>
              <w:top w:type="dxa" w:w="60"/>
              <w:left w:type="dxa" w:w="100"/>
              <w:bottom w:type="dxa" w:w="60"/>
              <w:right w:type="dxa" w:w="100"/>
            </w:tcMar>
            <w:vAlign w:val="center"/>
          </w:tcPr>
          <w:p>
            <w:r>
              <w:rPr>
                <w:sz w:val="19"/>
                <w:szCs w:val="19"/>
              </w:rPr>
              <w:t xml:space="preserve">AST(GOT)</w:t>
            </w:r>
          </w:p>
        </w:tc>
        <w:tc>
          <w:tcPr>
            <w:tcW w:type="dxa" w:w="1750"/>
            <w:shd w:fill="FBF6EC" w:val="clear"/>
            <w:tcMar>
              <w:top w:type="dxa" w:w="60"/>
              <w:left w:type="dxa" w:w="100"/>
              <w:bottom w:type="dxa" w:w="60"/>
              <w:right w:type="dxa" w:w="100"/>
            </w:tcMar>
            <w:vAlign w:val="center"/>
          </w:tcPr>
          <w:p>
            <w:r>
              <w:rPr>
                <w:sz w:val="19"/>
                <w:szCs w:val="19"/>
              </w:rPr>
              <w:t xml:space="preserve">約20〜40倍</w:t>
            </w:r>
          </w:p>
        </w:tc>
        <w:tc>
          <w:tcPr>
            <w:tcW w:type="dxa" w:w="1800"/>
            <w:shd w:fill="FBF6EC" w:val="clear"/>
            <w:tcMar>
              <w:top w:type="dxa" w:w="60"/>
              <w:left w:type="dxa" w:w="100"/>
              <w:bottom w:type="dxa" w:w="60"/>
              <w:right w:type="dxa" w:w="100"/>
            </w:tcMar>
            <w:vAlign w:val="center"/>
          </w:tcPr>
          <w:p>
            <w:r>
              <w:rPr>
                <w:sz w:val="19"/>
                <w:szCs w:val="19"/>
              </w:rPr>
              <w:t xml:space="preserve">高い</w:t>
            </w:r>
          </w:p>
        </w:tc>
        <w:tc>
          <w:tcPr>
            <w:tcW w:type="dxa" w:w="4000"/>
            <w:shd w:fill="FBF6EC" w:val="clear"/>
            <w:tcMar>
              <w:top w:type="dxa" w:w="60"/>
              <w:left w:type="dxa" w:w="100"/>
              <w:bottom w:type="dxa" w:w="60"/>
              <w:right w:type="dxa" w:w="100"/>
            </w:tcMar>
            <w:vAlign w:val="center"/>
          </w:tcPr>
          <w:p>
            <w:r>
              <w:rPr>
                <w:sz w:val="19"/>
                <w:szCs w:val="19"/>
              </w:rPr>
              <w:t xml:space="preserve">同じ酵素でもALTとは対照的(コラム①参照)</w:t>
            </w:r>
          </w:p>
        </w:tc>
      </w:tr>
      <w:tr>
        <w:tc>
          <w:tcPr>
            <w:tcW w:type="dxa" w:w="1800"/>
            <w:shd w:fill="FFFFFF" w:val="clear"/>
            <w:tcMar>
              <w:top w:type="dxa" w:w="60"/>
              <w:left w:type="dxa" w:w="100"/>
              <w:bottom w:type="dxa" w:w="60"/>
              <w:right w:type="dxa" w:w="100"/>
            </w:tcMar>
            <w:vAlign w:val="center"/>
          </w:tcPr>
          <w:p>
            <w:r>
              <w:rPr>
                <w:sz w:val="19"/>
                <w:szCs w:val="19"/>
              </w:rPr>
              <w:t xml:space="preserve">酸性ホスファターゼ</w:t>
            </w:r>
          </w:p>
        </w:tc>
        <w:tc>
          <w:tcPr>
            <w:tcW w:type="dxa" w:w="1750"/>
            <w:shd w:fill="FFFFFF" w:val="clear"/>
            <w:tcMar>
              <w:top w:type="dxa" w:w="60"/>
              <w:left w:type="dxa" w:w="100"/>
              <w:bottom w:type="dxa" w:w="60"/>
              <w:right w:type="dxa" w:w="100"/>
            </w:tcMar>
            <w:vAlign w:val="center"/>
          </w:tcPr>
          <w:p>
            <w:r>
              <w:rPr>
                <w:sz w:val="19"/>
                <w:szCs w:val="19"/>
              </w:rPr>
              <w:t xml:space="preserve">約67倍</w:t>
            </w:r>
          </w:p>
        </w:tc>
        <w:tc>
          <w:tcPr>
            <w:tcW w:type="dxa" w:w="1800"/>
            <w:shd w:fill="FFFFFF" w:val="clear"/>
            <w:tcMar>
              <w:top w:type="dxa" w:w="60"/>
              <w:left w:type="dxa" w:w="100"/>
              <w:bottom w:type="dxa" w:w="60"/>
              <w:right w:type="dxa" w:w="100"/>
            </w:tcMar>
            <w:vAlign w:val="center"/>
          </w:tcPr>
          <w:p>
            <w:r>
              <w:rPr>
                <w:sz w:val="19"/>
                <w:szCs w:val="19"/>
              </w:rPr>
              <w:t xml:space="preserve">高い</w:t>
            </w:r>
          </w:p>
        </w:tc>
        <w:tc>
          <w:tcPr>
            <w:tcW w:type="dxa" w:w="4000"/>
            <w:shd w:fill="FFFFFF" w:val="clear"/>
            <w:tcMar>
              <w:top w:type="dxa" w:w="60"/>
              <w:left w:type="dxa" w:w="100"/>
              <w:bottom w:type="dxa" w:w="60"/>
              <w:right w:type="dxa" w:w="100"/>
            </w:tcMar>
            <w:vAlign w:val="center"/>
          </w:tcPr>
          <w:p>
            <w:r>
              <w:rPr>
                <w:sz w:val="19"/>
                <w:szCs w:val="19"/>
              </w:rPr>
              <w:t xml:space="preserve"/>
            </w:r>
          </w:p>
        </w:tc>
      </w:tr>
      <w:tr>
        <w:tc>
          <w:tcPr>
            <w:tcW w:type="dxa" w:w="1800"/>
            <w:shd w:fill="FBF6EC" w:val="clear"/>
            <w:tcMar>
              <w:top w:type="dxa" w:w="60"/>
              <w:left w:type="dxa" w:w="100"/>
              <w:bottom w:type="dxa" w:w="60"/>
              <w:right w:type="dxa" w:w="100"/>
            </w:tcMar>
            <w:vAlign w:val="center"/>
          </w:tcPr>
          <w:p>
            <w:r>
              <w:rPr>
                <w:sz w:val="19"/>
                <w:szCs w:val="19"/>
              </w:rPr>
              <w:t xml:space="preserve">K(カリウム)</w:t>
            </w:r>
          </w:p>
        </w:tc>
        <w:tc>
          <w:tcPr>
            <w:tcW w:type="dxa" w:w="1750"/>
            <w:shd w:fill="FBF6EC" w:val="clear"/>
            <w:tcMar>
              <w:top w:type="dxa" w:w="60"/>
              <w:left w:type="dxa" w:w="100"/>
              <w:bottom w:type="dxa" w:w="60"/>
              <w:right w:type="dxa" w:w="100"/>
            </w:tcMar>
            <w:vAlign w:val="center"/>
          </w:tcPr>
          <w:p>
            <w:r>
              <w:rPr>
                <w:sz w:val="19"/>
                <w:szCs w:val="19"/>
              </w:rPr>
              <w:t xml:space="preserve">約23倍</w:t>
            </w:r>
          </w:p>
        </w:tc>
        <w:tc>
          <w:tcPr>
            <w:tcW w:type="dxa" w:w="1800"/>
            <w:shd w:fill="FBF6EC" w:val="clear"/>
            <w:tcMar>
              <w:top w:type="dxa" w:w="60"/>
              <w:left w:type="dxa" w:w="100"/>
              <w:bottom w:type="dxa" w:w="60"/>
              <w:right w:type="dxa" w:w="100"/>
            </w:tcMar>
            <w:vAlign w:val="center"/>
          </w:tcPr>
          <w:p>
            <w:r>
              <w:rPr>
                <w:sz w:val="19"/>
                <w:szCs w:val="19"/>
              </w:rPr>
              <w:t xml:space="preserve">高い</w:t>
            </w:r>
          </w:p>
        </w:tc>
        <w:tc>
          <w:tcPr>
            <w:tcW w:type="dxa" w:w="4000"/>
            <w:shd w:fill="FBF6EC" w:val="clear"/>
            <w:tcMar>
              <w:top w:type="dxa" w:w="60"/>
              <w:left w:type="dxa" w:w="100"/>
              <w:bottom w:type="dxa" w:w="60"/>
              <w:right w:type="dxa" w:w="100"/>
            </w:tcMar>
            <w:vAlign w:val="center"/>
          </w:tcPr>
          <w:p>
            <w:r>
              <w:rPr>
                <w:sz w:val="19"/>
                <w:szCs w:val="19"/>
              </w:rPr>
              <w:t xml:space="preserve">パニック値の誤報告に直結しやすいので特に注意</w:t>
            </w:r>
          </w:p>
        </w:tc>
      </w:tr>
      <w:tr>
        <w:tc>
          <w:tcPr>
            <w:tcW w:type="dxa" w:w="1800"/>
            <w:shd w:fill="FFFFFF" w:val="clear"/>
            <w:tcMar>
              <w:top w:type="dxa" w:w="60"/>
              <w:left w:type="dxa" w:w="100"/>
              <w:bottom w:type="dxa" w:w="60"/>
              <w:right w:type="dxa" w:w="100"/>
            </w:tcMar>
            <w:vAlign w:val="center"/>
          </w:tcPr>
          <w:p>
            <w:r>
              <w:rPr>
                <w:sz w:val="19"/>
                <w:szCs w:val="19"/>
              </w:rPr>
              <w:t xml:space="preserve">NSE(神経特異エノラーゼ)</w:t>
            </w:r>
          </w:p>
        </w:tc>
        <w:tc>
          <w:tcPr>
            <w:tcW w:type="dxa" w:w="1750"/>
            <w:shd w:fill="FFFFFF" w:val="clear"/>
            <w:tcMar>
              <w:top w:type="dxa" w:w="60"/>
              <w:left w:type="dxa" w:w="100"/>
              <w:bottom w:type="dxa" w:w="60"/>
              <w:right w:type="dxa" w:w="100"/>
            </w:tcMar>
            <w:vAlign w:val="center"/>
          </w:tcPr>
          <w:p>
            <w:r>
              <w:rPr>
                <w:sz w:val="19"/>
                <w:szCs w:val="19"/>
              </w:rPr>
              <w:t xml:space="preserve">―</w:t>
            </w:r>
          </w:p>
        </w:tc>
        <w:tc>
          <w:tcPr>
            <w:tcW w:type="dxa" w:w="1800"/>
            <w:shd w:fill="FFFFFF" w:val="clear"/>
            <w:tcMar>
              <w:top w:type="dxa" w:w="60"/>
              <w:left w:type="dxa" w:w="100"/>
              <w:bottom w:type="dxa" w:w="60"/>
              <w:right w:type="dxa" w:w="100"/>
            </w:tcMar>
            <w:vAlign w:val="center"/>
          </w:tcPr>
          <w:p>
            <w:r>
              <w:rPr>
                <w:sz w:val="19"/>
                <w:szCs w:val="19"/>
              </w:rPr>
              <w:t xml:space="preserve">高い</w:t>
            </w:r>
          </w:p>
        </w:tc>
        <w:tc>
          <w:tcPr>
            <w:tcW w:type="dxa" w:w="4000"/>
            <w:shd w:fill="FFFFFF" w:val="clear"/>
            <w:tcMar>
              <w:top w:type="dxa" w:w="60"/>
              <w:left w:type="dxa" w:w="100"/>
              <w:bottom w:type="dxa" w:w="60"/>
              <w:right w:type="dxa" w:w="100"/>
            </w:tcMar>
            <w:vAlign w:val="center"/>
          </w:tcPr>
          <w:p>
            <w:r>
              <w:rPr>
                <w:sz w:val="19"/>
                <w:szCs w:val="19"/>
              </w:rPr>
              <w:t xml:space="preserve">腫瘍マーカー。溶血検体では再採血が必要になることが多い</w:t>
            </w:r>
          </w:p>
        </w:tc>
      </w:tr>
      <w:tr>
        <w:tc>
          <w:tcPr>
            <w:tcW w:type="dxa" w:w="1800"/>
            <w:shd w:fill="FBF6EC" w:val="clear"/>
            <w:tcMar>
              <w:top w:type="dxa" w:w="60"/>
              <w:left w:type="dxa" w:w="100"/>
              <w:bottom w:type="dxa" w:w="60"/>
              <w:right w:type="dxa" w:w="100"/>
            </w:tcMar>
            <w:vAlign w:val="center"/>
          </w:tcPr>
          <w:p>
            <w:r>
              <w:rPr>
                <w:sz w:val="19"/>
                <w:szCs w:val="19"/>
              </w:rPr>
              <w:t xml:space="preserve">総蛋白(TP)</w:t>
            </w:r>
          </w:p>
        </w:tc>
        <w:tc>
          <w:tcPr>
            <w:tcW w:type="dxa" w:w="1750"/>
            <w:shd w:fill="FBF6EC" w:val="clear"/>
            <w:tcMar>
              <w:top w:type="dxa" w:w="60"/>
              <w:left w:type="dxa" w:w="100"/>
              <w:bottom w:type="dxa" w:w="60"/>
              <w:right w:type="dxa" w:w="100"/>
            </w:tcMar>
            <w:vAlign w:val="center"/>
          </w:tcPr>
          <w:p>
            <w:r>
              <w:rPr>
                <w:sz w:val="19"/>
                <w:szCs w:val="19"/>
              </w:rPr>
              <w:t xml:space="preserve">約8.5倍</w:t>
            </w:r>
          </w:p>
        </w:tc>
        <w:tc>
          <w:tcPr>
            <w:tcW w:type="dxa" w:w="1800"/>
            <w:shd w:fill="FBF6EC" w:val="clear"/>
            <w:tcMar>
              <w:top w:type="dxa" w:w="60"/>
              <w:left w:type="dxa" w:w="100"/>
              <w:bottom w:type="dxa" w:w="60"/>
              <w:right w:type="dxa" w:w="100"/>
            </w:tcMar>
            <w:vAlign w:val="center"/>
          </w:tcPr>
          <w:p>
            <w:r>
              <w:rPr>
                <w:sz w:val="19"/>
                <w:szCs w:val="19"/>
              </w:rPr>
              <w:t xml:space="preserve">中程度</w:t>
            </w:r>
          </w:p>
        </w:tc>
        <w:tc>
          <w:tcPr>
            <w:tcW w:type="dxa" w:w="4000"/>
            <w:shd w:fill="FBF6EC" w:val="clear"/>
            <w:tcMar>
              <w:top w:type="dxa" w:w="60"/>
              <w:left w:type="dxa" w:w="100"/>
              <w:bottom w:type="dxa" w:w="60"/>
              <w:right w:type="dxa" w:w="100"/>
            </w:tcMar>
            <w:vAlign w:val="center"/>
          </w:tcPr>
          <w:p>
            <w:r>
              <w:rPr>
                <w:sz w:val="19"/>
                <w:szCs w:val="19"/>
              </w:rPr>
              <w:t xml:space="preserve">ヘモグロビン自体を蛋白として測り込むため、比色妨害を補正しても正誤差が残る</w:t>
            </w:r>
          </w:p>
        </w:tc>
      </w:tr>
      <w:tr>
        <w:tc>
          <w:tcPr>
            <w:tcW w:type="dxa" w:w="1800"/>
            <w:shd w:fill="FFFFFF" w:val="clear"/>
            <w:tcMar>
              <w:top w:type="dxa" w:w="60"/>
              <w:left w:type="dxa" w:w="100"/>
              <w:bottom w:type="dxa" w:w="60"/>
              <w:right w:type="dxa" w:w="100"/>
            </w:tcMar>
            <w:vAlign w:val="center"/>
          </w:tcPr>
          <w:p>
            <w:r>
              <w:rPr>
                <w:sz w:val="19"/>
                <w:szCs w:val="19"/>
              </w:rPr>
              <w:t xml:space="preserve">ALT(GPT)</w:t>
            </w:r>
          </w:p>
        </w:tc>
        <w:tc>
          <w:tcPr>
            <w:tcW w:type="dxa" w:w="1750"/>
            <w:shd w:fill="FFFFFF" w:val="clear"/>
            <w:tcMar>
              <w:top w:type="dxa" w:w="60"/>
              <w:left w:type="dxa" w:w="100"/>
              <w:bottom w:type="dxa" w:w="60"/>
              <w:right w:type="dxa" w:w="100"/>
            </w:tcMar>
            <w:vAlign w:val="center"/>
          </w:tcPr>
          <w:p>
            <w:r>
              <w:rPr>
                <w:sz w:val="19"/>
                <w:szCs w:val="19"/>
              </w:rPr>
              <w:t xml:space="preserve">約7倍</w:t>
            </w:r>
          </w:p>
        </w:tc>
        <w:tc>
          <w:tcPr>
            <w:tcW w:type="dxa" w:w="1800"/>
            <w:shd w:fill="FFFFFF" w:val="clear"/>
            <w:tcMar>
              <w:top w:type="dxa" w:w="60"/>
              <w:left w:type="dxa" w:w="100"/>
              <w:bottom w:type="dxa" w:w="60"/>
              <w:right w:type="dxa" w:w="100"/>
            </w:tcMar>
            <w:vAlign w:val="center"/>
          </w:tcPr>
          <w:p>
            <w:r>
              <w:rPr>
                <w:sz w:val="19"/>
                <w:szCs w:val="19"/>
              </w:rPr>
              <w:t xml:space="preserve">低い</w:t>
            </w:r>
          </w:p>
        </w:tc>
        <w:tc>
          <w:tcPr>
            <w:tcW w:type="dxa" w:w="4000"/>
            <w:shd w:fill="FFFFFF" w:val="clear"/>
            <w:tcMar>
              <w:top w:type="dxa" w:w="60"/>
              <w:left w:type="dxa" w:w="100"/>
              <w:bottom w:type="dxa" w:w="60"/>
              <w:right w:type="dxa" w:w="100"/>
            </w:tcMar>
            <w:vAlign w:val="center"/>
          </w:tcPr>
          <w:p>
            <w:r>
              <w:rPr>
                <w:sz w:val="19"/>
                <w:szCs w:val="19"/>
              </w:rPr>
              <w:t xml:space="preserve">「溶血の影響を受けない」と明記する教科書もある(コラム①参照)</w:t>
            </w:r>
          </w:p>
        </w:tc>
      </w:tr>
      <w:tr>
        <w:tc>
          <w:tcPr>
            <w:tcW w:type="dxa" w:w="1800"/>
            <w:shd w:fill="FBF6EC" w:val="clear"/>
            <w:tcMar>
              <w:top w:type="dxa" w:w="60"/>
              <w:left w:type="dxa" w:w="100"/>
              <w:bottom w:type="dxa" w:w="60"/>
              <w:right w:type="dxa" w:w="100"/>
            </w:tcMar>
            <w:vAlign w:val="center"/>
          </w:tcPr>
          <w:p>
            <w:r>
              <w:rPr>
                <w:sz w:val="19"/>
                <w:szCs w:val="19"/>
              </w:rPr>
              <w:t xml:space="preserve">Mg・リン(無機リン)</w:t>
            </w:r>
          </w:p>
        </w:tc>
        <w:tc>
          <w:tcPr>
            <w:tcW w:type="dxa" w:w="1750"/>
            <w:shd w:fill="FBF6EC" w:val="clear"/>
            <w:tcMar>
              <w:top w:type="dxa" w:w="60"/>
              <w:left w:type="dxa" w:w="100"/>
              <w:bottom w:type="dxa" w:w="60"/>
              <w:right w:type="dxa" w:w="100"/>
            </w:tcMar>
            <w:vAlign w:val="center"/>
          </w:tcPr>
          <w:p>
            <w:r>
              <w:rPr>
                <w:sz w:val="19"/>
                <w:szCs w:val="19"/>
              </w:rPr>
              <w:t xml:space="preserve">―</w:t>
            </w:r>
          </w:p>
        </w:tc>
        <w:tc>
          <w:tcPr>
            <w:tcW w:type="dxa" w:w="1800"/>
            <w:shd w:fill="FBF6EC" w:val="clear"/>
            <w:tcMar>
              <w:top w:type="dxa" w:w="60"/>
              <w:left w:type="dxa" w:w="100"/>
              <w:bottom w:type="dxa" w:w="60"/>
              <w:right w:type="dxa" w:w="100"/>
            </w:tcMar>
            <w:vAlign w:val="center"/>
          </w:tcPr>
          <w:p>
            <w:r>
              <w:rPr>
                <w:sz w:val="19"/>
                <w:szCs w:val="19"/>
              </w:rPr>
              <w:t xml:space="preserve">中程度</w:t>
            </w:r>
          </w:p>
        </w:tc>
        <w:tc>
          <w:tcPr>
            <w:tcW w:type="dxa" w:w="4000"/>
            <w:shd w:fill="FBF6EC" w:val="clear"/>
            <w:tcMar>
              <w:top w:type="dxa" w:w="60"/>
              <w:left w:type="dxa" w:w="100"/>
              <w:bottom w:type="dxa" w:w="60"/>
              <w:right w:type="dxa" w:w="100"/>
            </w:tcMar>
            <w:vAlign w:val="center"/>
          </w:tcPr>
          <w:p>
            <w:r>
              <w:rPr>
                <w:sz w:val="19"/>
                <w:szCs w:val="19"/>
              </w:rPr>
              <w:t xml:space="preserve">赤血球内にも一定量含まれるため、強い溶血でやや上昇しうる</w:t>
            </w:r>
          </w:p>
        </w:tc>
      </w:tr>
      <w:tr>
        <w:tc>
          <w:tcPr>
            <w:tcW w:type="dxa" w:w="1800"/>
            <w:shd w:fill="FFFFFF" w:val="clear"/>
            <w:tcMar>
              <w:top w:type="dxa" w:w="60"/>
              <w:left w:type="dxa" w:w="100"/>
              <w:bottom w:type="dxa" w:w="60"/>
              <w:right w:type="dxa" w:w="100"/>
            </w:tcMar>
            <w:vAlign w:val="center"/>
          </w:tcPr>
          <w:p>
            <w:r>
              <w:rPr>
                <w:sz w:val="19"/>
                <w:szCs w:val="19"/>
              </w:rPr>
              <w:t xml:space="preserve">鉄(Fe)</w:t>
            </w:r>
          </w:p>
        </w:tc>
        <w:tc>
          <w:tcPr>
            <w:tcW w:type="dxa" w:w="1750"/>
            <w:shd w:fill="FFFFFF" w:val="clear"/>
            <w:tcMar>
              <w:top w:type="dxa" w:w="60"/>
              <w:left w:type="dxa" w:w="100"/>
              <w:bottom w:type="dxa" w:w="60"/>
              <w:right w:type="dxa" w:w="100"/>
            </w:tcMar>
            <w:vAlign w:val="center"/>
          </w:tcPr>
          <w:p>
            <w:r>
              <w:rPr>
                <w:sz w:val="19"/>
                <w:szCs w:val="19"/>
              </w:rPr>
              <w:t xml:space="preserve">―</w:t>
            </w:r>
          </w:p>
        </w:tc>
        <w:tc>
          <w:tcPr>
            <w:tcW w:type="dxa" w:w="1800"/>
            <w:shd w:fill="FFFFFF" w:val="clear"/>
            <w:tcMar>
              <w:top w:type="dxa" w:w="60"/>
              <w:left w:type="dxa" w:w="100"/>
              <w:bottom w:type="dxa" w:w="60"/>
              <w:right w:type="dxa" w:w="100"/>
            </w:tcMar>
            <w:vAlign w:val="center"/>
          </w:tcPr>
          <w:p>
            <w:r>
              <w:rPr>
                <w:sz w:val="19"/>
                <w:szCs w:val="19"/>
              </w:rPr>
              <w:t xml:space="preserve">低い(測定法に依存)</w:t>
            </w:r>
          </w:p>
        </w:tc>
        <w:tc>
          <w:tcPr>
            <w:tcW w:type="dxa" w:w="4000"/>
            <w:shd w:fill="FFFFFF" w:val="clear"/>
            <w:tcMar>
              <w:top w:type="dxa" w:w="60"/>
              <w:left w:type="dxa" w:w="100"/>
              <w:bottom w:type="dxa" w:w="60"/>
              <w:right w:type="dxa" w:w="100"/>
            </w:tcMar>
            <w:vAlign w:val="center"/>
          </w:tcPr>
          <w:p>
            <w:r>
              <w:rPr>
                <w:sz w:val="19"/>
                <w:szCs w:val="19"/>
              </w:rPr>
              <w:t xml:space="preserve">赤血球内濃度は高いが、多くの測定法はトランスフェリン結合鉄のみを測るため実際の影響は小さい</w:t>
            </w:r>
          </w:p>
        </w:tc>
      </w:tr>
    </w:tbl>
    <w:p>
      <w:pPr>
        <w:spacing w:after="160" w:before="40"/>
      </w:pPr>
      <w:r>
        <w:rPr>
          <w:i/>
          <w:iCs/>
          <w:color w:val="999999"/>
          <w:sz w:val="16"/>
          <w:szCs w:val="16"/>
        </w:rPr>
        <w:t xml:space="preserve">出典: 出居真由美・三宅一徳「溶血の検査影響」『臨床検査』57巻11号 p.1422-1423、医学書院、2013(表1)/『臨床検査学講座 臨床化学検査学』第3版 表I-15(Caraway 1962による)、医歯薬出版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当院は血清を使用 — この比率表は血漿基準であることに注意</w:t>
            </w:r>
          </w:p>
          <w:p>
            <w:pPr>
              <w:spacing w:after="140" w:line="300"/>
            </w:pPr>
            <w:r>
              <w:rPr>
                <w:sz w:val="20"/>
                <w:szCs w:val="20"/>
              </w:rPr>
              <w:t xml:space="preserve">上の表の「赤血球/血漿 濃度比」は、いずれも血漿検体を基準にした古典的な数値(Caraway, 1962)であり、血清を基準にしたデータではない。当院のように血清を使用している場合、この比率をそのまま「血清でも同じ倍率で影響する」と読み替えないよう注意する。</w:t>
            </w:r>
          </w:p>
          <w:p>
            <w:pPr>
              <w:spacing w:after="140" w:line="300"/>
            </w:pPr>
            <w:r>
              <w:rPr>
                <w:sz w:val="20"/>
                <w:szCs w:val="20"/>
              </w:rPr>
              <w:t xml:space="preserve">血清は血漿に比べて、次の2つの理由でわずかに高値に出やすい項目がある(いずれも「溶血」そのものとは別の、血清特有の理由であることに注意)。</w:t>
            </w:r>
          </w:p>
          <w:p>
            <w:pPr>
              <w:spacing w:after="80" w:line="280"/>
              <w:ind w:left="340"/>
            </w:pPr>
            <w:r>
              <w:rPr>
                <w:sz w:val="20"/>
                <w:szCs w:val="20"/>
              </w:rPr>
              <w:t xml:space="preserve">・K(カリウム): 採血後に血液を凝固させる過程で、血小板などから凝固に伴いKが追加で放出されるため、血清Kは血漿Kよりわずかに高値になりやすい(血小板数が多い患者ほど差が出やすい)</w:t>
            </w:r>
          </w:p>
          <w:p>
            <w:pPr>
              <w:spacing w:after="80" w:line="280"/>
              <w:ind w:left="340"/>
            </w:pPr>
            <w:r>
              <w:rPr>
                <w:sz w:val="20"/>
                <w:szCs w:val="20"/>
              </w:rPr>
              <w:t xml:space="preserve">・LD: 血清を得る過程(凝固・血餅形成)は、血漿を得る過程(抗凝固剤を加えてすぐ遠心)よりも赤血球への機械的な負荷が大きく、機械的な赤血球破壊(=溶血)がより起こりやすい。そのぶんLDの偽高値も血清の方が生じやすい(第63回国家試験PM問13、f節コラム③も参照)</w:t>
            </w:r>
          </w:p>
          <w:p>
            <w:pPr>
              <w:spacing w:after="140" w:line="300"/>
            </w:pPr>
            <w:r>
              <w:rPr>
                <w:sz w:val="20"/>
                <w:szCs w:val="20"/>
              </w:rPr>
              <w:t xml:space="preserve">血清運用の施設では、この表の数値を「最低限これだけの倍率差がある」という目安として捉え、実際の許容限界は自施設のデータで確認することが望ましい。</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AST は溶血で上がるのに、ALT はほとんど動かないのはなぜ?</w:t>
            </w:r>
          </w:p>
          <w:p>
            <w:pPr>
              <w:spacing w:after="140" w:line="300"/>
            </w:pPr>
            <w:r>
              <w:rPr>
                <w:sz w:val="20"/>
                <w:szCs w:val="20"/>
              </w:rPr>
              <w:t xml:space="preserve">AST・ALTはどちらも「肝機能の指標」として並べて習う酵素だが、赤血球内での量には大きな差がある。ASTは肝細胞だけでなく心筋・骨格筋・赤血球にも比較的多く存在し、赤血球内では血漿の20〜40倍の濃度がある。一方ALTは肝細胞に選択的に多く、赤血球内の含量はASTよりずっと少ない(赤血球/血漿比は約7倍)。この分布の違いが、溶血に対する感受性の差としてそのまま表れる。</w:t>
            </w:r>
          </w:p>
          <w:p>
            <w:pPr>
              <w:spacing w:after="140" w:line="300"/>
            </w:pPr>
            <w:r>
              <w:rPr>
                <w:sz w:val="20"/>
                <w:szCs w:val="20"/>
              </w:rPr>
              <w:t xml:space="preserve">国家試験では「溶血検体でAST・ALTのどちらが変化するか」がしばしば問われる。「ASTは上昇するが、ALTはほとんど変化しない」という非対称性を、丸暗記ではなく赤血球内含量の違いから理解しておくと、選択肢の言い回しが変わっても対応できる。</w:t>
            </w:r>
          </w:p>
        </w:tc>
      </w:tr>
    </w:tbl>
    <w:p>
      <w:pPr>
        <w:spacing w:after="160"/>
      </w:pPr>
    </w:p>
    <w:p>
      <w:pPr>
        <w:pStyle w:val="Heading1"/>
        <w:pBdr>
          <w:bottom w:val="single" w:color="8A5A2B" w:sz="6" w:space="4"/>
        </w:pBdr>
        <w:spacing w:after="160" w:before="320"/>
      </w:pPr>
      <w:r>
        <w:rPr>
          <w:b/>
          <w:bCs/>
          <w:color w:val="8A5A2B"/>
          <w:sz w:val="32"/>
          <w:szCs w:val="32"/>
        </w:rPr>
        <w:t xml:space="preserve">d　偽低値となる項目</w:t>
      </w:r>
    </w:p>
    <w:p>
      <w:pPr>
        <w:spacing w:after="140" w:line="300"/>
      </w:pPr>
      <w:r>
        <w:rPr>
          <w:sz w:val="21"/>
          <w:szCs w:val="21"/>
        </w:rPr>
        <w:t xml:space="preserve">反対に、赤血球内にほとんど含まれない成分は、溶血によって血漿が実質的に「薄まる」形になり、見かけ上の値が下がる。また、赤血球から漏れ出した酵素(プロテアーゼ)が特定の物質を分解してしまうために低値になるケースも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9DDC4" w:val="clear"/>
            <w:tcMar>
              <w:top w:type="dxa" w:w="60"/>
              <w:left w:type="dxa" w:w="100"/>
              <w:bottom w:type="dxa" w:w="60"/>
              <w:right w:type="dxa" w:w="100"/>
            </w:tcMar>
            <w:vAlign w:val="center"/>
          </w:tcPr>
          <w:p>
            <w:pPr>
              <w:jc w:val="center"/>
            </w:pPr>
            <w:r>
              <w:rPr>
                <w:b/>
                <w:bCs/>
                <w:sz w:val="19"/>
                <w:szCs w:val="19"/>
              </w:rPr>
              <w:t xml:space="preserve">項目</w:t>
            </w:r>
          </w:p>
        </w:tc>
        <w:tc>
          <w:tcPr>
            <w:tcW w:type="dxa" w:w="6750"/>
            <w:shd w:fill="E9DDC4" w:val="clear"/>
            <w:tcMar>
              <w:top w:type="dxa" w:w="60"/>
              <w:left w:type="dxa" w:w="100"/>
              <w:bottom w:type="dxa" w:w="60"/>
              <w:right w:type="dxa" w:w="100"/>
            </w:tcMar>
            <w:vAlign w:val="center"/>
          </w:tcPr>
          <w:p>
            <w:pPr>
              <w:jc w:val="center"/>
            </w:pPr>
            <w:r>
              <w:rPr>
                <w:b/>
                <w:bCs/>
                <w:sz w:val="19"/>
                <w:szCs w:val="19"/>
              </w:rPr>
              <w:t xml:space="preserve">偽低値になる理由</w:t>
            </w:r>
          </w:p>
        </w:tc>
      </w:tr>
      <w:tr>
        <w:tc>
          <w:tcPr>
            <w:tcW w:type="dxa" w:w="2600"/>
            <w:shd w:fill="FFFFFF" w:val="clear"/>
            <w:tcMar>
              <w:top w:type="dxa" w:w="60"/>
              <w:left w:type="dxa" w:w="100"/>
              <w:bottom w:type="dxa" w:w="60"/>
              <w:right w:type="dxa" w:w="100"/>
            </w:tcMar>
            <w:vAlign w:val="center"/>
          </w:tcPr>
          <w:p>
            <w:r>
              <w:rPr>
                <w:sz w:val="19"/>
                <w:szCs w:val="19"/>
              </w:rPr>
              <w:t xml:space="preserve">Na(ナトリウム)</w:t>
            </w:r>
          </w:p>
        </w:tc>
        <w:tc>
          <w:tcPr>
            <w:tcW w:type="dxa" w:w="6750"/>
            <w:shd w:fill="FFFFFF" w:val="clear"/>
            <w:tcMar>
              <w:top w:type="dxa" w:w="60"/>
              <w:left w:type="dxa" w:w="100"/>
              <w:bottom w:type="dxa" w:w="60"/>
              <w:right w:type="dxa" w:w="100"/>
            </w:tcMar>
            <w:vAlign w:val="center"/>
          </w:tcPr>
          <w:p>
            <w:r>
              <w:rPr>
                <w:sz w:val="19"/>
                <w:szCs w:val="19"/>
              </w:rPr>
              <w:t xml:space="preserve">赤血球内の濃度が血漿よりもずっと低いため、溶血により血漿が希釈されたのと同じ形になり、見かけ上低下する</w:t>
            </w:r>
          </w:p>
        </w:tc>
      </w:tr>
      <w:tr>
        <w:tc>
          <w:tcPr>
            <w:tcW w:type="dxa" w:w="2600"/>
            <w:shd w:fill="FBF6EC" w:val="clear"/>
            <w:tcMar>
              <w:top w:type="dxa" w:w="60"/>
              <w:left w:type="dxa" w:w="100"/>
              <w:bottom w:type="dxa" w:w="60"/>
              <w:right w:type="dxa" w:w="100"/>
            </w:tcMar>
            <w:vAlign w:val="center"/>
          </w:tcPr>
          <w:p>
            <w:r>
              <w:rPr>
                <w:sz w:val="19"/>
                <w:szCs w:val="19"/>
              </w:rPr>
              <w:t xml:space="preserve">ビリルビン</w:t>
            </w:r>
          </w:p>
        </w:tc>
        <w:tc>
          <w:tcPr>
            <w:tcW w:type="dxa" w:w="6750"/>
            <w:shd w:fill="FBF6EC" w:val="clear"/>
            <w:tcMar>
              <w:top w:type="dxa" w:w="60"/>
              <w:left w:type="dxa" w:w="100"/>
              <w:bottom w:type="dxa" w:w="60"/>
              <w:right w:type="dxa" w:w="100"/>
            </w:tcMar>
            <w:vAlign w:val="center"/>
          </w:tcPr>
          <w:p>
            <w:r>
              <w:rPr>
                <w:sz w:val="19"/>
                <w:szCs w:val="19"/>
              </w:rPr>
              <w:t xml:space="preserve">赤血球中にはほとんど存在しないため、Naと同じ理屈で相対的に薄まって低値になりうる。ただし測定法によって挙動が異なることがあり、一律に低値になるとは限らない</w:t>
            </w:r>
          </w:p>
        </w:tc>
      </w:tr>
      <w:tr>
        <w:tc>
          <w:tcPr>
            <w:tcW w:type="dxa" w:w="2600"/>
            <w:shd w:fill="FFFFFF" w:val="clear"/>
            <w:tcMar>
              <w:top w:type="dxa" w:w="60"/>
              <w:left w:type="dxa" w:w="100"/>
              <w:bottom w:type="dxa" w:w="60"/>
              <w:right w:type="dxa" w:w="100"/>
            </w:tcMar>
            <w:vAlign w:val="center"/>
          </w:tcPr>
          <w:p>
            <w:r>
              <w:rPr>
                <w:sz w:val="19"/>
                <w:szCs w:val="19"/>
              </w:rPr>
              <w:t xml:space="preserve">インスリン・BNP・ACTHなどのペプチドホルモン</w:t>
            </w:r>
          </w:p>
        </w:tc>
        <w:tc>
          <w:tcPr>
            <w:tcW w:type="dxa" w:w="6750"/>
            <w:shd w:fill="FFFFFF" w:val="clear"/>
            <w:tcMar>
              <w:top w:type="dxa" w:w="60"/>
              <w:left w:type="dxa" w:w="100"/>
              <w:bottom w:type="dxa" w:w="60"/>
              <w:right w:type="dxa" w:w="100"/>
            </w:tcMar>
            <w:vAlign w:val="center"/>
          </w:tcPr>
          <w:p>
            <w:r>
              <w:rPr>
                <w:sz w:val="19"/>
                <w:szCs w:val="19"/>
              </w:rPr>
              <w:t xml:space="preserve">赤血球から漏出したプロテアーゼによって分解され、偽低値になる</w:t>
            </w:r>
          </w:p>
        </w:tc>
      </w:tr>
      <w:tr>
        <w:tc>
          <w:tcPr>
            <w:tcW w:type="dxa" w:w="2600"/>
            <w:shd w:fill="FBF6EC" w:val="clear"/>
            <w:tcMar>
              <w:top w:type="dxa" w:w="60"/>
              <w:left w:type="dxa" w:w="100"/>
              <w:bottom w:type="dxa" w:w="60"/>
              <w:right w:type="dxa" w:w="100"/>
            </w:tcMar>
            <w:vAlign w:val="center"/>
          </w:tcPr>
          <w:p>
            <w:r>
              <w:rPr>
                <w:sz w:val="19"/>
                <w:szCs w:val="19"/>
              </w:rPr>
              <w:t xml:space="preserve">ハプトグロビン</w:t>
            </w:r>
          </w:p>
        </w:tc>
        <w:tc>
          <w:tcPr>
            <w:tcW w:type="dxa" w:w="6750"/>
            <w:shd w:fill="FBF6EC" w:val="clear"/>
            <w:tcMar>
              <w:top w:type="dxa" w:w="60"/>
              <w:left w:type="dxa" w:w="100"/>
              <w:bottom w:type="dxa" w:w="60"/>
              <w:right w:type="dxa" w:w="100"/>
            </w:tcMar>
            <w:vAlign w:val="center"/>
          </w:tcPr>
          <w:p>
            <w:r>
              <w:rPr>
                <w:sz w:val="19"/>
                <w:szCs w:val="19"/>
              </w:rPr>
              <w:t xml:space="preserve">遊離ヘモグロビンと結合する、体内溶血のときと同じ反応が採血後の検体内でも起こり、見かけ上低く出ることがある。※体内溶血で本当に消費されて下がる場合と紛らわしいので注意(コラム②参照)</w:t>
            </w:r>
          </w:p>
        </w:tc>
      </w:tr>
    </w:tbl>
    <w:p>
      <w:pPr>
        <w:spacing w:after="160" w:before="40"/>
      </w:pPr>
      <w:r>
        <w:rPr>
          <w:i/>
          <w:iCs/>
          <w:color w:val="999999"/>
          <w:sz w:val="16"/>
          <w:szCs w:val="16"/>
        </w:rPr>
        <w:t xml:space="preserve">出典: 出居真由美・三宅一徳「溶血の検査影響」『臨床検査』57巻11号 p.1422-1423、医学書院、2013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「ハプトグロビン低値」には2つの意味がある</w:t>
            </w:r>
          </w:p>
          <w:p>
            <w:pPr>
              <w:spacing w:after="140" w:line="300"/>
            </w:pPr>
            <w:r>
              <w:rPr>
                <w:sz w:val="20"/>
                <w:szCs w:val="20"/>
              </w:rPr>
              <w:t xml:space="preserve">ハプトグロビンは、血漿中に遊離したヘモグロビンと結合して処理する働きを持つ蛋白質である。この「ハプトグロビン低値」という所見は、次の2つの全く違う状況で起こりうる。</w:t>
            </w:r>
          </w:p>
          <w:p>
            <w:pPr>
              <w:spacing w:after="80" w:line="280"/>
              <w:ind w:left="340"/>
            </w:pPr>
            <w:r>
              <w:rPr>
                <w:sz w:val="20"/>
                <w:szCs w:val="20"/>
              </w:rPr>
              <w:t xml:space="preserve">・(1) 患者が溶血性貧血などで体内溶血を起こしている場合: 実際に体内で大量のヘモグロビンが遊離し、ハプトグロビンが結合・消費され尽くして本当に減っている(疾患の所見としてのハプトグロビン低値)</w:t>
            </w:r>
          </w:p>
          <w:p>
            <w:pPr>
              <w:spacing w:after="80" w:line="280"/>
              <w:ind w:left="340"/>
            </w:pPr>
            <w:r>
              <w:rPr>
                <w:sz w:val="20"/>
                <w:szCs w:val="20"/>
              </w:rPr>
              <w:t xml:space="preserve">・(2) 採血した検体そのものが溶血している場合: 体内溶血のときと同じ「ハプトグロビン+遊離ヘモグロビン」の結合反応が、採血後の試験管の中でも起こり、見かけ上低く出る(測定上のアーチファクトとしてのハプトグロビン低値)</w:t>
            </w:r>
          </w:p>
          <w:p>
            <w:pPr>
              <w:spacing w:after="140" w:line="300"/>
            </w:pPr>
            <w:r>
              <w:rPr>
                <w:sz w:val="20"/>
                <w:szCs w:val="20"/>
              </w:rPr>
              <w:t xml:space="preserve">同じ「ハプトグロビン低値」という結果でも、(1)は疾患を疑う所見、(2)は採血・検体のやり直しを検討すべき所見であり、意味がまったく異なる。結果を見るときは、検体の溶血指数と、他の検査値(LD・間接ビリルビン・網赤血球数など)を必ず合わせて確認する。</w:t>
            </w:r>
          </w:p>
        </w:tc>
      </w:tr>
    </w:tbl>
    <w:p>
      <w:pPr>
        <w:spacing w:after="160"/>
      </w:pPr>
    </w:p>
    <w:p>
      <w:pPr>
        <w:pStyle w:val="Heading1"/>
        <w:pBdr>
          <w:bottom w:val="single" w:color="8A5A2B" w:sz="6" w:space="4"/>
        </w:pBdr>
        <w:spacing w:after="160" w:before="320"/>
      </w:pPr>
      <w:r>
        <w:rPr>
          <w:b/>
          <w:bCs/>
          <w:color w:val="8A5A2B"/>
          <w:sz w:val="32"/>
          <w:szCs w:val="32"/>
        </w:rPr>
        <w:t xml:space="preserve">e　溶血の程度と許容限界の考え方</w:t>
      </w:r>
    </w:p>
    <w:p>
      <w:pPr>
        <w:spacing w:after="140" w:line="300"/>
      </w:pPr>
      <w:r>
        <w:rPr>
          <w:sz w:val="21"/>
          <w:szCs w:val="21"/>
        </w:rPr>
        <w:t xml:space="preserve">溶血があっても、その程度が小さく測定値への影響が無視できる範囲であれば、そのまま報告して差し支えない場合もある。どこまでを「許容範囲」とするかは、各項目の測定原理や、施設が設定している精度目標によって異なる。</w:t>
      </w:r>
    </w:p>
    <w:p>
      <w:pPr>
        <w:spacing w:after="140" w:line="300"/>
      </w:pPr>
      <w:r>
        <w:rPr>
          <w:sz w:val="21"/>
          <w:szCs w:val="21"/>
        </w:rPr>
        <w:t xml:space="preserve">一方で、次のような項目は、わずかな溶血でも測定値が大きく動くため、「溶血を起こさないこと」自体が最大の対策になる。</w:t>
      </w:r>
    </w:p>
    <w:p>
      <w:pPr>
        <w:spacing w:after="80" w:line="280"/>
        <w:ind w:left="340"/>
      </w:pPr>
      <w:r>
        <w:rPr>
          <w:sz w:val="21"/>
          <w:szCs w:val="21"/>
        </w:rPr>
        <w:t xml:space="preserve">・黄疸指数、血漿ヘモグロビン値そのもの</w:t>
      </w:r>
    </w:p>
    <w:p>
      <w:pPr>
        <w:spacing w:after="80" w:line="280"/>
        <w:ind w:left="340"/>
      </w:pPr>
      <w:r>
        <w:rPr>
          <w:sz w:val="21"/>
          <w:szCs w:val="21"/>
        </w:rPr>
        <w:t xml:space="preserve">・各種酵素活性(LD・ASTなど)</w:t>
      </w:r>
    </w:p>
    <w:p>
      <w:pPr>
        <w:spacing w:after="80" w:line="280"/>
        <w:ind w:left="340"/>
      </w:pPr>
      <w:r>
        <w:rPr>
          <w:sz w:val="21"/>
          <w:szCs w:val="21"/>
        </w:rPr>
        <w:t xml:space="preserve">・K(カリウム)、Mg(マグネシウム)</w:t>
      </w:r>
    </w:p>
    <w:p>
      <w:pPr>
        <w:spacing w:after="80" w:line="280"/>
        <w:ind w:left="340"/>
      </w:pPr>
      <w:r>
        <w:rPr>
          <w:sz w:val="21"/>
          <w:szCs w:val="21"/>
        </w:rPr>
        <w:t xml:space="preserve">・総コレステロール、鉄 など</w:t>
      </w:r>
    </w:p>
    <w:p>
      <w:pPr>
        <w:spacing w:after="140" w:line="300"/>
      </w:pPr>
      <w:r>
        <w:rPr>
          <w:sz w:val="21"/>
          <w:szCs w:val="21"/>
        </w:rPr>
        <w:t xml:space="preserve">溶血による妨害を客観的に確認する標準的な方法として、ヘモグロビン純品を使った干渉チェック用試薬を用い、濃度を変えながら測定値がどう動くかを見る「用量反応的な確認」がある。この結果と、b節で述べた自動分析装置の溶血指数とを組み合わせて、施設ごとの許容限界(判定基準)を設定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許容限界は施設ごとに違う</w:t>
            </w:r>
          </w:p>
          <w:p>
            <w:pPr>
              <w:spacing w:after="140" w:line="300"/>
            </w:pPr>
            <w:r>
              <w:rPr>
                <w:sz w:val="20"/>
                <w:szCs w:val="20"/>
              </w:rPr>
              <w:t xml:space="preserve">同じ項目でも、使っている試薬・測定原理・分析装置が違えば、溶血の影響の出方も変わる。したがって「K検体は溶血指数がいくつまでなら報告してよいか」といった具体的な数値基準は、施設ごとに個別に定められている。教科書の一般論を丸暗記するのではなく、自施設の基準・SOPを確認して優先することが重要である。</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 当院の例 溶血指数と受け入れ基準の実際</w:t>
            </w:r>
          </w:p>
          <w:p>
            <w:pPr>
              <w:spacing w:after="140" w:line="300"/>
            </w:pPr>
            <w:r>
              <w:rPr>
                <w:sz w:val="20"/>
                <w:szCs w:val="20"/>
              </w:rPr>
              <w:t xml:space="preserve">当院の検体受け入れ基準では、溶血の程度を溶血指数(H値)で数値化し、次のように扱いを分けている。</w:t>
            </w:r>
          </w:p>
          <w:p>
            <w:pPr>
              <w:spacing w:after="80" w:line="280"/>
              <w:ind w:left="340"/>
            </w:pPr>
            <w:r>
              <w:rPr>
                <w:sz w:val="20"/>
                <w:szCs w:val="20"/>
              </w:rPr>
              <w:t xml:space="preserve">・溶血指数30以上、または目視で強溶血と判断できる検体は、原則として受け入れ不適合とし、再採血を依頼する。ただし、依頼が特定の項目(下記の「再採血不要」項目)だけだった場合は、この強溶血の基準に該当していても再採血は不要という例外がある。</w:t>
            </w:r>
          </w:p>
          <w:p>
            <w:pPr>
              <w:spacing w:after="80" w:line="280"/>
              <w:ind w:left="340"/>
            </w:pPr>
            <w:r>
              <w:rPr>
                <w:sz w:val="20"/>
                <w:szCs w:val="20"/>
              </w:rPr>
              <w:t xml:space="preserve">・溶血指数20以上の検体では、項目によって再採血の要否がさらに細かく分かれる。K・AST・LD、そしてインスリン・ACTH・BNPといったペプチドホルモン類は再採血が必要になる(インスリン・ACTH・BNPが再採血対象に入っているのは、d節で述べた「赤血球から漏出したプロテアーゼによる分解」という、K・AST・LDとは別の機序で影響を受けるためである)。一方、CEA・AFP・CA19-9・CA125・CA15-3・PSA・SCC抗原・ProGRP・シフラといった腫瘍マーカー類と、当院で使っている特定の免疫測定装置(ARCHITECT)で測る項目は、強い溶血があっても再採血不要という扱いになっている。</w:t>
            </w:r>
          </w:p>
          <w:p>
            <w:pPr>
              <w:spacing w:after="140" w:line="300"/>
            </w:pPr>
            <w:r>
              <w:rPr>
                <w:sz w:val="20"/>
                <w:szCs w:val="20"/>
              </w:rPr>
              <w:t xml:space="preserve">注意したいのは、この「再採血不要」の腫瘍マーカー群に、c節で名前を挙げたNSE(神経特異エノラーゼ)は含まれていない点である。NSEは腫瘍マーカーではあるが、エノラーゼという酵素そのものが赤血球内に大量に存在するため、LDやASTと同じ「赤血球内成分の混入」で本当に値が動いてしまう。同じ「腫瘍マーカー」でも、抗原の量が赤血球にほとんど無いために測定原理上ほぼ影響を受けないもの(CEA・AFP等)と、赤血球内の含有量が多いために影響を受けるもの(NSE)とがあり、一律に「腫瘍マーカーだから溶血に強い」とはいえないことがこの例からも分かる。教科書の一般論(c・d節の表)と、自施設が実際に定めている数値基準・項目別の扱い(この例)は、混同せず別々に押さえておくこと。数値そのものは自施設のSOPで必ず確認すること。</w:t>
            </w:r>
          </w:p>
        </w:tc>
      </w:tr>
    </w:tbl>
    <w:p>
      <w:pPr>
        <w:spacing w:after="160"/>
      </w:pPr>
    </w:p>
    <w:p>
      <w:pPr>
        <w:pStyle w:val="Heading1"/>
        <w:pBdr>
          <w:bottom w:val="single" w:color="8A5A2B" w:sz="6" w:space="4"/>
        </w:pBdr>
        <w:spacing w:after="160" w:before="320"/>
      </w:pPr>
      <w:r>
        <w:rPr>
          <w:b/>
          <w:bCs/>
          <w:color w:val="8A5A2B"/>
          <w:sz w:val="32"/>
          <w:szCs w:val="32"/>
        </w:rPr>
        <w:t xml:space="preserve">f　溶血検体の報告方針</w:t>
      </w:r>
    </w:p>
    <w:p>
      <w:pPr>
        <w:spacing w:after="140" w:line="300"/>
      </w:pPr>
      <w:r>
        <w:rPr>
          <w:sz w:val="21"/>
          <w:szCs w:val="21"/>
        </w:rPr>
        <w:t xml:space="preserve">溶血が疑われる検体を扱うときの基本的な流れは、おおむね次のとおりである。</w:t>
      </w:r>
    </w:p>
    <w:p>
      <w:pPr>
        <w:spacing w:after="80" w:line="280"/>
        <w:ind w:left="340"/>
      </w:pPr>
      <w:r>
        <w:rPr>
          <w:sz w:val="21"/>
          <w:szCs w:val="21"/>
        </w:rPr>
        <w:t xml:space="preserve">・① 検体情報(溶血の有無・程度)と、測定結果(異常値・パニック値の有無)を確認する</w:t>
      </w:r>
    </w:p>
    <w:p>
      <w:pPr>
        <w:spacing w:after="80" w:line="280"/>
        <w:ind w:left="340"/>
      </w:pPr>
      <w:r>
        <w:rPr>
          <w:sz w:val="21"/>
          <w:szCs w:val="21"/>
        </w:rPr>
        <w:t xml:space="preserve">・② 溶血がある場合は検体そのものを目視でも確認し、ない場合は前回値と比較する</w:t>
      </w:r>
    </w:p>
    <w:p>
      <w:pPr>
        <w:spacing w:after="80" w:line="280"/>
        <w:ind w:left="340"/>
      </w:pPr>
      <w:r>
        <w:rPr>
          <w:sz w:val="21"/>
          <w:szCs w:val="21"/>
        </w:rPr>
        <w:t xml:space="preserve">・③ パニック値・異常値が出ている項目については、反応過程(タイムコース)を確認し、必要に応じて再検する</w:t>
      </w:r>
    </w:p>
    <w:p>
      <w:pPr>
        <w:spacing w:after="80" w:line="280"/>
        <w:ind w:left="340"/>
      </w:pPr>
      <w:r>
        <w:rPr>
          <w:sz w:val="21"/>
          <w:szCs w:val="21"/>
        </w:rPr>
        <w:t xml:space="preserve">・④ 異常反応が疑われる場合、生理食塩水などで希釈しての再測定、添加回収試験、測定原理の異なる方法での確認、のいずれかで妨害の有無を精査する</w:t>
      </w:r>
    </w:p>
    <w:p>
      <w:pPr>
        <w:spacing w:after="80" w:line="280"/>
        <w:ind w:left="340"/>
      </w:pPr>
      <w:r>
        <w:rPr>
          <w:sz w:val="21"/>
          <w:szCs w:val="21"/>
        </w:rPr>
        <w:t xml:space="preserve">・⑤ 報告が遅れる場合は状況を担当医へ速やかに連絡し、最終結果が出たら改めて連絡する</w:t>
      </w:r>
    </w:p>
    <w:p>
      <w:pPr>
        <w:spacing w:after="140" w:line="300"/>
      </w:pPr>
      <w:r>
        <w:rPr>
          <w:sz w:val="21"/>
          <w:szCs w:val="21"/>
        </w:rPr>
        <w:t xml:space="preserve">最終的にとる対応は、大きく分けて「再採血を依頼する」「コメントを付けて報告する」「報告を見合わせて確認を急ぐ」の3通りがある。どれを選ぶかは、溶血の程度、項目の重要度・緊急度、再採血のしやすさなど複数の要素で決まり、施設ごとに手順が異なる。臨地実習では、自施設(実習先)の手順を確認し、それを最優先することを徹底するこ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 当院の例 検体の性状異常と確認方法の対応表</w:t>
            </w:r>
          </w:p>
          <w:p>
            <w:pPr>
              <w:spacing w:after="140" w:line="300"/>
            </w:pPr>
            <w:r>
              <w:rPr>
                <w:sz w:val="20"/>
                <w:szCs w:val="20"/>
              </w:rPr>
              <w:t xml:space="preserve">当院では、パニック値など緊急性の高い異常値に遭遇した際、検体の性状ごとに「何が影響を受けうるか」「どう確認するか」をあらかじめ対応づけている。溶血であればKへの影響を疑い検体の色調と溶血指数を確認する、フィブリン析出であれば血小板数への影響を疑い鏡検で凝集の有無を確認する、検体の凝固であれば血小板数・Hb・血液ガスへの影響を疑い目視で確認する、といった具合である。本節②の「検体そのものを目視でも確認する」という手順を、実際の業務でどう具体化するかの一例として参考にするとよい。</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③ 血清と血漿で、LDの偽高値の出方は同じ?</w:t>
            </w:r>
          </w:p>
          <w:p>
            <w:pPr>
              <w:spacing w:after="140" w:line="300"/>
            </w:pPr>
            <w:r>
              <w:rPr>
                <w:sz w:val="20"/>
                <w:szCs w:val="20"/>
              </w:rPr>
              <w:t xml:space="preserve">採血管の種類(血清用・血漿用)によっても、溶血の影響の出方に違いが生じることがある。国家試験でも「血清と比較した血漿検体の特徴」として、血漿のほうがLDの偽高値が起こりにくいという趣旨の内容が問われたことがある。</w:t>
            </w:r>
          </w:p>
          <w:p>
            <w:pPr>
              <w:spacing w:after="140" w:line="300"/>
            </w:pPr>
            <w:r>
              <w:rPr>
                <w:sz w:val="20"/>
                <w:szCs w:val="20"/>
              </w:rPr>
              <w:t xml:space="preserve">これは、血清を得る過程(いったん凝固させてから遠心する)が、血漿を得る過程(抗凝固剤を加えてすぐ遠心する)よりも赤血球への機械的な負荷が大きく、機械的な赤血球破壊(=溶血)がより起こりやすいためと考えられている。採血管の選択自体が、後工程である「溶血の影響」にまでつながっているという例として覚えておくとよい(b節コラムも参照)。</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④ 体内溶血がHbA1cを下げる、というもう一つの「溶血の影響」</w:t>
            </w:r>
          </w:p>
          <w:p>
            <w:pPr>
              <w:spacing w:after="140" w:line="300"/>
            </w:pPr>
            <w:r>
              <w:rPr>
                <w:sz w:val="20"/>
                <w:szCs w:val="20"/>
              </w:rPr>
              <w:t xml:space="preserve">ここまでは「検体そのものが溶血する」場合の話をしてきたが、国家試験では「患者が溶血性貧血である場合、HbA1cはどうなるか」という形で、体内溶血の影響を問う問題も頻出する。答えは「低値になる」である。</w:t>
            </w:r>
          </w:p>
          <w:p>
            <w:pPr>
              <w:spacing w:after="140" w:line="300"/>
            </w:pPr>
            <w:r>
              <w:rPr>
                <w:sz w:val="20"/>
                <w:szCs w:val="20"/>
              </w:rPr>
              <w:t xml:space="preserve">HbA1cは、赤血球中のヘモグロビンにブドウ糖がゆっくり結合してできる。赤血球の寿命が通常どおりであれば、結合する時間も一定に保たれる。ところが溶血性貧血では赤血球の寿命が短くなるため、ブドウ糖が結合する時間も短くなり、HbA1cは低めに出てしまう。</w:t>
            </w:r>
          </w:p>
          <w:p>
            <w:pPr>
              <w:spacing w:after="140" w:line="300"/>
            </w:pPr>
            <w:r>
              <w:rPr>
                <w:sz w:val="20"/>
                <w:szCs w:val="20"/>
              </w:rPr>
              <w:t xml:space="preserve">これは検体の溶血(本章c・d節の話)とは原因も機序もまったく別の現象だが、「溶血」という同じ言葉が使われるため混同しやすい。両者の違いを問う応用問題はアプリの発展ドリルで確認しよう。</w:t>
            </w:r>
          </w:p>
        </w:tc>
      </w:tr>
    </w:tbl>
    <w:p>
      <w:pPr>
        <w:spacing w:after="160"/>
      </w:pPr>
    </w:p>
    <w:p>
      <w:pPr>
        <w:pStyle w:val="Heading1"/>
        <w:pBdr>
          <w:bottom w:val="single" w:color="8A5A2B" w:sz="6" w:space="4"/>
        </w:pBdr>
        <w:spacing w:after="160" w:before="320"/>
      </w:pPr>
      <w:r>
        <w:rPr>
          <w:b/>
          <w:bCs/>
          <w:color w:val="8A5A2B"/>
          <w:sz w:val="32"/>
          <w:szCs w:val="32"/>
        </w:rPr>
        <w:t xml:space="preserve">(付録)この章の参照コード</w:t>
      </w:r>
    </w:p>
    <w:p>
      <w:pPr>
        <w:spacing w:after="140" w:line="300"/>
      </w:pPr>
      <w:r>
        <w:rPr>
          <w:sz w:val="21"/>
          <w:szCs w:val="21"/>
        </w:rPr>
        <w:t xml:space="preserve">この本は「a・b・c…」の小項目コードと「①②③④…」のコラム番号を、章をまたいでも変わらない住所として使っています。ページ番号は版によってずれることがありますが、これらのコードは本文の並び順を大きく組み替えない限り変わりません。アプリの調査クエストで「資料の◯◯を見る」と指示するときは、ページ番号ではなくこのコードで指定します(例:「冒険の書 4-A-c を見よ」)。</w:t>
      </w:r>
    </w:p>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第4章-A　溶血(試作)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2026-08-27T07:33:23.043Z</dcterms:created>
  <dcterms:modified xsi:type="dcterms:W3CDTF">2026-08-27T07:33:23.044Z</dcterms:modified>
</cp:coreProperties>
</file>

<file path=docProps/custom.xml><?xml version="1.0" encoding="utf-8"?>
<Properties xmlns="http://schemas.openxmlformats.org/officeDocument/2006/custom-properties" xmlns:vt="http://schemas.openxmlformats.org/officeDocument/2006/docPropsVTypes"/>
</file>