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Segoe UI" w:hAnsi="Segoe UI"/>
          <w:b/>
          <w:color w:val="1E3A8A"/>
          <w:sz w:val="48"/>
        </w:rPr>
        <w:t>DysTest — System Logic &amp; Pseudo-Code</w:t>
      </w:r>
    </w:p>
    <w:p>
      <w:pPr>
        <w:spacing w:after="360"/>
        <w:jc w:val="center"/>
      </w:pPr>
      <w:r>
        <w:rPr>
          <w:rFonts w:ascii="Segoe UI" w:hAnsi="Segoe UI"/>
          <w:i/>
          <w:color w:val="4F46E5"/>
          <w:sz w:val="26"/>
        </w:rPr>
        <w:t>Graduation Research Project Technical Documentation</w:t>
      </w:r>
    </w:p>
    <w:p>
      <w:pPr>
        <w:spacing w:after="480"/>
        <w:jc w:val="center"/>
      </w:pPr>
      <w:r>
        <w:rPr>
          <w:rFonts w:ascii="Segoe UI" w:hAnsi="Segoe UI"/>
          <w:color w:val="6B7280"/>
          <w:sz w:val="19"/>
        </w:rPr>
        <w:t>Prepared for: Graduation Project Evaluation Committee</w:t>
        <w:br/>
      </w:r>
      <w:r>
        <w:rPr>
          <w:rFonts w:ascii="Segoe UI" w:hAnsi="Segoe UI"/>
          <w:color w:val="6B7280"/>
          <w:sz w:val="19"/>
        </w:rPr>
        <w:t>Faculty of Computing and Data Science</w:t>
        <w:br/>
      </w:r>
      <w:r>
        <w:rPr>
          <w:rFonts w:ascii="Segoe UI" w:hAnsi="Segoe UI"/>
          <w:color w:val="6B7280"/>
          <w:sz w:val="19"/>
        </w:rPr>
        <w:t>Department of Computer Science / Data Science</w:t>
        <w:br/>
      </w:r>
      <w:r>
        <w:rPr>
          <w:rFonts w:ascii="Segoe UI" w:hAnsi="Segoe UI"/>
          <w:color w:val="6B7280"/>
          <w:sz w:val="19"/>
        </w:rPr>
        <w:t>Date of Submission: May 2026</w:t>
        <w:br/>
      </w:r>
      <w:r>
        <w:rPr>
          <w:rFonts w:ascii="Segoe UI" w:hAnsi="Segoe UI"/>
          <w:color w:val="6B7280"/>
          <w:sz w:val="19"/>
        </w:rPr>
        <w:t>System Version: 2.0 (Consolidated Next.js + FastAPI Platform)</w:t>
      </w:r>
    </w:p>
    <w:p>
      <w:pPr>
        <w:spacing w:after="360"/>
        <w:jc w:val="center"/>
      </w:pPr>
      <w:r>
        <w:rPr>
          <w:color w:val="E5E7EB"/>
        </w:rPr>
        <w:t>__________________________________________________________________</w:t>
      </w:r>
    </w:p>
    <w:p>
      <w:pPr>
        <w:keepNext/>
        <w:spacing w:before="360" w:after="120"/>
      </w:pPr>
      <w:r>
        <w:rPr>
          <w:rFonts w:ascii="Segoe UI" w:hAnsi="Segoe UI"/>
          <w:b/>
          <w:color w:val="1E3A8A"/>
          <w:sz w:val="32"/>
        </w:rPr>
        <w:t>1. Executive Summary</w:t>
      </w:r>
    </w:p>
    <w:p>
      <w:pPr>
        <w:spacing w:after="120" w:line="276" w:lineRule="auto"/>
      </w:pPr>
      <w:r>
        <w:rPr>
          <w:rFonts w:ascii="Segoe UI" w:hAnsi="Segoe UI"/>
          <w:b w:val="0"/>
          <w:i w:val="0"/>
          <w:color w:val="374151"/>
          <w:sz w:val="21"/>
        </w:rPr>
        <w:t>DysTest is a standalone, interactive, gamified screening platform designed to assess the risk of dyslexia in children and adolescents aged 7–17. Inspired by the scientifically validated Dytective methodology (Rello et al., 2020), DysTest provides a non-invasive, accessible screening battery consisting of 33 gamified cognitive tasks. Crucially, the platform operates entirely in the browser without requiring specialized eye-trackers or webcams, silently recording behavioral metrics during gameplay.</w:t>
      </w:r>
    </w:p>
    <w:p>
      <w:pPr>
        <w:spacing w:after="120" w:line="276" w:lineRule="auto"/>
      </w:pPr>
      <w:r>
        <w:rPr>
          <w:rFonts w:ascii="Segoe UI" w:hAnsi="Segoe UI"/>
          <w:b w:val="0"/>
          <w:i w:val="0"/>
          <w:color w:val="374151"/>
          <w:sz w:val="21"/>
        </w:rPr>
        <w:t>The platform architecture consists of two decoupled subsystems:</w:t>
      </w:r>
    </w:p>
    <w:p>
      <w:pPr>
        <w:pStyle w:val="ListBullet"/>
        <w:spacing w:after="80" w:line="276" w:lineRule="auto"/>
      </w:pPr>
      <w:r>
        <w:rPr>
          <w:rFonts w:ascii="Segoe UI" w:hAnsi="Segoe UI"/>
          <w:b/>
          <w:color w:val="374151"/>
          <w:sz w:val="21"/>
        </w:rPr>
        <w:t xml:space="preserve">1. </w:t>
      </w:r>
      <w:r>
        <w:rPr>
          <w:rFonts w:ascii="Segoe UI" w:hAnsi="Segoe UI"/>
          <w:color w:val="374151"/>
          <w:sz w:val="21"/>
        </w:rPr>
        <w:t>Next.js 15 Frontend Client: Serves as the user interface, conducting the screening battery in an above-the-fold distraction-free flow. It plays automatic voice instructions and logs all user interactions (clicks, correct answers, misses, and response timing). Upon game completion, it compiles these events into comprehensive statistical features.</w:t>
      </w:r>
    </w:p>
    <w:p>
      <w:pPr>
        <w:pStyle w:val="ListBullet"/>
        <w:spacing w:after="80" w:line="276" w:lineRule="auto"/>
      </w:pPr>
      <w:r>
        <w:rPr>
          <w:rFonts w:ascii="Segoe UI" w:hAnsi="Segoe UI"/>
          <w:b/>
          <w:color w:val="374151"/>
          <w:sz w:val="21"/>
        </w:rPr>
        <w:t xml:space="preserve">2. </w:t>
      </w:r>
      <w:r>
        <w:rPr>
          <w:rFonts w:ascii="Segoe UI" w:hAnsi="Segoe UI"/>
          <w:color w:val="374151"/>
          <w:sz w:val="21"/>
        </w:rPr>
        <w:t>FastAPI Machine Learning Inference Backend: Hosts three developmental age-specific Random Forest classifiers (G1: ages 7-8, G2: ages 9-11, G3: ages 12-17). It receives the feature payload, applies advanced feature corrections (clipping, adjusted accuracy for broken click mechanics), runs Random Forest inference, calculates a statistical confidence score, and returns an evaluated risk assessment.</w:t>
      </w:r>
    </w:p>
    <w:p>
      <w:pPr>
        <w:keepNext/>
        <w:spacing w:before="360" w:after="120"/>
      </w:pPr>
      <w:r>
        <w:rPr>
          <w:rFonts w:ascii="Segoe UI" w:hAnsi="Segoe UI"/>
          <w:b/>
          <w:color w:val="1E3A8A"/>
          <w:sz w:val="32"/>
        </w:rPr>
        <w:t>2. Cognitive Domains &amp; Gameplay Mechanics</w:t>
      </w:r>
    </w:p>
    <w:p>
      <w:pPr>
        <w:spacing w:after="120" w:line="276" w:lineRule="auto"/>
      </w:pPr>
      <w:r>
        <w:rPr>
          <w:rFonts w:ascii="Segoe UI" w:hAnsi="Segoe UI"/>
          <w:b w:val="0"/>
          <w:i w:val="0"/>
          <w:color w:val="374151"/>
          <w:sz w:val="21"/>
        </w:rPr>
        <w:t>The screening battery comprises 33 sequential questions covering 7 crucial neuro-cognitive domains. Each domain is specifically designed to isolate and test phonological, visual, and sequential working memory skills which are frequently impaired in individuals with dyslexia. The domains are structured as follows:</w:t>
      </w:r>
    </w:p>
    <w:tbl>
      <w:tblPr>
        <w:tblW w:type="auto" w:w="0"/>
        <w:tblLayout w:type="fixed"/>
        <w:tblLook w:firstColumn="1" w:firstRow="1" w:lastColumn="0" w:lastRow="0" w:noHBand="0" w:noVBand="1" w:val="04A0"/>
      </w:tblPr>
      <w:tblGrid>
        <w:gridCol w:w="3120"/>
        <w:gridCol w:w="3120"/>
        <w:gridCol w:w="3120"/>
      </w:tblGrid>
      <w:tr>
        <w:tc>
          <w:tcPr>
            <w:tcW w:type="dxa" w:w="2592"/>
            <w:shd w:val="clear" w:color="auto" w:fill="1E3A8A"/>
            <w:tcMar>
              <w:top w:w="80" w:type="dxa"/>
              <w:bottom w:w="80" w:type="dxa"/>
              <w:left w:w="120" w:type="dxa"/>
              <w:right w:w="120" w:type="dxa"/>
            </w:tcMar>
          </w:tcPr>
          <w:p>
            <w:pPr>
              <w:spacing w:before="80" w:after="80"/>
            </w:pPr>
            <w:r>
              <w:rPr>
                <w:rFonts w:ascii="Segoe UI" w:hAnsi="Segoe UI"/>
                <w:b/>
                <w:color w:val="FFFFFF"/>
                <w:sz w:val="20"/>
              </w:rPr>
              <w:t>Cognitive Domain</w:t>
            </w:r>
          </w:p>
        </w:tc>
        <w:tc>
          <w:tcPr>
            <w:tcW w:type="dxa" w:w="1440"/>
            <w:shd w:val="clear" w:color="auto" w:fill="1E3A8A"/>
            <w:tcMar>
              <w:top w:w="80" w:type="dxa"/>
              <w:bottom w:w="80" w:type="dxa"/>
              <w:left w:w="120" w:type="dxa"/>
              <w:right w:w="120" w:type="dxa"/>
            </w:tcMar>
          </w:tcPr>
          <w:p>
            <w:pPr>
              <w:spacing w:before="80" w:after="80"/>
            </w:pPr>
            <w:r>
              <w:rPr>
                <w:rFonts w:ascii="Segoe UI" w:hAnsi="Segoe UI"/>
                <w:b/>
                <w:color w:val="FFFFFF"/>
                <w:sz w:val="20"/>
              </w:rPr>
              <w:t>Questions</w:t>
            </w:r>
          </w:p>
        </w:tc>
        <w:tc>
          <w:tcPr>
            <w:tcW w:type="dxa" w:w="5328"/>
            <w:shd w:val="clear" w:color="auto" w:fill="1E3A8A"/>
            <w:tcMar>
              <w:top w:w="80" w:type="dxa"/>
              <w:bottom w:w="80" w:type="dxa"/>
              <w:left w:w="120" w:type="dxa"/>
              <w:right w:w="120" w:type="dxa"/>
            </w:tcMar>
          </w:tcPr>
          <w:p>
            <w:pPr>
              <w:spacing w:before="80" w:after="80"/>
            </w:pPr>
            <w:r>
              <w:rPr>
                <w:rFonts w:ascii="Segoe UI" w:hAnsi="Segoe UI"/>
                <w:b/>
                <w:color w:val="FFFFFF"/>
                <w:sz w:val="20"/>
              </w:rPr>
              <w:t>Skills &amp; Gameplay Mechanics Assessed</w:t>
            </w:r>
          </w:p>
        </w:tc>
      </w:tr>
      <w:tr>
        <w:tc>
          <w:tcPr>
            <w:tcW w:type="dxa" w:w="2592"/>
            <w:tcMar>
              <w:top w:w="80" w:type="dxa"/>
              <w:bottom w:w="80" w:type="dxa"/>
              <w:left w:w="120" w:type="dxa"/>
              <w:right w:w="120" w:type="dxa"/>
            </w:tcMar>
          </w:tcPr>
          <w:p>
            <w:pPr>
              <w:spacing w:before="60" w:after="60"/>
            </w:pPr>
            <w:r>
              <w:rPr>
                <w:rFonts w:ascii="Segoe UI" w:hAnsi="Segoe UI"/>
                <w:color w:val="374151"/>
                <w:sz w:val="18"/>
              </w:rPr>
              <w:t>Letter Recognition</w:t>
            </w:r>
          </w:p>
        </w:tc>
        <w:tc>
          <w:tcPr>
            <w:tcW w:type="dxa" w:w="1440"/>
            <w:tcMar>
              <w:top w:w="80" w:type="dxa"/>
              <w:bottom w:w="80" w:type="dxa"/>
              <w:left w:w="120" w:type="dxa"/>
              <w:right w:w="120" w:type="dxa"/>
            </w:tcMar>
          </w:tcPr>
          <w:p>
            <w:pPr>
              <w:spacing w:before="60" w:after="60"/>
            </w:pPr>
            <w:r>
              <w:rPr>
                <w:rFonts w:ascii="Segoe UI" w:hAnsi="Segoe UI"/>
                <w:color w:val="374151"/>
                <w:sz w:val="18"/>
              </w:rPr>
              <w:t>Q1 – Q13</w:t>
            </w:r>
          </w:p>
        </w:tc>
        <w:tc>
          <w:tcPr>
            <w:tcW w:type="dxa" w:w="5328"/>
            <w:tcMar>
              <w:top w:w="80" w:type="dxa"/>
              <w:bottom w:w="80" w:type="dxa"/>
              <w:left w:w="120" w:type="dxa"/>
              <w:right w:w="120" w:type="dxa"/>
            </w:tcMar>
          </w:tcPr>
          <w:p>
            <w:pPr>
              <w:spacing w:before="60" w:after="60"/>
            </w:pPr>
            <w:r>
              <w:rPr>
                <w:rFonts w:ascii="Segoe UI" w:hAnsi="Segoe UI"/>
                <w:color w:val="374151"/>
                <w:sz w:val="18"/>
              </w:rPr>
              <w:t>Identifies correct letters, visual/spatial rotation recognition (e.g., d vs b vs p), and mirrored glyph discrimination.</w:t>
            </w:r>
          </w:p>
        </w:tc>
      </w:tr>
      <w:tr>
        <w:tc>
          <w:tcPr>
            <w:tcW w:type="dxa" w:w="2592"/>
            <w:shd w:val="clear" w:color="auto" w:fill="F9FAFB"/>
            <w:tcMar>
              <w:top w:w="80" w:type="dxa"/>
              <w:bottom w:w="80" w:type="dxa"/>
              <w:left w:w="120" w:type="dxa"/>
              <w:right w:w="120" w:type="dxa"/>
            </w:tcMar>
          </w:tcPr>
          <w:p>
            <w:pPr>
              <w:spacing w:before="60" w:after="60"/>
            </w:pPr>
            <w:r>
              <w:rPr>
                <w:rFonts w:ascii="Segoe UI" w:hAnsi="Segoe UI"/>
                <w:color w:val="374151"/>
                <w:sz w:val="18"/>
              </w:rPr>
              <w:t>Visual Discrimination</w:t>
            </w:r>
          </w:p>
        </w:tc>
        <w:tc>
          <w:tcPr>
            <w:tcW w:type="dxa" w:w="1440"/>
            <w:shd w:val="clear" w:color="auto" w:fill="F9FAFB"/>
            <w:tcMar>
              <w:top w:w="80" w:type="dxa"/>
              <w:bottom w:w="80" w:type="dxa"/>
              <w:left w:w="120" w:type="dxa"/>
              <w:right w:w="120" w:type="dxa"/>
            </w:tcMar>
          </w:tcPr>
          <w:p>
            <w:pPr>
              <w:spacing w:before="60" w:after="60"/>
            </w:pPr>
            <w:r>
              <w:rPr>
                <w:rFonts w:ascii="Segoe UI" w:hAnsi="Segoe UI"/>
                <w:color w:val="374151"/>
                <w:sz w:val="18"/>
              </w:rPr>
              <w:t>Q14 – Q17</w:t>
            </w:r>
          </w:p>
        </w:tc>
        <w:tc>
          <w:tcPr>
            <w:tcW w:type="dxa" w:w="5328"/>
            <w:shd w:val="clear" w:color="auto" w:fill="F9FAFB"/>
            <w:tcMar>
              <w:top w:w="80" w:type="dxa"/>
              <w:bottom w:w="80" w:type="dxa"/>
              <w:left w:w="120" w:type="dxa"/>
              <w:right w:w="120" w:type="dxa"/>
            </w:tcMar>
          </w:tcPr>
          <w:p>
            <w:pPr>
              <w:spacing w:before="60" w:after="60"/>
            </w:pPr>
            <w:r>
              <w:rPr>
                <w:rFonts w:ascii="Segoe UI" w:hAnsi="Segoe UI"/>
                <w:color w:val="374151"/>
                <w:sz w:val="18"/>
              </w:rPr>
              <w:t>Spotting a visually distinct letter in a group (distinguishing minor structural details among graphemes).</w:t>
            </w:r>
          </w:p>
        </w:tc>
      </w:tr>
      <w:tr>
        <w:tc>
          <w:tcPr>
            <w:tcW w:type="dxa" w:w="2592"/>
            <w:tcMar>
              <w:top w:w="80" w:type="dxa"/>
              <w:bottom w:w="80" w:type="dxa"/>
              <w:left w:w="120" w:type="dxa"/>
              <w:right w:w="120" w:type="dxa"/>
            </w:tcMar>
          </w:tcPr>
          <w:p>
            <w:pPr>
              <w:spacing w:before="60" w:after="60"/>
            </w:pPr>
            <w:r>
              <w:rPr>
                <w:rFonts w:ascii="Segoe UI" w:hAnsi="Segoe UI"/>
                <w:color w:val="374151"/>
                <w:sz w:val="18"/>
              </w:rPr>
              <w:t>Phonological Awareness</w:t>
            </w:r>
          </w:p>
        </w:tc>
        <w:tc>
          <w:tcPr>
            <w:tcW w:type="dxa" w:w="1440"/>
            <w:tcMar>
              <w:top w:w="80" w:type="dxa"/>
              <w:bottom w:w="80" w:type="dxa"/>
              <w:left w:w="120" w:type="dxa"/>
              <w:right w:w="120" w:type="dxa"/>
            </w:tcMar>
          </w:tcPr>
          <w:p>
            <w:pPr>
              <w:spacing w:before="60" w:after="60"/>
            </w:pPr>
            <w:r>
              <w:rPr>
                <w:rFonts w:ascii="Segoe UI" w:hAnsi="Segoe UI"/>
                <w:color w:val="374151"/>
                <w:sz w:val="18"/>
              </w:rPr>
              <w:t>Q18 – Q25</w:t>
            </w:r>
          </w:p>
        </w:tc>
        <w:tc>
          <w:tcPr>
            <w:tcW w:type="dxa" w:w="5328"/>
            <w:tcMar>
              <w:top w:w="80" w:type="dxa"/>
              <w:bottom w:w="80" w:type="dxa"/>
              <w:left w:w="120" w:type="dxa"/>
              <w:right w:w="120" w:type="dxa"/>
            </w:tcMar>
          </w:tcPr>
          <w:p>
            <w:pPr>
              <w:spacing w:before="60" w:after="60"/>
            </w:pPr>
            <w:r>
              <w:rPr>
                <w:rFonts w:ascii="Segoe UI" w:hAnsi="Segoe UI"/>
                <w:color w:val="374151"/>
                <w:sz w:val="18"/>
              </w:rPr>
              <w:t>Auditory matching of sounds, phoneme blending, rhyme identification, and phonological pattern association.</w:t>
            </w:r>
          </w:p>
        </w:tc>
      </w:tr>
      <w:tr>
        <w:tc>
          <w:tcPr>
            <w:tcW w:type="dxa" w:w="2592"/>
            <w:shd w:val="clear" w:color="auto" w:fill="F9FAFB"/>
            <w:tcMar>
              <w:top w:w="80" w:type="dxa"/>
              <w:bottom w:w="80" w:type="dxa"/>
              <w:left w:w="120" w:type="dxa"/>
              <w:right w:w="120" w:type="dxa"/>
            </w:tcMar>
          </w:tcPr>
          <w:p>
            <w:pPr>
              <w:spacing w:before="60" w:after="60"/>
            </w:pPr>
            <w:r>
              <w:rPr>
                <w:rFonts w:ascii="Segoe UI" w:hAnsi="Segoe UI"/>
                <w:color w:val="374151"/>
                <w:sz w:val="18"/>
              </w:rPr>
              <w:t>Grapheme Mapping</w:t>
            </w:r>
          </w:p>
        </w:tc>
        <w:tc>
          <w:tcPr>
            <w:tcW w:type="dxa" w:w="1440"/>
            <w:shd w:val="clear" w:color="auto" w:fill="F9FAFB"/>
            <w:tcMar>
              <w:top w:w="80" w:type="dxa"/>
              <w:bottom w:w="80" w:type="dxa"/>
              <w:left w:w="120" w:type="dxa"/>
              <w:right w:w="120" w:type="dxa"/>
            </w:tcMar>
          </w:tcPr>
          <w:p>
            <w:pPr>
              <w:spacing w:before="60" w:after="60"/>
            </w:pPr>
            <w:r>
              <w:rPr>
                <w:rFonts w:ascii="Segoe UI" w:hAnsi="Segoe UI"/>
                <w:color w:val="374151"/>
                <w:sz w:val="18"/>
              </w:rPr>
              <w:t>Q26 – Q27</w:t>
            </w:r>
          </w:p>
        </w:tc>
        <w:tc>
          <w:tcPr>
            <w:tcW w:type="dxa" w:w="5328"/>
            <w:shd w:val="clear" w:color="auto" w:fill="F9FAFB"/>
            <w:tcMar>
              <w:top w:w="80" w:type="dxa"/>
              <w:bottom w:w="80" w:type="dxa"/>
              <w:left w:w="120" w:type="dxa"/>
              <w:right w:w="120" w:type="dxa"/>
            </w:tcMar>
          </w:tcPr>
          <w:p>
            <w:pPr>
              <w:spacing w:before="60" w:after="60"/>
            </w:pPr>
            <w:r>
              <w:rPr>
                <w:rFonts w:ascii="Segoe UI" w:hAnsi="Segoe UI"/>
                <w:color w:val="374151"/>
                <w:sz w:val="18"/>
              </w:rPr>
              <w:t>Evaluating sound-to-letter correspondences, grapheme replacements, and character ordering.</w:t>
            </w:r>
          </w:p>
        </w:tc>
      </w:tr>
      <w:tr>
        <w:tc>
          <w:tcPr>
            <w:tcW w:type="dxa" w:w="2592"/>
            <w:tcMar>
              <w:top w:w="80" w:type="dxa"/>
              <w:bottom w:w="80" w:type="dxa"/>
              <w:left w:w="120" w:type="dxa"/>
              <w:right w:w="120" w:type="dxa"/>
            </w:tcMar>
          </w:tcPr>
          <w:p>
            <w:pPr>
              <w:spacing w:before="60" w:after="60"/>
            </w:pPr>
            <w:r>
              <w:rPr>
                <w:rFonts w:ascii="Segoe UI" w:hAnsi="Segoe UI"/>
                <w:color w:val="374151"/>
                <w:sz w:val="18"/>
              </w:rPr>
              <w:t>Syllable Processing</w:t>
            </w:r>
          </w:p>
        </w:tc>
        <w:tc>
          <w:tcPr>
            <w:tcW w:type="dxa" w:w="1440"/>
            <w:tcMar>
              <w:top w:w="80" w:type="dxa"/>
              <w:bottom w:w="80" w:type="dxa"/>
              <w:left w:w="120" w:type="dxa"/>
              <w:right w:w="120" w:type="dxa"/>
            </w:tcMar>
          </w:tcPr>
          <w:p>
            <w:pPr>
              <w:spacing w:before="60" w:after="60"/>
            </w:pPr>
            <w:r>
              <w:rPr>
                <w:rFonts w:ascii="Segoe UI" w:hAnsi="Segoe UI"/>
                <w:color w:val="374151"/>
                <w:sz w:val="18"/>
              </w:rPr>
              <w:t>Q28 – Q29</w:t>
            </w:r>
          </w:p>
        </w:tc>
        <w:tc>
          <w:tcPr>
            <w:tcW w:type="dxa" w:w="5328"/>
            <w:tcMar>
              <w:top w:w="80" w:type="dxa"/>
              <w:bottom w:w="80" w:type="dxa"/>
              <w:left w:w="120" w:type="dxa"/>
              <w:right w:w="120" w:type="dxa"/>
            </w:tcMar>
          </w:tcPr>
          <w:p>
            <w:pPr>
              <w:spacing w:before="60" w:after="60"/>
            </w:pPr>
            <w:r>
              <w:rPr>
                <w:rFonts w:ascii="Segoe UI" w:hAnsi="Segoe UI"/>
                <w:color w:val="374151"/>
                <w:sz w:val="18"/>
              </w:rPr>
              <w:t>Syllable segment recognition, re-ordering scrambled syllables, and constructing valid vocabulary words.</w:t>
            </w:r>
          </w:p>
        </w:tc>
      </w:tr>
      <w:tr>
        <w:tc>
          <w:tcPr>
            <w:tcW w:type="dxa" w:w="2592"/>
            <w:shd w:val="clear" w:color="auto" w:fill="F9FAFB"/>
            <w:tcMar>
              <w:top w:w="80" w:type="dxa"/>
              <w:bottom w:w="80" w:type="dxa"/>
              <w:left w:w="120" w:type="dxa"/>
              <w:right w:w="120" w:type="dxa"/>
            </w:tcMar>
          </w:tcPr>
          <w:p>
            <w:pPr>
              <w:spacing w:before="60" w:after="60"/>
            </w:pPr>
            <w:r>
              <w:rPr>
                <w:rFonts w:ascii="Segoe UI" w:hAnsi="Segoe UI"/>
                <w:color w:val="374151"/>
                <w:sz w:val="18"/>
              </w:rPr>
              <w:t>Working Memory</w:t>
            </w:r>
          </w:p>
        </w:tc>
        <w:tc>
          <w:tcPr>
            <w:tcW w:type="dxa" w:w="1440"/>
            <w:shd w:val="clear" w:color="auto" w:fill="F9FAFB"/>
            <w:tcMar>
              <w:top w:w="80" w:type="dxa"/>
              <w:bottom w:w="80" w:type="dxa"/>
              <w:left w:w="120" w:type="dxa"/>
              <w:right w:w="120" w:type="dxa"/>
            </w:tcMar>
          </w:tcPr>
          <w:p>
            <w:pPr>
              <w:spacing w:before="60" w:after="60"/>
            </w:pPr>
            <w:r>
              <w:rPr>
                <w:rFonts w:ascii="Segoe UI" w:hAnsi="Segoe UI"/>
                <w:color w:val="374151"/>
                <w:sz w:val="18"/>
              </w:rPr>
              <w:t>Q30 – Q32</w:t>
            </w:r>
          </w:p>
        </w:tc>
        <w:tc>
          <w:tcPr>
            <w:tcW w:type="dxa" w:w="5328"/>
            <w:shd w:val="clear" w:color="auto" w:fill="F9FAFB"/>
            <w:tcMar>
              <w:top w:w="80" w:type="dxa"/>
              <w:bottom w:w="80" w:type="dxa"/>
              <w:left w:w="120" w:type="dxa"/>
              <w:right w:w="120" w:type="dxa"/>
            </w:tcMar>
          </w:tcPr>
          <w:p>
            <w:pPr>
              <w:spacing w:before="60" w:after="60"/>
            </w:pPr>
            <w:r>
              <w:rPr>
                <w:rFonts w:ascii="Segoe UI" w:hAnsi="Segoe UI"/>
                <w:color w:val="374151"/>
                <w:sz w:val="18"/>
              </w:rPr>
              <w:t>Auditory-visual sequence recall, requiring participants to type back a sequential set of presented characters.</w:t>
            </w:r>
          </w:p>
        </w:tc>
      </w:tr>
      <w:tr>
        <w:tc>
          <w:tcPr>
            <w:tcW w:type="dxa" w:w="2592"/>
            <w:tcMar>
              <w:top w:w="80" w:type="dxa"/>
              <w:bottom w:w="80" w:type="dxa"/>
              <w:left w:w="120" w:type="dxa"/>
              <w:right w:w="120" w:type="dxa"/>
            </w:tcMar>
          </w:tcPr>
          <w:p>
            <w:pPr>
              <w:spacing w:before="60" w:after="60"/>
            </w:pPr>
            <w:r>
              <w:rPr>
                <w:rFonts w:ascii="Segoe UI" w:hAnsi="Segoe UI"/>
                <w:color w:val="374151"/>
                <w:sz w:val="18"/>
              </w:rPr>
              <w:t>Sequence Recall</w:t>
            </w:r>
          </w:p>
        </w:tc>
        <w:tc>
          <w:tcPr>
            <w:tcW w:type="dxa" w:w="1440"/>
            <w:tcMar>
              <w:top w:w="80" w:type="dxa"/>
              <w:bottom w:w="80" w:type="dxa"/>
              <w:left w:w="120" w:type="dxa"/>
              <w:right w:w="120" w:type="dxa"/>
            </w:tcMar>
          </w:tcPr>
          <w:p>
            <w:pPr>
              <w:spacing w:before="60" w:after="60"/>
            </w:pPr>
            <w:r>
              <w:rPr>
                <w:rFonts w:ascii="Segoe UI" w:hAnsi="Segoe UI"/>
                <w:color w:val="374151"/>
                <w:sz w:val="18"/>
              </w:rPr>
              <w:t>Q33</w:t>
            </w:r>
          </w:p>
        </w:tc>
        <w:tc>
          <w:tcPr>
            <w:tcW w:type="dxa" w:w="5328"/>
            <w:tcMar>
              <w:top w:w="80" w:type="dxa"/>
              <w:bottom w:w="80" w:type="dxa"/>
              <w:left w:w="120" w:type="dxa"/>
              <w:right w:w="120" w:type="dxa"/>
            </w:tcMar>
          </w:tcPr>
          <w:p>
            <w:pPr>
              <w:spacing w:before="60" w:after="60"/>
            </w:pPr>
            <w:r>
              <w:rPr>
                <w:rFonts w:ascii="Segoe UI" w:hAnsi="Segoe UI"/>
                <w:color w:val="374151"/>
                <w:sz w:val="18"/>
              </w:rPr>
              <w:t>A final multi-element visual/auditory sequence retention and pattern reproduction task.</w:t>
            </w:r>
          </w:p>
        </w:tc>
      </w:tr>
    </w:tbl>
    <w:p>
      <w:pPr>
        <w:spacing w:after="120"/>
      </w:pPr>
    </w:p>
    <w:p>
      <w:pPr>
        <w:keepNext/>
        <w:spacing w:before="360" w:after="120"/>
      </w:pPr>
      <w:r>
        <w:rPr>
          <w:rFonts w:ascii="Segoe UI" w:hAnsi="Segoe UI"/>
          <w:b/>
          <w:color w:val="1E3A8A"/>
          <w:sz w:val="32"/>
        </w:rPr>
        <w:t>3. Feature Engineering &amp; Mathematical Foundations</w:t>
      </w:r>
    </w:p>
    <w:p>
      <w:pPr>
        <w:spacing w:after="120" w:line="276" w:lineRule="auto"/>
      </w:pPr>
      <w:r>
        <w:rPr>
          <w:rFonts w:ascii="Segoe UI" w:hAnsi="Segoe UI"/>
          <w:b w:val="0"/>
          <w:i w:val="0"/>
          <w:color w:val="374151"/>
          <w:sz w:val="21"/>
        </w:rPr>
        <w:t>Raw game metrics can contain noise and anomalies due to structural gameplay differences or software constraints. DysTest V2 implements advanced data pre-processing and feature-engineering steps to guarantee robust, clean predictions and eliminate division-by-zero artifacts:</w:t>
      </w:r>
    </w:p>
    <w:p>
      <w:pPr>
        <w:keepNext/>
        <w:spacing w:before="240" w:after="80"/>
      </w:pPr>
      <w:r>
        <w:rPr>
          <w:rFonts w:ascii="Segoe UI" w:hAnsi="Segoe UI"/>
          <w:b/>
          <w:color w:val="4F46E5"/>
          <w:sz w:val="25"/>
        </w:rPr>
        <w:t>3.1 Feature Value Clipping</w:t>
      </w:r>
    </w:p>
    <w:p>
      <w:pPr>
        <w:spacing w:after="120" w:line="276" w:lineRule="auto"/>
      </w:pPr>
      <w:r>
        <w:rPr>
          <w:rFonts w:ascii="Segoe UI" w:hAnsi="Segoe UI"/>
          <w:b w:val="0"/>
          <w:i w:val="0"/>
          <w:color w:val="374151"/>
          <w:sz w:val="21"/>
        </w:rPr>
        <w:t>Raw Accuracy and Missrate metrics are mathematically clamped to the closed interval [0.0, 1.0]. This correction eliminates mathematical artifacts found in original clinical datasets (where division by zero or erroneous telemetry produced values up to 875):</w:t>
      </w:r>
    </w:p>
    <w:p>
      <w:pPr>
        <w:spacing w:after="120" w:line="276" w:lineRule="auto"/>
      </w:pPr>
      <w:r>
        <w:rPr>
          <w:rFonts w:ascii="Segoe UI" w:hAnsi="Segoe UI"/>
          <w:b/>
          <w:i w:val="0"/>
          <w:color w:val="374151"/>
          <w:sz w:val="21"/>
        </w:rPr>
        <w:t xml:space="preserve">   ClampedValue = max( 0.0, min( 1.0, RawValue ) )</w:t>
      </w:r>
    </w:p>
    <w:p>
      <w:pPr>
        <w:keepNext/>
        <w:spacing w:before="240" w:after="80"/>
      </w:pPr>
      <w:r>
        <w:rPr>
          <w:rFonts w:ascii="Segoe UI" w:hAnsi="Segoe UI"/>
          <w:b/>
          <w:color w:val="4F46E5"/>
          <w:sz w:val="25"/>
        </w:rPr>
        <w:t>3.2 Adjusted Accuracy (Broken Gameplay Mechanics)</w:t>
      </w:r>
    </w:p>
    <w:p>
      <w:pPr>
        <w:spacing w:after="120" w:line="276" w:lineRule="auto"/>
      </w:pPr>
      <w:r>
        <w:rPr>
          <w:rFonts w:ascii="Segoe UI" w:hAnsi="Segoe UI"/>
          <w:b w:val="0"/>
          <w:i w:val="0"/>
          <w:color w:val="374151"/>
          <w:sz w:val="21"/>
        </w:rPr>
        <w:t>For certain tasks, standard accuracy calculations (Accuracy = Hits / Clicks) are structurally flawed:</w:t>
      </w:r>
    </w:p>
    <w:p>
      <w:pPr>
        <w:pStyle w:val="ListBullet"/>
        <w:spacing w:after="80" w:line="276" w:lineRule="auto"/>
      </w:pPr>
      <w:r>
        <w:rPr>
          <w:rFonts w:ascii="Segoe UI" w:hAnsi="Segoe UI"/>
          <w:b/>
          <w:color w:val="374151"/>
          <w:sz w:val="21"/>
        </w:rPr>
        <w:t xml:space="preserve">• </w:t>
      </w:r>
      <w:r>
        <w:rPr>
          <w:rFonts w:ascii="Segoe UI" w:hAnsi="Segoe UI"/>
          <w:color w:val="374151"/>
          <w:sz w:val="21"/>
        </w:rPr>
        <w:t>Q26 (Letter Replacement) requires exactly 2 clicks per attempt, inflating raw Clicks.</w:t>
      </w:r>
    </w:p>
    <w:p>
      <w:pPr>
        <w:pStyle w:val="ListBullet"/>
        <w:spacing w:after="80" w:line="276" w:lineRule="auto"/>
      </w:pPr>
      <w:r>
        <w:rPr>
          <w:rFonts w:ascii="Segoe UI" w:hAnsi="Segoe UI"/>
          <w:b/>
          <w:color w:val="374151"/>
          <w:sz w:val="21"/>
        </w:rPr>
        <w:t xml:space="preserve">• </w:t>
      </w:r>
      <w:r>
        <w:rPr>
          <w:rFonts w:ascii="Segoe UI" w:hAnsi="Segoe UI"/>
          <w:color w:val="374151"/>
          <w:sz w:val="21"/>
        </w:rPr>
        <w:t>Q27 &amp; Q28 (Letter/Syllable Arrangement) involve dragging and tapping tiles. Intermediate steps and adjustments register as Clicks, artificially penalizing raw Accuracy.</w:t>
      </w:r>
    </w:p>
    <w:p>
      <w:pPr>
        <w:pStyle w:val="ListBullet"/>
        <w:spacing w:after="80" w:line="276" w:lineRule="auto"/>
      </w:pPr>
      <w:r>
        <w:rPr>
          <w:rFonts w:ascii="Segoe UI" w:hAnsi="Segoe UI"/>
          <w:b/>
          <w:color w:val="374151"/>
          <w:sz w:val="21"/>
        </w:rPr>
        <w:t xml:space="preserve">• </w:t>
      </w:r>
      <w:r>
        <w:rPr>
          <w:rFonts w:ascii="Segoe UI" w:hAnsi="Segoe UI"/>
          <w:color w:val="374151"/>
          <w:sz w:val="21"/>
        </w:rPr>
        <w:t>Q30 – Q32 (Typed Sequence Recall) involve physical keystrokes. Using raw Clicks (keystrokes) as the denominator yields a meaninglessly low accuracy.</w:t>
      </w:r>
    </w:p>
    <w:p>
      <w:pPr>
        <w:spacing w:after="120" w:line="276" w:lineRule="auto"/>
      </w:pPr>
      <w:r>
        <w:rPr>
          <w:rFonts w:ascii="Segoe UI" w:hAnsi="Segoe UI"/>
          <w:b w:val="0"/>
          <w:i w:val="0"/>
          <w:color w:val="374151"/>
          <w:sz w:val="21"/>
        </w:rPr>
        <w:t>To correct for this, DysTest computes Adjusted Accuracy and Adjusted Missrate based on completed trial rounds rather than clicks. The denominator is formed by the sum of Hits and Misses:</w:t>
      </w:r>
    </w:p>
    <w:p>
      <w:pPr>
        <w:spacing w:after="120" w:line="276" w:lineRule="auto"/>
      </w:pPr>
      <w:r>
        <w:rPr>
          <w:rFonts w:ascii="Segoe UI" w:hAnsi="Segoe UI"/>
          <w:b/>
          <w:i w:val="0"/>
          <w:color w:val="374151"/>
          <w:sz w:val="21"/>
        </w:rPr>
        <w:t xml:space="preserve">   Adjusted Accuracy = Hits / ( Hits + Misses )</w:t>
      </w:r>
    </w:p>
    <w:p>
      <w:pPr>
        <w:spacing w:after="120" w:line="276" w:lineRule="auto"/>
      </w:pPr>
      <w:r>
        <w:rPr>
          <w:rFonts w:ascii="Segoe UI" w:hAnsi="Segoe UI"/>
          <w:b/>
          <w:i w:val="0"/>
          <w:color w:val="374151"/>
          <w:sz w:val="21"/>
        </w:rPr>
        <w:t xml:space="preserve">   Adjusted Missrate = Misses / ( Hits + Misses )</w:t>
      </w:r>
    </w:p>
    <w:p>
      <w:pPr>
        <w:keepNext/>
        <w:spacing w:before="240" w:after="80"/>
      </w:pPr>
      <w:r>
        <w:rPr>
          <w:rFonts w:ascii="Segoe UI" w:hAnsi="Segoe UI"/>
          <w:b/>
          <w:color w:val="4F46E5"/>
          <w:sz w:val="25"/>
        </w:rPr>
        <w:t>3.3 Statistical Risk Classification &amp; Thresholding</w:t>
      </w:r>
    </w:p>
    <w:p>
      <w:pPr>
        <w:spacing w:after="120" w:line="276" w:lineRule="auto"/>
      </w:pPr>
      <w:r>
        <w:rPr>
          <w:rFonts w:ascii="Segoe UI" w:hAnsi="Segoe UI"/>
          <w:b w:val="0"/>
          <w:i w:val="0"/>
          <w:color w:val="374151"/>
          <w:sz w:val="21"/>
        </w:rPr>
        <w:t>Three independent Random Forest models are optimized for specific developmental age groups. Instead of using a default binary classification threshold (0.50), the system implements Youden's J statistic to determine optimal thresholds, maximizing Sensitivity (true positive rate) and Specificity (true negative rate):</w:t>
      </w:r>
    </w:p>
    <w:p>
      <w:pPr>
        <w:spacing w:after="120" w:line="276" w:lineRule="auto"/>
      </w:pPr>
      <w:r>
        <w:rPr>
          <w:rFonts w:ascii="Segoe UI" w:hAnsi="Segoe UI"/>
          <w:b/>
          <w:i w:val="0"/>
          <w:color w:val="374151"/>
          <w:sz w:val="21"/>
        </w:rPr>
        <w:t xml:space="preserve">   Youden's J = Sensitivity + Specificity - 1</w:t>
      </w:r>
    </w:p>
    <w:p>
      <w:pPr>
        <w:spacing w:after="120" w:line="276" w:lineRule="auto"/>
      </w:pPr>
      <w:r>
        <w:rPr>
          <w:rFonts w:ascii="Segoe UI" w:hAnsi="Segoe UI"/>
          <w:b w:val="0"/>
          <w:i w:val="0"/>
          <w:color w:val="374151"/>
          <w:sz w:val="21"/>
        </w:rPr>
        <w:t>For example, the optimal threshold for the models is determined to be approximately 0.24. If the model P(Dyslexia) &gt;= threshold, the participant is classified with 'Dyslexia Risk'.</w:t>
      </w:r>
    </w:p>
    <w:p>
      <w:pPr>
        <w:keepNext/>
        <w:spacing w:before="240" w:after="80"/>
      </w:pPr>
      <w:r>
        <w:rPr>
          <w:rFonts w:ascii="Segoe UI" w:hAnsi="Segoe UI"/>
          <w:b/>
          <w:color w:val="4F46E5"/>
          <w:sz w:val="25"/>
        </w:rPr>
        <w:t>3.4 Confidence Score Formula</w:t>
      </w:r>
    </w:p>
    <w:p>
      <w:pPr>
        <w:spacing w:after="120" w:line="276" w:lineRule="auto"/>
      </w:pPr>
      <w:r>
        <w:rPr>
          <w:rFonts w:ascii="Segoe UI" w:hAnsi="Segoe UI"/>
          <w:b w:val="0"/>
          <w:i w:val="0"/>
          <w:color w:val="374151"/>
          <w:sz w:val="21"/>
        </w:rPr>
        <w:t>The system measures prediction confidence by scaling the absolute distance of the probability from the point of maximum uncertainty (0.50), mapping it to a standard [0.0, 1.0] scale:</w:t>
      </w:r>
    </w:p>
    <w:p>
      <w:pPr>
        <w:spacing w:after="120" w:line="276" w:lineRule="auto"/>
      </w:pPr>
      <w:r>
        <w:rPr>
          <w:rFonts w:ascii="Segoe UI" w:hAnsi="Segoe UI"/>
          <w:b/>
          <w:i w:val="0"/>
          <w:color w:val="374151"/>
          <w:sz w:val="21"/>
        </w:rPr>
        <w:t xml:space="preserve">   Confidence = min( 1.0, | P(Dyslexia) - 0.50 | * 2 )</w:t>
      </w:r>
    </w:p>
    <w:p>
      <w:pPr>
        <w:spacing w:after="120" w:line="276" w:lineRule="auto"/>
      </w:pPr>
      <w:r>
        <w:rPr>
          <w:rFonts w:ascii="Segoe UI" w:hAnsi="Segoe UI"/>
          <w:b w:val="0"/>
          <w:i w:val="0"/>
          <w:color w:val="374151"/>
          <w:sz w:val="21"/>
        </w:rPr>
        <w:t>This yields a confidence of 1.0 (100% confident) for predictions of P=0.0 or P=1.0, and 0.0 (0% confident) at P=0.50.</w:t>
      </w:r>
    </w:p>
    <w:p>
      <w:pPr>
        <w:keepNext/>
        <w:spacing w:before="360" w:after="120"/>
      </w:pPr>
      <w:r>
        <w:rPr>
          <w:rFonts w:ascii="Segoe UI" w:hAnsi="Segoe UI"/>
          <w:b/>
          <w:color w:val="1E3A8A"/>
          <w:sz w:val="32"/>
        </w:rPr>
        <w:t>4. Client-Side Telemetry &amp; Scoring Engine</w:t>
      </w:r>
    </w:p>
    <w:p>
      <w:pPr>
        <w:spacing w:after="120" w:line="276" w:lineRule="auto"/>
      </w:pPr>
      <w:r>
        <w:rPr>
          <w:rFonts w:ascii="Segoe UI" w:hAnsi="Segoe UI"/>
          <w:b w:val="0"/>
          <w:i w:val="0"/>
          <w:color w:val="374151"/>
          <w:sz w:val="21"/>
        </w:rPr>
        <w:t>As the participant progresses through the 33 tasks, the Next.js frontend silently registers every action as a 'click', 'hit', or 'miss' associated with the active question ID. Upon completion, the scoring engine aggregates these events. The algorithm below documents this telemetry process:</w:t>
      </w:r>
    </w:p>
    <w:p>
      <w:pPr>
        <w:spacing w:before="160" w:after="160" w:line="252" w:lineRule="auto"/>
        <w:ind w:left="432"/>
        <w:shd w:val="clear" w:color="auto" w:fill="F3F4F6"/>
        <w:pBdr>
          <w:left w:val="single" w:sz="12" w:space="10" w:color="9CA3AF"/>
        </w:pBdr>
      </w:pPr>
      <w:r>
        <w:rPr>
          <w:rFonts w:ascii="Consolas" w:hAnsi="Consolas"/>
          <w:color w:val="1F2937"/>
          <w:sz w:val="17"/>
        </w:rPr>
        <w:t>ALGORITHM Frontend_Session_Scoring</w:t>
        <w:br/>
        <w:t>INPUT:</w:t>
        <w:br/>
        <w:t xml:space="preserve">    Demographics: { gender: String, nativeLang: Boolean, otherLang: Boolean, age: Integer }</w:t>
        <w:br/>
        <w:t xml:space="preserve">    EventsList: List of SessionEvent { questionId: String, eventType: String }</w:t>
        <w:br/>
        <w:t xml:space="preserve">    QuestionIDs: List of Integer (1 to 33)</w:t>
        <w:br/>
        <w:br/>
        <w:t>OUTPUT:</w:t>
        <w:br/>
        <w:t xml:space="preserve">    ModelPayload: Key-Value Map of calculated features for API transmission</w:t>
        <w:br/>
        <w:br/>
        <w:t>BEGIN</w:t>
        <w:br/>
        <w:t xml:space="preserve">    // Step 1: Initialize the feature map and load demographic features</w:t>
        <w:br/>
        <w:t xml:space="preserve">    ModelPayload &lt;- Empty Map</w:t>
        <w:br/>
        <w:t xml:space="preserve">    ModelPayload["Gender"]     &lt;- ConvertGenderToBinary(Demographics.gender) // Male = 1, Female = 0</w:t>
        <w:br/>
        <w:t xml:space="preserve">    ModelPayload["Nativelang"] &lt;- ConvertBooleanToBinary(Demographics.nativeLang)</w:t>
        <w:br/>
        <w:t xml:space="preserve">    ModelPayload["Otherlang"]  &lt;- ConvertBooleanToBinary(Demographics.otherLang)</w:t>
        <w:br/>
        <w:t xml:space="preserve">    ModelPayload["Age"]        &lt;- Demographics.age</w:t>
        <w:br/>
        <w:br/>
        <w:t xml:space="preserve">    // Step 2: Define question sets with non-standard typing mechanics</w:t>
        <w:br/>
        <w:t xml:space="preserve">    TYPED_RECALL_QUESTIONS &lt;- {"q30", "q31", "q32"}</w:t>
        <w:br/>
        <w:br/>
        <w:t xml:space="preserve">    // Step 3: Compute aggregate gameplay statistics for all 33 tasks</w:t>
        <w:br/>
        <w:t xml:space="preserve">    FOR EACH qId IN QuestionIDs DO</w:t>
        <w:br/>
        <w:t xml:space="preserve">        questionKey &lt;- Concatenate("q", qId)</w:t>
        <w:br/>
        <w:t xml:space="preserve">        </w:t>
        <w:br/>
        <w:t xml:space="preserve">        // Filter events belonging to the current task</w:t>
        <w:br/>
        <w:t xml:space="preserve">        qEvents &lt;- Filter EventsList where event.questionId equals questionKey</w:t>
        <w:br/>
        <w:t xml:space="preserve">        </w:t>
        <w:br/>
        <w:t xml:space="preserve">        clicks &lt;- Count qEvents where event.eventType equals "click"</w:t>
        <w:br/>
        <w:t xml:space="preserve">        hits   &lt;- Count qEvents where event.eventType equals "hit"</w:t>
        <w:br/>
        <w:t xml:space="preserve">        misses &lt;- Count qEvents where event.eventType equals "miss"</w:t>
        <w:br/>
        <w:t xml:space="preserve">        score  &lt;- hits</w:t>
        <w:br/>
        <w:t xml:space="preserve">        </w:t>
        <w:br/>
        <w:t xml:space="preserve">        // Apply custom rounding mechanics for keystroke/typed recall games</w:t>
        <w:br/>
        <w:t xml:space="preserve">        IF questionKey IS IN TYPED_RECALL_QUESTIONS THEN</w:t>
        <w:br/>
        <w:t xml:space="preserve">            rounds &lt;- hits + misses</w:t>
        <w:br/>
        <w:t xml:space="preserve">            IF rounds &gt; 0 THEN</w:t>
        <w:br/>
        <w:t xml:space="preserve">                accuracy &lt;- hits / rounds</w:t>
        <w:br/>
        <w:t xml:space="preserve">                missrate &lt;- misses / rounds</w:t>
        <w:br/>
        <w:t xml:space="preserve">            ELSE</w:t>
        <w:br/>
        <w:t xml:space="preserve">                accuracy &lt;- 0.0</w:t>
        <w:br/>
        <w:t xml:space="preserve">                missrate &lt;- 0.0</w:t>
        <w:br/>
        <w:t xml:space="preserve">            ENDIF</w:t>
        <w:br/>
        <w:t xml:space="preserve">        ELSE</w:t>
        <w:br/>
        <w:t xml:space="preserve">            IF clicks &gt; 0 THEN</w:t>
        <w:br/>
        <w:t xml:space="preserve">                accuracy &lt;- hits / clicks</w:t>
        <w:br/>
        <w:t xml:space="preserve">                missrate &lt;- misses / clicks</w:t>
        <w:br/>
        <w:t xml:space="preserve">            ELSE</w:t>
        <w:br/>
        <w:t xml:space="preserve">                accuracy &lt;- 0.0</w:t>
        <w:br/>
        <w:t xml:space="preserve">                missrate &lt;- 0.0</w:t>
        <w:br/>
        <w:t xml:space="preserve">            ENDIF</w:t>
        <w:br/>
        <w:t xml:space="preserve">        ENDIF</w:t>
        <w:br/>
        <w:br/>
        <w:t xml:space="preserve">        // Map aggregated metrics into the final ML vector payload</w:t>
        <w:br/>
        <w:t xml:space="preserve">        ModelPayload[Concatenate("Clicks", qId)]   &lt;- clicks</w:t>
        <w:br/>
        <w:t xml:space="preserve">        ModelPayload[Concatenate("Hits", qId)]     &lt;- hits</w:t>
        <w:br/>
        <w:t xml:space="preserve">        ModelPayload[Concatenate("Misses", qId)]   &lt;- misses</w:t>
        <w:br/>
        <w:t xml:space="preserve">        ModelPayload[Concatenate("Score", qId)]     &lt;- score</w:t>
        <w:br/>
        <w:t xml:space="preserve">        ModelPayload[Concatenate("Accuracy", qId)] &lt;- accuracy</w:t>
        <w:br/>
        <w:t xml:space="preserve">        ModelPayload[Concatenate("Missrate", qId)] &lt;- missrate</w:t>
        <w:br/>
        <w:t xml:space="preserve">    ENDFOR</w:t>
        <w:br/>
        <w:br/>
        <w:t xml:space="preserve">    RETURN ModelPayload</w:t>
        <w:br/>
        <w:t>END</w:t>
      </w:r>
    </w:p>
    <w:p>
      <w:pPr>
        <w:keepNext/>
        <w:spacing w:before="360" w:after="120"/>
      </w:pPr>
      <w:r>
        <w:rPr>
          <w:rFonts w:ascii="Segoe UI" w:hAnsi="Segoe UI"/>
          <w:b/>
          <w:color w:val="1E3A8A"/>
          <w:sz w:val="32"/>
        </w:rPr>
        <w:t>5. Server-Side ML Processing &amp; Inference Engine</w:t>
      </w:r>
    </w:p>
    <w:p>
      <w:pPr>
        <w:spacing w:after="120" w:line="276" w:lineRule="auto"/>
      </w:pPr>
      <w:r>
        <w:rPr>
          <w:rFonts w:ascii="Segoe UI" w:hAnsi="Segoe UI"/>
          <w:b w:val="0"/>
          <w:i w:val="0"/>
          <w:color w:val="374151"/>
          <w:sz w:val="21"/>
        </w:rPr>
        <w:t>The FastAPI backend hosts the age-specific Random Forest models. It acts as an API gateway, performing rigorous input validation, executing feature-engineering fixes, routing queries based on participant age, and conducting inference. The algorithm below documents this backend lifecycle:</w:t>
      </w:r>
    </w:p>
    <w:p>
      <w:pPr>
        <w:spacing w:before="160" w:after="160" w:line="252" w:lineRule="auto"/>
        <w:ind w:left="432"/>
        <w:shd w:val="clear" w:color="auto" w:fill="F3F4F6"/>
        <w:pBdr>
          <w:left w:val="single" w:sz="12" w:space="10" w:color="9CA3AF"/>
        </w:pBdr>
      </w:pPr>
      <w:r>
        <w:rPr>
          <w:rFonts w:ascii="Consolas" w:hAnsi="Consolas"/>
          <w:color w:val="1F2937"/>
          <w:sz w:val="17"/>
        </w:rPr>
        <w:t>ALGORITHM Backend_ML_Inference</w:t>
        <w:br/>
        <w:t>INPUT:</w:t>
        <w:br/>
        <w:t xml:space="preserve">    Payload: Key-Value Map of participant features (Demographics + gameplay metrics)</w:t>
        <w:br/>
        <w:t xml:space="preserve">    ModelsConfig: Configuration file defining age groups, paths, thresholds, and feature names</w:t>
        <w:br/>
        <w:br/>
        <w:t>OUTPUT:</w:t>
        <w:br/>
        <w:t xml:space="preserve">    PredictionResult: { probability: Float, threshold: Float, prediction: String, confidence: Float, age_group: String }</w:t>
        <w:br/>
        <w:br/>
        <w:t>BEGIN</w:t>
        <w:br/>
        <w:t xml:space="preserve">    // Step 1: Input Validation and Schema Safeguarding</w:t>
        <w:br/>
        <w:t xml:space="preserve">    IF Payload does not contain "Age" THEN</w:t>
        <w:br/>
        <w:t xml:space="preserve">        RETURN ERROR "Age must be provided"</w:t>
        <w:br/>
        <w:t xml:space="preserve">    ENDIF</w:t>
        <w:br/>
        <w:t xml:space="preserve">    </w:t>
        <w:br/>
        <w:t xml:space="preserve">    age &lt;- Integer(Payload["Age"])</w:t>
        <w:br/>
        <w:t xml:space="preserve">    IF age &lt; 7 OR age &gt; 17 THEN</w:t>
        <w:br/>
        <w:t xml:space="preserve">        RETURN ERROR "Age must be between 7 and 17"</w:t>
        <w:br/>
        <w:t xml:space="preserve">    ENDIF</w:t>
        <w:br/>
        <w:br/>
        <w:t xml:space="preserve">    FOR EACH demographic_field IN ["Gender", "Nativelang", "Otherlang"] DO</w:t>
        <w:br/>
        <w:t xml:space="preserve">        IF Payload[demographic_field] IS NOT IN {0, 1} THEN</w:t>
        <w:br/>
        <w:t xml:space="preserve">            RETURN ERROR "Demographic field must be binary (0 or 1)"</w:t>
        <w:br/>
        <w:t xml:space="preserve">        ENDIF</w:t>
        <w:br/>
        <w:t xml:space="preserve">    ENDFOR</w:t>
        <w:br/>
        <w:br/>
        <w:t xml:space="preserve">    // Step 2: Route request to age-specific Random Forest Model Group</w:t>
        <w:br/>
        <w:t xml:space="preserve">    // Model Groups: G1 (7-8 years), G2 (9-11 years), G3 (12-17 years)</w:t>
        <w:br/>
        <w:t xml:space="preserve">    activeGroup &lt;- NULL</w:t>
        <w:br/>
        <w:t xml:space="preserve">    FOR EACH group IN ModelsConfig.groups DO</w:t>
        <w:br/>
        <w:t xml:space="preserve">        IF group.age_min &lt;= age AND age &lt;= group.age_max THEN</w:t>
        <w:br/>
        <w:t xml:space="preserve">            activeGroup &lt;- group</w:t>
        <w:br/>
        <w:t xml:space="preserve">            BREAK</w:t>
        <w:br/>
        <w:t xml:space="preserve">        ENDIF</w:t>
        <w:br/>
        <w:t xml:space="preserve">    ENDFOR</w:t>
        <w:br/>
        <w:br/>
        <w:t xml:space="preserve">    IF activeGroup IS NULL THEN</w:t>
        <w:br/>
        <w:t xml:space="preserve">        RETURN ERROR "No validated ML model found for the specified age"</w:t>
        <w:br/>
        <w:t xml:space="preserve">    ENDIF</w:t>
        <w:br/>
        <w:br/>
        <w:t xml:space="preserve">    // Step 3: Feature Engineering and Data Correction (V2 Pipeline)</w:t>
        <w:br/>
        <w:t xml:space="preserve">    enrichedPayload &lt;- Copy(Payload)</w:t>
        <w:br/>
        <w:br/>
        <w:t xml:space="preserve">    // Fix 1: Clamp Accuracy* and Missrate* to [0.0, 1.0] to remove division-by-zero telemetry anomalies</w:t>
        <w:br/>
        <w:t xml:space="preserve">    FOR EACH key, value IN enrichedPayload DO</w:t>
        <w:br/>
        <w:t xml:space="preserve">        IF key STARTS WITH "Accuracy" OR key STARTS WITH "Missrate" THEN</w:t>
        <w:br/>
        <w:t xml:space="preserve">            IF value IS NOT NULL THEN</w:t>
        <w:br/>
        <w:t xml:space="preserve">                enrichedPayload[key] &lt;- Clamp(Float(value), 0.0, 1.0)</w:t>
        <w:br/>
        <w:t xml:space="preserve">            ELSE</w:t>
        <w:br/>
        <w:t xml:space="preserve">                enrichedPayload[key] &lt;- 0.0</w:t>
        <w:br/>
        <w:t xml:space="preserve">            ENDIF</w:t>
        <w:br/>
        <w:t xml:space="preserve">        ENDIF</w:t>
        <w:br/>
        <w:t xml:space="preserve">    ENDFOR</w:t>
        <w:br/>
        <w:br/>
        <w:t xml:space="preserve">    // Fix 2: Re-compute Adjusted Accuracies for broken-mechanic questions (Q26, Q27, Q28, Q30, Q31, Q32)</w:t>
        <w:br/>
        <w:t xml:space="preserve">    ADJUSTED_ACC_QUESTIONS &lt;- {26, 27, 28, 30, 31, 32}</w:t>
        <w:br/>
        <w:t xml:space="preserve">    FOR EACH q IN ADJUSTED_ACC_QUESTIONS DO</w:t>
        <w:br/>
        <w:t xml:space="preserve">        hits   &lt;- Float(enrichedPayload.Get(Concatenate("Hits", q), 0))</w:t>
        <w:br/>
        <w:t xml:space="preserve">        misses &lt;- Float(enrichedPayload.Get(Concatenate("Misses", q), 0))</w:t>
        <w:br/>
        <w:t xml:space="preserve">        denom  &lt;- hits + misses</w:t>
        <w:br/>
        <w:t xml:space="preserve">        </w:t>
        <w:br/>
        <w:t xml:space="preserve">        IF denom &gt; 0 THEN</w:t>
        <w:br/>
        <w:t xml:space="preserve">            enrichedPayload[Concatenate("AdjAcc", q)]  &lt;- hits / denom</w:t>
        <w:br/>
        <w:t xml:space="preserve">            enrichedPayload[Concatenate("AdjMiss", q)] &lt;- misses / denom</w:t>
        <w:br/>
        <w:t xml:space="preserve">        ELSE</w:t>
        <w:br/>
        <w:t xml:space="preserve">            enrichedPayload[Concatenate("AdjAcc", q)]  &lt;- 0.0</w:t>
        <w:br/>
        <w:t xml:space="preserve">            enrichedPayload[Concatenate("AdjMiss", q)] &lt;- 0.0</w:t>
        <w:br/>
        <w:t xml:space="preserve">        ENDIF</w:t>
        <w:br/>
        <w:t xml:space="preserve">    ENDFOR</w:t>
        <w:br/>
        <w:br/>
        <w:t xml:space="preserve">    // Step 4: Construct Feature Vector matching the active model's specific signature</w:t>
        <w:br/>
        <w:t xml:space="preserve">    featureVector &lt;- Empty List</w:t>
        <w:br/>
        <w:t xml:space="preserve">    FOR EACH featureName IN activeGroup.feature_names DO</w:t>
        <w:br/>
        <w:t xml:space="preserve">        featureVector.Append(Float(enrichedPayload.Get(featureName, 0.0)))</w:t>
        <w:br/>
        <w:t xml:space="preserve">    ENDFOR</w:t>
        <w:br/>
        <w:br/>
        <w:t xml:space="preserve">    // Convert list to a tabular Pandas DataFrame structure for Scikit-Learn</w:t>
        <w:br/>
        <w:t xml:space="preserve">    dataFrame &lt;- ConvertToDataFrame([featureVector], columns=activeGroup.feature_names)</w:t>
        <w:br/>
        <w:t xml:space="preserve">    </w:t>
        <w:br/>
        <w:t xml:space="preserve">    // predict_proba yields [P(No Risk), P(Dyslexia Risk)]</w:t>
        <w:br/>
        <w:t xml:space="preserve">    probabilities &lt;- activeGroup.pipeline.predict_proba(dataFrame)</w:t>
        <w:br/>
        <w:t xml:space="preserve">    probabilityOfRisk &lt;- probabilities[0][1] // Grab probability of positive class (Dyslexia)</w:t>
        <w:br/>
        <w:br/>
        <w:t xml:space="preserve">    // Step 5: Risk Classification and Confidence Estimation</w:t>
        <w:br/>
        <w:t xml:space="preserve">    IF probabilityOfRisk &gt;= activeGroup.threshold THEN</w:t>
        <w:br/>
        <w:t xml:space="preserve">        predictionLabel &lt;- "Dyslexia Risk"</w:t>
        <w:br/>
        <w:t xml:space="preserve">    ELSE</w:t>
        <w:br/>
        <w:t xml:space="preserve">        predictionLabel &lt;- "No Risk"</w:t>
        <w:br/>
        <w:t xml:space="preserve">    ENDIF</w:t>
        <w:br/>
        <w:br/>
        <w:t xml:space="preserve">    // Calculate distance from 0.50 (maximum uncertainty) and scale to [0, 1]</w:t>
        <w:br/>
        <w:t xml:space="preserve">    confidenceScore &lt;- Min(1.0, AbsoluteValue(probabilityOfRisk - 0.50) * 2)</w:t>
        <w:br/>
        <w:br/>
        <w:t xml:space="preserve">    // Step 6: Return Response</w:t>
        <w:br/>
        <w:t xml:space="preserve">    RETURN PredictionResult {</w:t>
        <w:br/>
        <w:t xml:space="preserve">        probability:   probabilityOfRisk,</w:t>
        <w:br/>
        <w:t xml:space="preserve">        threshold:     activeGroup.threshold,</w:t>
        <w:br/>
        <w:t xml:space="preserve">        prediction:    predictionLabel,</w:t>
        <w:br/>
        <w:t xml:space="preserve">        confidence:    confidenceScore,</w:t>
        <w:br/>
        <w:t xml:space="preserve">        age_group:     activeGroup.name,</w:t>
        <w:br/>
        <w:t xml:space="preserve">        model_version: activeGroup.model_version</w:t>
        <w:br/>
        <w:t xml:space="preserve">    }</w:t>
        <w:br/>
        <w:t>END</w:t>
      </w:r>
    </w:p>
    <w:p>
      <w:pPr>
        <w:keepNext/>
        <w:spacing w:before="360" w:after="120"/>
      </w:pPr>
      <w:r>
        <w:rPr>
          <w:rFonts w:ascii="Segoe UI" w:hAnsi="Segoe UI"/>
          <w:b/>
          <w:color w:val="1E3A8A"/>
          <w:sz w:val="32"/>
        </w:rPr>
        <w:t>6. Research Validation &amp; Conclusion</w:t>
      </w:r>
    </w:p>
    <w:p>
      <w:pPr>
        <w:spacing w:after="120" w:line="276" w:lineRule="auto"/>
      </w:pPr>
      <w:r>
        <w:rPr>
          <w:rFonts w:ascii="Segoe UI" w:hAnsi="Segoe UI"/>
          <w:b w:val="0"/>
          <w:i w:val="0"/>
          <w:color w:val="374151"/>
          <w:sz w:val="21"/>
        </w:rPr>
        <w:t>By implementing Youden's J statistic-derived decision thresholds and correcting for gameplay anomalies (clipping and round-based adjusted accuracies), DysTest provides a statistically rigorous, client-safe dyslexia screening mechanism. Decoupling the client-side Next.js game execution from the FastAPI backend ensures high efficiency, security, and portability.</w:t>
      </w:r>
    </w:p>
    <w:p>
      <w:pPr>
        <w:spacing w:before="160" w:after="160" w:line="276" w:lineRule="auto"/>
        <w:ind w:left="576"/>
        <w:shd w:val="clear" w:color="auto" w:fill="FEF3C7"/>
        <w:pBdr>
          <w:left w:val="single" w:sz="16" w:space="10" w:color="D97706"/>
        </w:pBdr>
      </w:pPr>
      <w:r>
        <w:rPr>
          <w:rFonts w:ascii="Segoe UI" w:hAnsi="Segoe UI"/>
          <w:b/>
          <w:color w:val="B45309"/>
          <w:sz w:val="20"/>
        </w:rPr>
        <w:t xml:space="preserve">★ CLINICAL DISCLAIMER: </w:t>
      </w:r>
      <w:r>
        <w:rPr>
          <w:rFonts w:ascii="Segoe UI" w:hAnsi="Segoe UI"/>
          <w:i/>
          <w:color w:val="783504"/>
          <w:sz w:val="19"/>
        </w:rPr>
        <w:t>DysTest is a statistical screening aid designed to detect the risk profile of dyslexia using gamified cognitive performance indicators. It does NOT provide a formal clinical or medical diagnosis. All screening results are probability estimates that should be interpreted by certified educational psychologists or healthcare practitioners.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