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ADFE" w14:textId="77777777" w:rsidR="00FC68A4" w:rsidRDefault="00FC68A4" w:rsidP="00FC68A4">
      <w:pPr>
        <w:spacing w:line="480" w:lineRule="auto"/>
        <w:contextualSpacing/>
        <w:jc w:val="center"/>
      </w:pPr>
    </w:p>
    <w:p w14:paraId="3C8FA2F2" w14:textId="0052F207" w:rsidR="00FC68A4" w:rsidRDefault="00FC68A4" w:rsidP="00FC68A4">
      <w:pPr>
        <w:spacing w:line="480" w:lineRule="auto"/>
        <w:contextualSpacing/>
        <w:jc w:val="center"/>
      </w:pPr>
      <w:r w:rsidRPr="00063811">
        <w:t xml:space="preserve">ESG FEDERALISM:  HOW STATE </w:t>
      </w:r>
    </w:p>
    <w:p w14:paraId="3C582C9A" w14:textId="74CA841D" w:rsidR="00B80FCB" w:rsidRPr="00063811" w:rsidRDefault="00FC68A4" w:rsidP="008612B7">
      <w:pPr>
        <w:spacing w:line="480" w:lineRule="auto"/>
        <w:contextualSpacing/>
        <w:jc w:val="center"/>
      </w:pPr>
      <w:r w:rsidRPr="00063811">
        <w:t>REGULATIONS SHAPE ESG PERFORMANCE</w:t>
      </w:r>
    </w:p>
    <w:p w14:paraId="4679E594" w14:textId="2E3E506F" w:rsidR="00B80FCB" w:rsidRPr="00063811" w:rsidRDefault="00FC68A4" w:rsidP="008612B7">
      <w:pPr>
        <w:tabs>
          <w:tab w:val="left" w:pos="1440"/>
          <w:tab w:val="left" w:leader="underscore" w:pos="7920"/>
        </w:tabs>
        <w:spacing w:line="480" w:lineRule="auto"/>
        <w:contextualSpacing/>
      </w:pPr>
      <w:r>
        <w:tab/>
      </w:r>
      <w:r>
        <w:tab/>
      </w:r>
    </w:p>
    <w:p w14:paraId="7776DB6B" w14:textId="77777777" w:rsidR="00B80FCB" w:rsidRPr="00063811" w:rsidRDefault="00B80FCB" w:rsidP="00F256FD">
      <w:pPr>
        <w:spacing w:line="480" w:lineRule="auto"/>
        <w:contextualSpacing/>
        <w:jc w:val="center"/>
      </w:pPr>
      <w:r w:rsidRPr="00063811">
        <w:t>A Thesis</w:t>
      </w:r>
    </w:p>
    <w:p w14:paraId="25CC90F5" w14:textId="77777777" w:rsidR="00B80FCB" w:rsidRPr="00063811" w:rsidRDefault="00B80FCB" w:rsidP="00F256FD">
      <w:pPr>
        <w:spacing w:line="480" w:lineRule="auto"/>
        <w:contextualSpacing/>
        <w:jc w:val="center"/>
      </w:pPr>
      <w:r w:rsidRPr="00063811">
        <w:t>Presented to</w:t>
      </w:r>
    </w:p>
    <w:p w14:paraId="33E1CEDC" w14:textId="77777777" w:rsidR="00B80FCB" w:rsidRPr="00063811" w:rsidRDefault="00B80FCB" w:rsidP="00F256FD">
      <w:pPr>
        <w:spacing w:line="480" w:lineRule="auto"/>
        <w:contextualSpacing/>
        <w:jc w:val="center"/>
      </w:pPr>
      <w:r w:rsidRPr="00063811">
        <w:t>The Graduate Faculty</w:t>
      </w:r>
    </w:p>
    <w:p w14:paraId="78C9AF2D" w14:textId="77777777" w:rsidR="00B80FCB" w:rsidRPr="00063811" w:rsidRDefault="00B80FCB" w:rsidP="008612B7">
      <w:pPr>
        <w:spacing w:line="480" w:lineRule="auto"/>
        <w:contextualSpacing/>
        <w:jc w:val="center"/>
      </w:pPr>
      <w:r w:rsidRPr="00063811">
        <w:t>Central Washington University</w:t>
      </w:r>
    </w:p>
    <w:p w14:paraId="69999B11" w14:textId="77777777" w:rsidR="00FC68A4" w:rsidRPr="00063811" w:rsidRDefault="00FC68A4" w:rsidP="00FC68A4">
      <w:pPr>
        <w:tabs>
          <w:tab w:val="left" w:pos="1440"/>
          <w:tab w:val="left" w:leader="underscore" w:pos="7920"/>
        </w:tabs>
        <w:spacing w:line="480" w:lineRule="auto"/>
        <w:contextualSpacing/>
      </w:pPr>
      <w:r>
        <w:tab/>
      </w:r>
      <w:r>
        <w:tab/>
      </w:r>
    </w:p>
    <w:p w14:paraId="6C5248B5" w14:textId="4D6940D9" w:rsidR="00B80FCB" w:rsidRPr="00063811" w:rsidRDefault="00B80FCB" w:rsidP="00F256FD">
      <w:pPr>
        <w:spacing w:line="480" w:lineRule="auto"/>
        <w:contextualSpacing/>
        <w:jc w:val="center"/>
      </w:pPr>
      <w:r w:rsidRPr="00063811">
        <w:t>In Partial Fulfillment</w:t>
      </w:r>
    </w:p>
    <w:p w14:paraId="2BBC2F3B" w14:textId="77777777" w:rsidR="00B80FCB" w:rsidRPr="00063811" w:rsidRDefault="00B80FCB" w:rsidP="00F256FD">
      <w:pPr>
        <w:spacing w:line="480" w:lineRule="auto"/>
        <w:contextualSpacing/>
        <w:jc w:val="center"/>
      </w:pPr>
      <w:r w:rsidRPr="00063811">
        <w:t>of the Requirements for the Degree</w:t>
      </w:r>
    </w:p>
    <w:p w14:paraId="6D6CBE6D" w14:textId="77777777" w:rsidR="00B80FCB" w:rsidRPr="00063811" w:rsidRDefault="00B80FCB" w:rsidP="00F256FD">
      <w:pPr>
        <w:spacing w:line="480" w:lineRule="auto"/>
        <w:contextualSpacing/>
        <w:jc w:val="center"/>
      </w:pPr>
      <w:r w:rsidRPr="00063811">
        <w:t>Master of Science</w:t>
      </w:r>
    </w:p>
    <w:p w14:paraId="30DD0EDB" w14:textId="183B36C9" w:rsidR="00FC68A4" w:rsidRPr="00063811" w:rsidRDefault="00B80FCB" w:rsidP="008612B7">
      <w:pPr>
        <w:spacing w:line="480" w:lineRule="auto"/>
        <w:contextualSpacing/>
        <w:jc w:val="center"/>
      </w:pPr>
      <w:r w:rsidRPr="00063811">
        <w:t>Cultural and Environmental Resource Management</w:t>
      </w:r>
    </w:p>
    <w:p w14:paraId="1665ED26" w14:textId="77777777" w:rsidR="00FC68A4" w:rsidRPr="00063811" w:rsidRDefault="00FC68A4" w:rsidP="00FC68A4">
      <w:pPr>
        <w:tabs>
          <w:tab w:val="left" w:pos="1440"/>
          <w:tab w:val="left" w:leader="underscore" w:pos="7920"/>
        </w:tabs>
        <w:spacing w:line="480" w:lineRule="auto"/>
        <w:contextualSpacing/>
      </w:pPr>
      <w:r>
        <w:tab/>
      </w:r>
      <w:r>
        <w:tab/>
      </w:r>
    </w:p>
    <w:p w14:paraId="41E8125D" w14:textId="77777777" w:rsidR="00B80FCB" w:rsidRPr="00063811" w:rsidRDefault="00B80FCB" w:rsidP="00FC68A4">
      <w:pPr>
        <w:spacing w:line="480" w:lineRule="auto"/>
        <w:contextualSpacing/>
        <w:jc w:val="center"/>
      </w:pPr>
      <w:r w:rsidRPr="00063811">
        <w:t xml:space="preserve">by </w:t>
      </w:r>
    </w:p>
    <w:p w14:paraId="7F155139" w14:textId="77E52DA5" w:rsidR="00B80FCB" w:rsidRPr="00063811" w:rsidRDefault="00B80FCB" w:rsidP="00F256FD">
      <w:pPr>
        <w:spacing w:line="480" w:lineRule="auto"/>
        <w:contextualSpacing/>
        <w:jc w:val="center"/>
      </w:pPr>
      <w:r w:rsidRPr="00063811">
        <w:t>Kameron Eck</w:t>
      </w:r>
    </w:p>
    <w:p w14:paraId="0EAA60BA" w14:textId="77777777" w:rsidR="00D41F40" w:rsidRDefault="00B80FCB" w:rsidP="00536B60">
      <w:pPr>
        <w:spacing w:after="160" w:line="278" w:lineRule="auto"/>
        <w:jc w:val="center"/>
        <w:sectPr w:rsidR="00D41F40" w:rsidSect="008612B7">
          <w:footerReference w:type="default" r:id="rId8"/>
          <w:footerReference w:type="first" r:id="rId9"/>
          <w:pgSz w:w="12240" w:h="15840"/>
          <w:pgMar w:top="1440" w:right="1440" w:bottom="1440" w:left="1440" w:header="720" w:footer="720" w:gutter="0"/>
          <w:pgNumType w:fmt="lowerRoman" w:start="1"/>
          <w:cols w:space="720"/>
          <w:docGrid w:linePitch="360"/>
        </w:sectPr>
      </w:pPr>
      <w:r w:rsidRPr="00063811">
        <w:t>March 2025</w:t>
      </w:r>
    </w:p>
    <w:p w14:paraId="170A5679" w14:textId="77777777" w:rsidR="006760A7" w:rsidRPr="00063811" w:rsidRDefault="006760A7" w:rsidP="008612B7">
      <w:pPr>
        <w:spacing w:after="160" w:line="278" w:lineRule="auto"/>
        <w:jc w:val="center"/>
      </w:pPr>
      <w:r w:rsidRPr="00063811">
        <w:lastRenderedPageBreak/>
        <w:t>CENTRAL WASHINGTON UNIVERSITY</w:t>
      </w:r>
    </w:p>
    <w:p w14:paraId="02A42DF6" w14:textId="77777777" w:rsidR="006760A7" w:rsidRPr="00063811" w:rsidRDefault="006760A7" w:rsidP="006760A7">
      <w:pPr>
        <w:spacing w:line="480" w:lineRule="auto"/>
        <w:contextualSpacing/>
        <w:jc w:val="center"/>
      </w:pPr>
      <w:r w:rsidRPr="00063811">
        <w:t>Graduate Studies</w:t>
      </w:r>
    </w:p>
    <w:p w14:paraId="6F83ED36" w14:textId="77777777" w:rsidR="006760A7" w:rsidRPr="00063811" w:rsidRDefault="006760A7" w:rsidP="006760A7">
      <w:pPr>
        <w:spacing w:line="480" w:lineRule="auto"/>
        <w:contextualSpacing/>
        <w:jc w:val="center"/>
      </w:pPr>
    </w:p>
    <w:p w14:paraId="33302F53" w14:textId="77777777" w:rsidR="006760A7" w:rsidRPr="00063811" w:rsidRDefault="006760A7" w:rsidP="006760A7">
      <w:pPr>
        <w:spacing w:line="480" w:lineRule="auto"/>
        <w:contextualSpacing/>
      </w:pPr>
      <w:r w:rsidRPr="00063811">
        <w:t>We hereby approve the thesis of</w:t>
      </w:r>
    </w:p>
    <w:p w14:paraId="5A94538D" w14:textId="77777777" w:rsidR="006760A7" w:rsidRPr="00063811" w:rsidRDefault="006760A7" w:rsidP="006760A7">
      <w:pPr>
        <w:spacing w:line="480" w:lineRule="auto"/>
        <w:contextualSpacing/>
      </w:pPr>
    </w:p>
    <w:p w14:paraId="07561E3E" w14:textId="77777777" w:rsidR="006760A7" w:rsidRPr="00063811" w:rsidRDefault="006760A7" w:rsidP="006760A7">
      <w:pPr>
        <w:spacing w:line="480" w:lineRule="auto"/>
        <w:contextualSpacing/>
        <w:jc w:val="center"/>
      </w:pPr>
      <w:r w:rsidRPr="00063811">
        <w:t>Kameron Eck</w:t>
      </w:r>
    </w:p>
    <w:p w14:paraId="0DD2F815" w14:textId="77777777" w:rsidR="006760A7" w:rsidRPr="00063811" w:rsidRDefault="006760A7" w:rsidP="006760A7">
      <w:pPr>
        <w:spacing w:line="480" w:lineRule="auto"/>
        <w:contextualSpacing/>
        <w:jc w:val="center"/>
      </w:pPr>
    </w:p>
    <w:p w14:paraId="71840303" w14:textId="77777777" w:rsidR="006760A7" w:rsidRPr="00063811" w:rsidRDefault="006760A7" w:rsidP="006760A7">
      <w:pPr>
        <w:spacing w:line="480" w:lineRule="auto"/>
        <w:contextualSpacing/>
      </w:pPr>
      <w:r w:rsidRPr="00063811">
        <w:t>Candidate for the degree of Master of Science</w:t>
      </w:r>
    </w:p>
    <w:p w14:paraId="70746B92" w14:textId="77777777" w:rsidR="006760A7" w:rsidRPr="00063811" w:rsidRDefault="006760A7" w:rsidP="006760A7">
      <w:pPr>
        <w:spacing w:line="480" w:lineRule="auto"/>
        <w:contextualSpacing/>
        <w:jc w:val="right"/>
      </w:pPr>
    </w:p>
    <w:p w14:paraId="3D4FA604" w14:textId="77777777" w:rsidR="006760A7" w:rsidRPr="00063811" w:rsidRDefault="006760A7" w:rsidP="006760A7">
      <w:pPr>
        <w:spacing w:line="480" w:lineRule="auto"/>
        <w:ind w:left="3600" w:firstLine="720"/>
        <w:contextualSpacing/>
      </w:pPr>
      <w:bookmarkStart w:id="0" w:name="_Hlk193969221"/>
      <w:r w:rsidRPr="00063811">
        <w:t>APPROVED FOR THE GRADUATE FACULTY</w:t>
      </w:r>
    </w:p>
    <w:p w14:paraId="33A0C989" w14:textId="77777777" w:rsidR="006760A7" w:rsidRPr="00063811" w:rsidRDefault="006760A7" w:rsidP="006760A7">
      <w:pPr>
        <w:spacing w:after="160" w:line="278" w:lineRule="auto"/>
        <w:rPr>
          <w:b/>
          <w:bCs/>
        </w:rPr>
      </w:pPr>
    </w:p>
    <w:p w14:paraId="3A605DB1" w14:textId="77777777" w:rsidR="006760A7" w:rsidRPr="00063811" w:rsidRDefault="006760A7" w:rsidP="006760A7">
      <w:pPr>
        <w:tabs>
          <w:tab w:val="left" w:leader="underscore" w:pos="2160"/>
          <w:tab w:val="left" w:pos="4176"/>
          <w:tab w:val="left" w:leader="underscore" w:pos="9360"/>
        </w:tabs>
      </w:pPr>
      <w:r w:rsidRPr="00063811">
        <w:tab/>
      </w:r>
      <w:r w:rsidRPr="00063811">
        <w:tab/>
      </w:r>
      <w:r w:rsidRPr="00063811">
        <w:tab/>
      </w:r>
    </w:p>
    <w:p w14:paraId="1DF72FBC" w14:textId="77777777" w:rsidR="006760A7" w:rsidRPr="00063811" w:rsidRDefault="006760A7" w:rsidP="006760A7">
      <w:pPr>
        <w:spacing w:line="278" w:lineRule="auto"/>
      </w:pPr>
      <w:r w:rsidRPr="00063811">
        <w:tab/>
      </w:r>
      <w:r w:rsidRPr="00063811">
        <w:tab/>
      </w:r>
      <w:r w:rsidRPr="00063811">
        <w:tab/>
      </w:r>
      <w:r w:rsidRPr="00063811">
        <w:tab/>
      </w:r>
      <w:r w:rsidRPr="00063811">
        <w:tab/>
      </w:r>
      <w:r w:rsidRPr="00063811">
        <w:tab/>
        <w:t>Toni Sipic, Committee Chair</w:t>
      </w:r>
    </w:p>
    <w:p w14:paraId="2EEF105F" w14:textId="77777777" w:rsidR="006760A7" w:rsidRPr="00063811" w:rsidRDefault="006760A7" w:rsidP="006760A7">
      <w:pPr>
        <w:spacing w:line="278" w:lineRule="auto"/>
      </w:pPr>
    </w:p>
    <w:p w14:paraId="2453D485" w14:textId="77777777" w:rsidR="006760A7" w:rsidRPr="00063811" w:rsidRDefault="006760A7" w:rsidP="006760A7">
      <w:pPr>
        <w:spacing w:line="278" w:lineRule="auto"/>
      </w:pPr>
    </w:p>
    <w:p w14:paraId="3F0CBB26" w14:textId="77777777" w:rsidR="006760A7" w:rsidRPr="00063811" w:rsidRDefault="006760A7" w:rsidP="006760A7">
      <w:pPr>
        <w:tabs>
          <w:tab w:val="left" w:leader="underscore" w:pos="2160"/>
          <w:tab w:val="left" w:pos="4176"/>
          <w:tab w:val="left" w:leader="underscore" w:pos="9360"/>
        </w:tabs>
      </w:pPr>
      <w:r w:rsidRPr="00063811">
        <w:tab/>
      </w:r>
      <w:r w:rsidRPr="00063811">
        <w:tab/>
      </w:r>
      <w:r w:rsidRPr="00063811">
        <w:tab/>
      </w:r>
    </w:p>
    <w:p w14:paraId="6674698F" w14:textId="77777777" w:rsidR="006760A7" w:rsidRPr="00063811" w:rsidRDefault="006760A7" w:rsidP="006760A7">
      <w:pPr>
        <w:spacing w:line="278" w:lineRule="auto"/>
      </w:pPr>
      <w:r w:rsidRPr="00063811">
        <w:tab/>
      </w:r>
      <w:r w:rsidRPr="00063811">
        <w:tab/>
      </w:r>
      <w:r w:rsidRPr="00063811">
        <w:tab/>
      </w:r>
      <w:r w:rsidRPr="00063811">
        <w:tab/>
      </w:r>
      <w:r w:rsidRPr="00063811">
        <w:tab/>
      </w:r>
      <w:r w:rsidRPr="00063811">
        <w:tab/>
        <w:t>Kevin Archer</w:t>
      </w:r>
    </w:p>
    <w:p w14:paraId="1B027B1A" w14:textId="77777777" w:rsidR="006760A7" w:rsidRPr="00063811" w:rsidRDefault="006760A7" w:rsidP="006760A7">
      <w:pPr>
        <w:spacing w:line="278" w:lineRule="auto"/>
      </w:pPr>
    </w:p>
    <w:p w14:paraId="49395A5A" w14:textId="77777777" w:rsidR="006760A7" w:rsidRPr="00063811" w:rsidRDefault="006760A7" w:rsidP="006760A7">
      <w:pPr>
        <w:spacing w:line="278" w:lineRule="auto"/>
      </w:pPr>
    </w:p>
    <w:p w14:paraId="384C1A98" w14:textId="77777777" w:rsidR="006760A7" w:rsidRPr="00063811" w:rsidRDefault="006760A7" w:rsidP="006760A7">
      <w:pPr>
        <w:tabs>
          <w:tab w:val="left" w:leader="underscore" w:pos="2160"/>
          <w:tab w:val="left" w:pos="4176"/>
          <w:tab w:val="left" w:leader="underscore" w:pos="9360"/>
        </w:tabs>
        <w:spacing w:line="278" w:lineRule="auto"/>
      </w:pPr>
      <w:r w:rsidRPr="00063811">
        <w:tab/>
      </w:r>
      <w:r w:rsidRPr="00063811">
        <w:tab/>
      </w:r>
      <w:r w:rsidRPr="00063811">
        <w:tab/>
      </w:r>
    </w:p>
    <w:p w14:paraId="5AA50246" w14:textId="77777777" w:rsidR="006760A7" w:rsidRPr="00063811" w:rsidRDefault="006760A7" w:rsidP="006760A7">
      <w:pPr>
        <w:spacing w:line="278" w:lineRule="auto"/>
      </w:pPr>
      <w:r w:rsidRPr="00063811">
        <w:tab/>
      </w:r>
      <w:r w:rsidRPr="00063811">
        <w:tab/>
      </w:r>
      <w:r w:rsidRPr="00063811">
        <w:tab/>
      </w:r>
      <w:r w:rsidRPr="00063811">
        <w:tab/>
      </w:r>
      <w:r w:rsidRPr="00063811">
        <w:tab/>
      </w:r>
      <w:r w:rsidRPr="00063811">
        <w:tab/>
        <w:t>Han Donker</w:t>
      </w:r>
    </w:p>
    <w:p w14:paraId="07551518" w14:textId="77777777" w:rsidR="006760A7" w:rsidRPr="00063811" w:rsidRDefault="006760A7" w:rsidP="006760A7">
      <w:pPr>
        <w:spacing w:line="278" w:lineRule="auto"/>
      </w:pPr>
    </w:p>
    <w:p w14:paraId="6616EF24" w14:textId="77777777" w:rsidR="006760A7" w:rsidRPr="00063811" w:rsidRDefault="006760A7" w:rsidP="006760A7">
      <w:pPr>
        <w:spacing w:line="278" w:lineRule="auto"/>
      </w:pPr>
    </w:p>
    <w:p w14:paraId="18E1257A" w14:textId="77777777" w:rsidR="006760A7" w:rsidRPr="00063811" w:rsidRDefault="006760A7" w:rsidP="006760A7">
      <w:pPr>
        <w:tabs>
          <w:tab w:val="left" w:leader="underscore" w:pos="2160"/>
          <w:tab w:val="left" w:pos="4176"/>
          <w:tab w:val="left" w:leader="underscore" w:pos="9360"/>
        </w:tabs>
        <w:spacing w:line="278" w:lineRule="auto"/>
      </w:pPr>
      <w:r w:rsidRPr="00063811">
        <w:tab/>
      </w:r>
      <w:r w:rsidRPr="00063811">
        <w:tab/>
      </w:r>
      <w:r w:rsidRPr="00063811">
        <w:tab/>
      </w:r>
    </w:p>
    <w:p w14:paraId="1067744B" w14:textId="77777777" w:rsidR="006760A7" w:rsidRPr="00063811" w:rsidRDefault="006760A7" w:rsidP="006760A7">
      <w:pPr>
        <w:spacing w:line="278" w:lineRule="auto"/>
      </w:pPr>
      <w:r w:rsidRPr="00063811">
        <w:tab/>
      </w:r>
      <w:r w:rsidRPr="00063811">
        <w:tab/>
      </w:r>
      <w:r w:rsidRPr="00063811">
        <w:tab/>
      </w:r>
      <w:r w:rsidRPr="00063811">
        <w:tab/>
      </w:r>
      <w:r w:rsidRPr="00063811">
        <w:tab/>
      </w:r>
      <w:r w:rsidRPr="00063811">
        <w:tab/>
        <w:t>Dean of Graduate Studies</w:t>
      </w:r>
    </w:p>
    <w:bookmarkEnd w:id="0"/>
    <w:p w14:paraId="6BE512D9" w14:textId="77777777" w:rsidR="006760A7" w:rsidRPr="00063811" w:rsidRDefault="006760A7" w:rsidP="006760A7">
      <w:pPr>
        <w:spacing w:line="278" w:lineRule="auto"/>
      </w:pPr>
    </w:p>
    <w:p w14:paraId="5CF4BABB" w14:textId="192AD5D4" w:rsidR="00B80FCB" w:rsidRPr="00063811" w:rsidRDefault="00B80FCB" w:rsidP="00F256FD">
      <w:pPr>
        <w:spacing w:after="160" w:line="278" w:lineRule="auto"/>
        <w:rPr>
          <w:b/>
          <w:bCs/>
        </w:rPr>
      </w:pPr>
      <w:r w:rsidRPr="00063811">
        <w:rPr>
          <w:b/>
          <w:bCs/>
        </w:rPr>
        <w:br w:type="page"/>
      </w:r>
    </w:p>
    <w:p w14:paraId="303A2F02" w14:textId="77777777" w:rsidR="006760A7" w:rsidRPr="00063811" w:rsidRDefault="006760A7" w:rsidP="006760A7">
      <w:pPr>
        <w:spacing w:after="160" w:line="278" w:lineRule="auto"/>
        <w:jc w:val="center"/>
      </w:pPr>
      <w:bookmarkStart w:id="1" w:name="_Hlk193969242"/>
      <w:r w:rsidRPr="00063811">
        <w:lastRenderedPageBreak/>
        <w:t>ABSTRACT</w:t>
      </w:r>
    </w:p>
    <w:p w14:paraId="432A3778" w14:textId="77777777" w:rsidR="006760A7" w:rsidRPr="00063811" w:rsidRDefault="006760A7" w:rsidP="006760A7">
      <w:pPr>
        <w:spacing w:after="160" w:line="278" w:lineRule="auto"/>
        <w:jc w:val="center"/>
      </w:pPr>
      <w:r w:rsidRPr="00063811">
        <w:t>ESG FEDERALISM:  HOW STATE REGULATIONS SHAPE ESG PERFORMANCE</w:t>
      </w:r>
    </w:p>
    <w:p w14:paraId="459EC4F8" w14:textId="77777777" w:rsidR="006760A7" w:rsidRPr="00063811" w:rsidRDefault="006760A7" w:rsidP="006760A7">
      <w:pPr>
        <w:spacing w:after="160" w:line="278" w:lineRule="auto"/>
        <w:jc w:val="center"/>
      </w:pPr>
      <w:r w:rsidRPr="00063811">
        <w:t>By</w:t>
      </w:r>
    </w:p>
    <w:p w14:paraId="76F737C8" w14:textId="77777777" w:rsidR="006760A7" w:rsidRPr="00063811" w:rsidRDefault="006760A7" w:rsidP="006760A7">
      <w:pPr>
        <w:spacing w:after="160" w:line="278" w:lineRule="auto"/>
        <w:jc w:val="center"/>
      </w:pPr>
      <w:r w:rsidRPr="00063811">
        <w:t>Kameron Eck</w:t>
      </w:r>
    </w:p>
    <w:p w14:paraId="7DF0D86B" w14:textId="0B8034AE" w:rsidR="00B80FCB" w:rsidRPr="00063811" w:rsidRDefault="006760A7" w:rsidP="006760A7">
      <w:pPr>
        <w:spacing w:after="160" w:line="278" w:lineRule="auto"/>
        <w:jc w:val="center"/>
      </w:pPr>
      <w:r w:rsidRPr="00063811">
        <w:t>March 2024</w:t>
      </w:r>
      <w:bookmarkEnd w:id="1"/>
    </w:p>
    <w:p w14:paraId="23302DAE" w14:textId="0F657E97" w:rsidR="007A6001" w:rsidRPr="00063811" w:rsidRDefault="00B1228E" w:rsidP="00B1228E">
      <w:pPr>
        <w:spacing w:after="160" w:line="480" w:lineRule="auto"/>
        <w:ind w:firstLine="720"/>
      </w:pPr>
      <w:r w:rsidRPr="00B1228E">
        <w:t xml:space="preserve">This thesis examines how state-level environmental, social, and governance (ESG) regulations influence corporate ESG performance in the United States. Using a panel dataset that combines state ESG legislation, firm-level ESG scores from S&amp;P Global, and financial data from Compustat (2019–2024), I employ fixed-effects regression models to analyze the relationship between </w:t>
      </w:r>
      <w:r w:rsidR="00907A18">
        <w:t>state ESG regulations</w:t>
      </w:r>
      <w:r w:rsidRPr="00B1228E">
        <w:t xml:space="preserve"> and corporate </w:t>
      </w:r>
      <w:r w:rsidR="00907A18">
        <w:t>ESG performance</w:t>
      </w:r>
      <w:r w:rsidRPr="00B1228E">
        <w:t xml:space="preserve">. The analysis incorporates firm and year fixed effects to account for unobservable heterogeneity across companies and time, while controlling for firm-specific characteristics. Additionally, the study investigates whether board gender diversity moderates this relationship. The findings contribute to the understanding of ESG policy effectiveness and whether such regulations serve as substantive mechanisms for </w:t>
      </w:r>
      <w:r>
        <w:t>impacting</w:t>
      </w:r>
      <w:r w:rsidRPr="00B1228E">
        <w:t xml:space="preserve"> corporate sustainability</w:t>
      </w:r>
      <w:r>
        <w:t>.</w:t>
      </w:r>
      <w:r w:rsidR="007A6001" w:rsidRPr="00063811">
        <w:br w:type="page"/>
      </w:r>
    </w:p>
    <w:p w14:paraId="4E31FE58" w14:textId="27B02623" w:rsidR="00EF0C73" w:rsidRPr="00063811" w:rsidRDefault="007A6001" w:rsidP="00F256FD">
      <w:pPr>
        <w:spacing w:after="160" w:line="480" w:lineRule="auto"/>
        <w:ind w:firstLine="720"/>
        <w:jc w:val="center"/>
      </w:pPr>
      <w:r w:rsidRPr="00063811">
        <w:lastRenderedPageBreak/>
        <w:t>ACKNOWLEDGEMENTS</w:t>
      </w:r>
    </w:p>
    <w:p w14:paraId="306E49F8" w14:textId="69FFA8D3" w:rsidR="007A6001" w:rsidRPr="00063811" w:rsidRDefault="009349FA" w:rsidP="00F256FD">
      <w:pPr>
        <w:spacing w:after="160" w:line="480" w:lineRule="auto"/>
        <w:ind w:firstLine="720"/>
      </w:pPr>
      <w:r w:rsidRPr="00063811">
        <w:t>I extend my deepest gratitude to Dr. Toni Sipic for nurturing my curiosity and constantly challenging me to push forward, even when the path was uncertain. Your unwavering encouragement has been invaluable in shaping both my intellectual and personal growth. I am also profoundly grateful to Dr. Kevin Archer, whose wisdom provided the foundation that allowed me to connect ideas and perspectives in meaningful ways. Additionally, I would like to express my sincere appreciation to Dr. Han Donker for their guidance and support throughout this journey.</w:t>
      </w:r>
    </w:p>
    <w:p w14:paraId="002F9715" w14:textId="77777777" w:rsidR="00EF0C73" w:rsidRPr="00063811" w:rsidRDefault="00EF0C73" w:rsidP="00F256FD">
      <w:pPr>
        <w:spacing w:after="160" w:line="278" w:lineRule="auto"/>
        <w:rPr>
          <w:b/>
          <w:bCs/>
        </w:rPr>
      </w:pPr>
    </w:p>
    <w:p w14:paraId="3D3CE653" w14:textId="0E52026D" w:rsidR="009349FA" w:rsidRPr="00063811" w:rsidRDefault="009349FA" w:rsidP="00F256FD">
      <w:pPr>
        <w:spacing w:after="160" w:line="278" w:lineRule="auto"/>
        <w:rPr>
          <w:b/>
          <w:bCs/>
        </w:rPr>
      </w:pPr>
      <w:r w:rsidRPr="00063811">
        <w:rPr>
          <w:b/>
          <w:bCs/>
        </w:rPr>
        <w:br w:type="page"/>
      </w:r>
    </w:p>
    <w:sdt>
      <w:sdtPr>
        <w:rPr>
          <w:rFonts w:ascii="Times New Roman" w:eastAsia="Times New Roman" w:hAnsi="Times New Roman" w:cs="Times New Roman"/>
          <w:b w:val="0"/>
          <w:bCs w:val="0"/>
          <w:color w:val="auto"/>
          <w:sz w:val="24"/>
          <w:szCs w:val="24"/>
        </w:rPr>
        <w:id w:val="-16383173"/>
        <w:docPartObj>
          <w:docPartGallery w:val="Table of Contents"/>
          <w:docPartUnique/>
        </w:docPartObj>
      </w:sdtPr>
      <w:sdtEndPr>
        <w:rPr>
          <w:noProof/>
        </w:rPr>
      </w:sdtEndPr>
      <w:sdtContent>
        <w:p w14:paraId="4F132333" w14:textId="66FB552E" w:rsidR="0091552F" w:rsidRPr="008612B7" w:rsidRDefault="0091552F" w:rsidP="008612B7">
          <w:pPr>
            <w:pStyle w:val="TOCHeading"/>
            <w:ind w:left="720"/>
            <w:jc w:val="center"/>
            <w:rPr>
              <w:rFonts w:ascii="Times New Roman" w:hAnsi="Times New Roman" w:cs="Times New Roman"/>
              <w:b w:val="0"/>
              <w:bCs w:val="0"/>
              <w:color w:val="auto"/>
              <w:sz w:val="24"/>
              <w:szCs w:val="24"/>
            </w:rPr>
          </w:pPr>
          <w:r w:rsidRPr="00063811">
            <w:rPr>
              <w:rFonts w:ascii="Times New Roman" w:hAnsi="Times New Roman" w:cs="Times New Roman"/>
              <w:b w:val="0"/>
              <w:bCs w:val="0"/>
              <w:color w:val="auto"/>
              <w:sz w:val="24"/>
              <w:szCs w:val="24"/>
            </w:rPr>
            <w:t>TABLE OF CONTENTS</w:t>
          </w:r>
        </w:p>
        <w:p w14:paraId="5AF72D27" w14:textId="2319B3A4" w:rsidR="0091552F" w:rsidRPr="00063811" w:rsidRDefault="0091552F" w:rsidP="008612B7">
          <w:pPr>
            <w:tabs>
              <w:tab w:val="left" w:pos="8928"/>
            </w:tabs>
            <w:ind w:left="180" w:right="-360" w:hanging="270"/>
          </w:pPr>
          <w:r w:rsidRPr="00063811">
            <w:t>CHAPTER</w:t>
          </w:r>
          <w:r w:rsidRPr="00063811">
            <w:tab/>
            <w:t xml:space="preserve"> PAGE</w:t>
          </w:r>
        </w:p>
        <w:p w14:paraId="0D786DC4" w14:textId="5696CDFD" w:rsidR="00F9570A" w:rsidRDefault="00730571">
          <w:pPr>
            <w:pStyle w:val="TOC1"/>
            <w:rPr>
              <w:rFonts w:asciiTheme="minorHAnsi" w:eastAsiaTheme="minorEastAsia" w:hAnsiTheme="minorHAnsi" w:cstheme="minorBidi"/>
              <w:bCs w:val="0"/>
              <w:noProof/>
              <w:kern w:val="2"/>
              <w:szCs w:val="24"/>
              <w14:ligatures w14:val="standardContextual"/>
            </w:rPr>
          </w:pPr>
          <w:r w:rsidRPr="00063811">
            <w:fldChar w:fldCharType="begin"/>
          </w:r>
          <w:r w:rsidRPr="00063811">
            <w:instrText xml:space="preserve"> TOC \o "1-2" \h \z \u </w:instrText>
          </w:r>
          <w:r w:rsidRPr="00063811">
            <w:fldChar w:fldCharType="separate"/>
          </w:r>
          <w:hyperlink w:anchor="_Toc193977928" w:history="1">
            <w:r w:rsidR="00F9570A" w:rsidRPr="00DA18F2">
              <w:rPr>
                <w:rStyle w:val="Hyperlink"/>
                <w:noProof/>
              </w:rPr>
              <w:t>INTRODUCTION</w:t>
            </w:r>
            <w:r w:rsidR="00F9570A">
              <w:rPr>
                <w:noProof/>
                <w:webHidden/>
              </w:rPr>
              <w:tab/>
            </w:r>
            <w:r w:rsidR="00F9570A">
              <w:rPr>
                <w:noProof/>
                <w:webHidden/>
              </w:rPr>
              <w:fldChar w:fldCharType="begin"/>
            </w:r>
            <w:r w:rsidR="00F9570A">
              <w:rPr>
                <w:noProof/>
                <w:webHidden/>
              </w:rPr>
              <w:instrText xml:space="preserve"> PAGEREF _Toc193977928 \h </w:instrText>
            </w:r>
            <w:r w:rsidR="00F9570A">
              <w:rPr>
                <w:noProof/>
                <w:webHidden/>
              </w:rPr>
            </w:r>
            <w:r w:rsidR="00F9570A">
              <w:rPr>
                <w:noProof/>
                <w:webHidden/>
              </w:rPr>
              <w:fldChar w:fldCharType="separate"/>
            </w:r>
            <w:r w:rsidR="00833A39">
              <w:rPr>
                <w:noProof/>
                <w:webHidden/>
              </w:rPr>
              <w:t>1</w:t>
            </w:r>
            <w:r w:rsidR="00F9570A">
              <w:rPr>
                <w:noProof/>
                <w:webHidden/>
              </w:rPr>
              <w:fldChar w:fldCharType="end"/>
            </w:r>
          </w:hyperlink>
        </w:p>
        <w:p w14:paraId="6017B68B" w14:textId="04A024AE" w:rsidR="00F9570A" w:rsidRDefault="00F9570A">
          <w:pPr>
            <w:pStyle w:val="TOC2"/>
            <w:rPr>
              <w:rFonts w:asciiTheme="minorHAnsi" w:eastAsiaTheme="minorEastAsia" w:hAnsiTheme="minorHAnsi" w:cstheme="minorBidi"/>
              <w:noProof/>
              <w:kern w:val="2"/>
              <w:szCs w:val="24"/>
              <w14:ligatures w14:val="standardContextual"/>
            </w:rPr>
          </w:pPr>
          <w:hyperlink w:anchor="_Toc193977929" w:history="1">
            <w:r w:rsidRPr="00DA18F2">
              <w:rPr>
                <w:rStyle w:val="Hyperlink"/>
                <w:noProof/>
              </w:rPr>
              <w:t>The Rise of Corporate Social Responsibility and ESG</w:t>
            </w:r>
            <w:r>
              <w:rPr>
                <w:noProof/>
                <w:webHidden/>
              </w:rPr>
              <w:tab/>
            </w:r>
            <w:r>
              <w:rPr>
                <w:noProof/>
                <w:webHidden/>
              </w:rPr>
              <w:fldChar w:fldCharType="begin"/>
            </w:r>
            <w:r>
              <w:rPr>
                <w:noProof/>
                <w:webHidden/>
              </w:rPr>
              <w:instrText xml:space="preserve"> PAGEREF _Toc193977929 \h </w:instrText>
            </w:r>
            <w:r>
              <w:rPr>
                <w:noProof/>
                <w:webHidden/>
              </w:rPr>
            </w:r>
            <w:r>
              <w:rPr>
                <w:noProof/>
                <w:webHidden/>
              </w:rPr>
              <w:fldChar w:fldCharType="separate"/>
            </w:r>
            <w:r w:rsidR="00833A39">
              <w:rPr>
                <w:noProof/>
                <w:webHidden/>
              </w:rPr>
              <w:t>1</w:t>
            </w:r>
            <w:r>
              <w:rPr>
                <w:noProof/>
                <w:webHidden/>
              </w:rPr>
              <w:fldChar w:fldCharType="end"/>
            </w:r>
          </w:hyperlink>
        </w:p>
        <w:p w14:paraId="08C2D122" w14:textId="2C81C535" w:rsidR="00F9570A" w:rsidRDefault="00F9570A">
          <w:pPr>
            <w:pStyle w:val="TOC2"/>
            <w:rPr>
              <w:rFonts w:asciiTheme="minorHAnsi" w:eastAsiaTheme="minorEastAsia" w:hAnsiTheme="minorHAnsi" w:cstheme="minorBidi"/>
              <w:noProof/>
              <w:kern w:val="2"/>
              <w:szCs w:val="24"/>
              <w14:ligatures w14:val="standardContextual"/>
            </w:rPr>
          </w:pPr>
          <w:hyperlink w:anchor="_Toc193977930" w:history="1">
            <w:r w:rsidRPr="00DA18F2">
              <w:rPr>
                <w:rStyle w:val="Hyperlink"/>
                <w:noProof/>
              </w:rPr>
              <w:t>The Institutionalization of ESG</w:t>
            </w:r>
            <w:r>
              <w:rPr>
                <w:noProof/>
                <w:webHidden/>
              </w:rPr>
              <w:tab/>
            </w:r>
            <w:r>
              <w:rPr>
                <w:noProof/>
                <w:webHidden/>
              </w:rPr>
              <w:fldChar w:fldCharType="begin"/>
            </w:r>
            <w:r>
              <w:rPr>
                <w:noProof/>
                <w:webHidden/>
              </w:rPr>
              <w:instrText xml:space="preserve"> PAGEREF _Toc193977930 \h </w:instrText>
            </w:r>
            <w:r>
              <w:rPr>
                <w:noProof/>
                <w:webHidden/>
              </w:rPr>
            </w:r>
            <w:r>
              <w:rPr>
                <w:noProof/>
                <w:webHidden/>
              </w:rPr>
              <w:fldChar w:fldCharType="separate"/>
            </w:r>
            <w:r w:rsidR="00833A39">
              <w:rPr>
                <w:noProof/>
                <w:webHidden/>
              </w:rPr>
              <w:t>2</w:t>
            </w:r>
            <w:r>
              <w:rPr>
                <w:noProof/>
                <w:webHidden/>
              </w:rPr>
              <w:fldChar w:fldCharType="end"/>
            </w:r>
          </w:hyperlink>
        </w:p>
        <w:p w14:paraId="34DDC8A3" w14:textId="7544FFB3" w:rsidR="00F9570A" w:rsidRDefault="00F9570A">
          <w:pPr>
            <w:pStyle w:val="TOC2"/>
            <w:rPr>
              <w:rFonts w:asciiTheme="minorHAnsi" w:eastAsiaTheme="minorEastAsia" w:hAnsiTheme="minorHAnsi" w:cstheme="minorBidi"/>
              <w:noProof/>
              <w:kern w:val="2"/>
              <w:szCs w:val="24"/>
              <w14:ligatures w14:val="standardContextual"/>
            </w:rPr>
          </w:pPr>
          <w:hyperlink w:anchor="_Toc193977931" w:history="1">
            <w:r w:rsidRPr="00DA18F2">
              <w:rPr>
                <w:rStyle w:val="Hyperlink"/>
                <w:noProof/>
              </w:rPr>
              <w:t>The Emerging Countermovement</w:t>
            </w:r>
            <w:r>
              <w:rPr>
                <w:noProof/>
                <w:webHidden/>
              </w:rPr>
              <w:tab/>
            </w:r>
            <w:r>
              <w:rPr>
                <w:noProof/>
                <w:webHidden/>
              </w:rPr>
              <w:fldChar w:fldCharType="begin"/>
            </w:r>
            <w:r>
              <w:rPr>
                <w:noProof/>
                <w:webHidden/>
              </w:rPr>
              <w:instrText xml:space="preserve"> PAGEREF _Toc193977931 \h </w:instrText>
            </w:r>
            <w:r>
              <w:rPr>
                <w:noProof/>
                <w:webHidden/>
              </w:rPr>
            </w:r>
            <w:r>
              <w:rPr>
                <w:noProof/>
                <w:webHidden/>
              </w:rPr>
              <w:fldChar w:fldCharType="separate"/>
            </w:r>
            <w:r w:rsidR="00833A39">
              <w:rPr>
                <w:noProof/>
                <w:webHidden/>
              </w:rPr>
              <w:t>3</w:t>
            </w:r>
            <w:r>
              <w:rPr>
                <w:noProof/>
                <w:webHidden/>
              </w:rPr>
              <w:fldChar w:fldCharType="end"/>
            </w:r>
          </w:hyperlink>
        </w:p>
        <w:p w14:paraId="3B66F366" w14:textId="329784D9" w:rsidR="00F9570A" w:rsidRDefault="00F9570A">
          <w:pPr>
            <w:pStyle w:val="TOC2"/>
            <w:rPr>
              <w:rFonts w:asciiTheme="minorHAnsi" w:eastAsiaTheme="minorEastAsia" w:hAnsiTheme="minorHAnsi" w:cstheme="minorBidi"/>
              <w:noProof/>
              <w:kern w:val="2"/>
              <w:szCs w:val="24"/>
              <w14:ligatures w14:val="standardContextual"/>
            </w:rPr>
          </w:pPr>
          <w:hyperlink w:anchor="_Toc193977932" w:history="1">
            <w:r w:rsidRPr="00DA18F2">
              <w:rPr>
                <w:rStyle w:val="Hyperlink"/>
                <w:noProof/>
              </w:rPr>
              <w:t>Research Focus</w:t>
            </w:r>
            <w:r>
              <w:rPr>
                <w:noProof/>
                <w:webHidden/>
              </w:rPr>
              <w:tab/>
            </w:r>
            <w:r>
              <w:rPr>
                <w:noProof/>
                <w:webHidden/>
              </w:rPr>
              <w:fldChar w:fldCharType="begin"/>
            </w:r>
            <w:r>
              <w:rPr>
                <w:noProof/>
                <w:webHidden/>
              </w:rPr>
              <w:instrText xml:space="preserve"> PAGEREF _Toc193977932 \h </w:instrText>
            </w:r>
            <w:r>
              <w:rPr>
                <w:noProof/>
                <w:webHidden/>
              </w:rPr>
            </w:r>
            <w:r>
              <w:rPr>
                <w:noProof/>
                <w:webHidden/>
              </w:rPr>
              <w:fldChar w:fldCharType="separate"/>
            </w:r>
            <w:r w:rsidR="00833A39">
              <w:rPr>
                <w:noProof/>
                <w:webHidden/>
              </w:rPr>
              <w:t>4</w:t>
            </w:r>
            <w:r>
              <w:rPr>
                <w:noProof/>
                <w:webHidden/>
              </w:rPr>
              <w:fldChar w:fldCharType="end"/>
            </w:r>
          </w:hyperlink>
        </w:p>
        <w:p w14:paraId="77947641" w14:textId="00442715" w:rsidR="00F9570A" w:rsidRDefault="00F9570A">
          <w:pPr>
            <w:pStyle w:val="TOC1"/>
            <w:rPr>
              <w:rFonts w:asciiTheme="minorHAnsi" w:eastAsiaTheme="minorEastAsia" w:hAnsiTheme="minorHAnsi" w:cstheme="minorBidi"/>
              <w:bCs w:val="0"/>
              <w:noProof/>
              <w:kern w:val="2"/>
              <w:szCs w:val="24"/>
              <w14:ligatures w14:val="standardContextual"/>
            </w:rPr>
          </w:pPr>
          <w:hyperlink w:anchor="_Toc193977933" w:history="1">
            <w:r w:rsidRPr="00DA18F2">
              <w:rPr>
                <w:rStyle w:val="Hyperlink"/>
                <w:noProof/>
              </w:rPr>
              <w:t>LITERATURE REVIEW</w:t>
            </w:r>
            <w:r>
              <w:rPr>
                <w:noProof/>
                <w:webHidden/>
              </w:rPr>
              <w:tab/>
            </w:r>
            <w:r>
              <w:rPr>
                <w:noProof/>
                <w:webHidden/>
              </w:rPr>
              <w:fldChar w:fldCharType="begin"/>
            </w:r>
            <w:r>
              <w:rPr>
                <w:noProof/>
                <w:webHidden/>
              </w:rPr>
              <w:instrText xml:space="preserve"> PAGEREF _Toc193977933 \h </w:instrText>
            </w:r>
            <w:r>
              <w:rPr>
                <w:noProof/>
                <w:webHidden/>
              </w:rPr>
            </w:r>
            <w:r>
              <w:rPr>
                <w:noProof/>
                <w:webHidden/>
              </w:rPr>
              <w:fldChar w:fldCharType="separate"/>
            </w:r>
            <w:r w:rsidR="00833A39">
              <w:rPr>
                <w:noProof/>
                <w:webHidden/>
              </w:rPr>
              <w:t>5</w:t>
            </w:r>
            <w:r>
              <w:rPr>
                <w:noProof/>
                <w:webHidden/>
              </w:rPr>
              <w:fldChar w:fldCharType="end"/>
            </w:r>
          </w:hyperlink>
        </w:p>
        <w:p w14:paraId="15899287" w14:textId="64A1C599" w:rsidR="00F9570A" w:rsidRDefault="00F9570A">
          <w:pPr>
            <w:pStyle w:val="TOC2"/>
            <w:rPr>
              <w:rFonts w:asciiTheme="minorHAnsi" w:eastAsiaTheme="minorEastAsia" w:hAnsiTheme="minorHAnsi" w:cstheme="minorBidi"/>
              <w:noProof/>
              <w:kern w:val="2"/>
              <w:szCs w:val="24"/>
              <w14:ligatures w14:val="standardContextual"/>
            </w:rPr>
          </w:pPr>
          <w:hyperlink w:anchor="_Toc193977934" w:history="1">
            <w:r w:rsidRPr="00DA18F2">
              <w:rPr>
                <w:rStyle w:val="Hyperlink"/>
                <w:noProof/>
              </w:rPr>
              <w:t>ESG Data</w:t>
            </w:r>
            <w:r>
              <w:rPr>
                <w:noProof/>
                <w:webHidden/>
              </w:rPr>
              <w:tab/>
            </w:r>
            <w:r>
              <w:rPr>
                <w:noProof/>
                <w:webHidden/>
              </w:rPr>
              <w:fldChar w:fldCharType="begin"/>
            </w:r>
            <w:r>
              <w:rPr>
                <w:noProof/>
                <w:webHidden/>
              </w:rPr>
              <w:instrText xml:space="preserve"> PAGEREF _Toc193977934 \h </w:instrText>
            </w:r>
            <w:r>
              <w:rPr>
                <w:noProof/>
                <w:webHidden/>
              </w:rPr>
            </w:r>
            <w:r>
              <w:rPr>
                <w:noProof/>
                <w:webHidden/>
              </w:rPr>
              <w:fldChar w:fldCharType="separate"/>
            </w:r>
            <w:r w:rsidR="00833A39">
              <w:rPr>
                <w:noProof/>
                <w:webHidden/>
              </w:rPr>
              <w:t>5</w:t>
            </w:r>
            <w:r>
              <w:rPr>
                <w:noProof/>
                <w:webHidden/>
              </w:rPr>
              <w:fldChar w:fldCharType="end"/>
            </w:r>
          </w:hyperlink>
        </w:p>
        <w:p w14:paraId="59C702B5" w14:textId="1EEF5433" w:rsidR="00F9570A" w:rsidRDefault="00F9570A">
          <w:pPr>
            <w:pStyle w:val="TOC2"/>
            <w:rPr>
              <w:rFonts w:asciiTheme="minorHAnsi" w:eastAsiaTheme="minorEastAsia" w:hAnsiTheme="minorHAnsi" w:cstheme="minorBidi"/>
              <w:noProof/>
              <w:kern w:val="2"/>
              <w:szCs w:val="24"/>
              <w14:ligatures w14:val="standardContextual"/>
            </w:rPr>
          </w:pPr>
          <w:hyperlink w:anchor="_Toc193977935" w:history="1">
            <w:r w:rsidRPr="00DA18F2">
              <w:rPr>
                <w:rStyle w:val="Hyperlink"/>
                <w:noProof/>
              </w:rPr>
              <w:t>Theory and ESG</w:t>
            </w:r>
            <w:r>
              <w:rPr>
                <w:noProof/>
                <w:webHidden/>
              </w:rPr>
              <w:tab/>
            </w:r>
            <w:r>
              <w:rPr>
                <w:noProof/>
                <w:webHidden/>
              </w:rPr>
              <w:fldChar w:fldCharType="begin"/>
            </w:r>
            <w:r>
              <w:rPr>
                <w:noProof/>
                <w:webHidden/>
              </w:rPr>
              <w:instrText xml:space="preserve"> PAGEREF _Toc193977935 \h </w:instrText>
            </w:r>
            <w:r>
              <w:rPr>
                <w:noProof/>
                <w:webHidden/>
              </w:rPr>
            </w:r>
            <w:r>
              <w:rPr>
                <w:noProof/>
                <w:webHidden/>
              </w:rPr>
              <w:fldChar w:fldCharType="separate"/>
            </w:r>
            <w:r w:rsidR="00833A39">
              <w:rPr>
                <w:noProof/>
                <w:webHidden/>
              </w:rPr>
              <w:t>7</w:t>
            </w:r>
            <w:r>
              <w:rPr>
                <w:noProof/>
                <w:webHidden/>
              </w:rPr>
              <w:fldChar w:fldCharType="end"/>
            </w:r>
          </w:hyperlink>
        </w:p>
        <w:p w14:paraId="42BFC666" w14:textId="07E7886F" w:rsidR="00F9570A" w:rsidRDefault="00F9570A">
          <w:pPr>
            <w:pStyle w:val="TOC2"/>
            <w:rPr>
              <w:rFonts w:asciiTheme="minorHAnsi" w:eastAsiaTheme="minorEastAsia" w:hAnsiTheme="minorHAnsi" w:cstheme="minorBidi"/>
              <w:noProof/>
              <w:kern w:val="2"/>
              <w:szCs w:val="24"/>
              <w14:ligatures w14:val="standardContextual"/>
            </w:rPr>
          </w:pPr>
          <w:hyperlink w:anchor="_Toc193977936" w:history="1">
            <w:r w:rsidRPr="00DA18F2">
              <w:rPr>
                <w:rStyle w:val="Hyperlink"/>
                <w:noProof/>
              </w:rPr>
              <w:t>European Union ESG Legislation</w:t>
            </w:r>
            <w:r>
              <w:rPr>
                <w:noProof/>
                <w:webHidden/>
              </w:rPr>
              <w:tab/>
            </w:r>
            <w:r>
              <w:rPr>
                <w:noProof/>
                <w:webHidden/>
              </w:rPr>
              <w:fldChar w:fldCharType="begin"/>
            </w:r>
            <w:r>
              <w:rPr>
                <w:noProof/>
                <w:webHidden/>
              </w:rPr>
              <w:instrText xml:space="preserve"> PAGEREF _Toc193977936 \h </w:instrText>
            </w:r>
            <w:r>
              <w:rPr>
                <w:noProof/>
                <w:webHidden/>
              </w:rPr>
            </w:r>
            <w:r>
              <w:rPr>
                <w:noProof/>
                <w:webHidden/>
              </w:rPr>
              <w:fldChar w:fldCharType="separate"/>
            </w:r>
            <w:r w:rsidR="00833A39">
              <w:rPr>
                <w:noProof/>
                <w:webHidden/>
              </w:rPr>
              <w:t>9</w:t>
            </w:r>
            <w:r>
              <w:rPr>
                <w:noProof/>
                <w:webHidden/>
              </w:rPr>
              <w:fldChar w:fldCharType="end"/>
            </w:r>
          </w:hyperlink>
        </w:p>
        <w:p w14:paraId="522B1F6E" w14:textId="077964E3" w:rsidR="00F9570A" w:rsidRDefault="00F9570A">
          <w:pPr>
            <w:pStyle w:val="TOC2"/>
            <w:rPr>
              <w:rFonts w:asciiTheme="minorHAnsi" w:eastAsiaTheme="minorEastAsia" w:hAnsiTheme="minorHAnsi" w:cstheme="minorBidi"/>
              <w:noProof/>
              <w:kern w:val="2"/>
              <w:szCs w:val="24"/>
              <w14:ligatures w14:val="standardContextual"/>
            </w:rPr>
          </w:pPr>
          <w:hyperlink w:anchor="_Toc193977937" w:history="1">
            <w:r w:rsidRPr="00DA18F2">
              <w:rPr>
                <w:rStyle w:val="Hyperlink"/>
                <w:noProof/>
              </w:rPr>
              <w:t>United States ESG Legislation</w:t>
            </w:r>
            <w:r>
              <w:rPr>
                <w:noProof/>
                <w:webHidden/>
              </w:rPr>
              <w:tab/>
            </w:r>
            <w:r>
              <w:rPr>
                <w:noProof/>
                <w:webHidden/>
              </w:rPr>
              <w:fldChar w:fldCharType="begin"/>
            </w:r>
            <w:r>
              <w:rPr>
                <w:noProof/>
                <w:webHidden/>
              </w:rPr>
              <w:instrText xml:space="preserve"> PAGEREF _Toc193977937 \h </w:instrText>
            </w:r>
            <w:r>
              <w:rPr>
                <w:noProof/>
                <w:webHidden/>
              </w:rPr>
            </w:r>
            <w:r>
              <w:rPr>
                <w:noProof/>
                <w:webHidden/>
              </w:rPr>
              <w:fldChar w:fldCharType="separate"/>
            </w:r>
            <w:r w:rsidR="00833A39">
              <w:rPr>
                <w:noProof/>
                <w:webHidden/>
              </w:rPr>
              <w:t>10</w:t>
            </w:r>
            <w:r>
              <w:rPr>
                <w:noProof/>
                <w:webHidden/>
              </w:rPr>
              <w:fldChar w:fldCharType="end"/>
            </w:r>
          </w:hyperlink>
        </w:p>
        <w:p w14:paraId="5B6199C6" w14:textId="69A91AD4" w:rsidR="00F9570A" w:rsidRDefault="00F9570A">
          <w:pPr>
            <w:pStyle w:val="TOC2"/>
            <w:rPr>
              <w:rFonts w:asciiTheme="minorHAnsi" w:eastAsiaTheme="minorEastAsia" w:hAnsiTheme="minorHAnsi" w:cstheme="minorBidi"/>
              <w:noProof/>
              <w:kern w:val="2"/>
              <w:szCs w:val="24"/>
              <w14:ligatures w14:val="standardContextual"/>
            </w:rPr>
          </w:pPr>
          <w:hyperlink w:anchor="_Toc193977938" w:history="1">
            <w:r w:rsidRPr="00DA18F2">
              <w:rPr>
                <w:rStyle w:val="Hyperlink"/>
                <w:noProof/>
              </w:rPr>
              <w:t>Firm Determinants of ESG Performance</w:t>
            </w:r>
            <w:r>
              <w:rPr>
                <w:noProof/>
                <w:webHidden/>
              </w:rPr>
              <w:tab/>
            </w:r>
            <w:r>
              <w:rPr>
                <w:noProof/>
                <w:webHidden/>
              </w:rPr>
              <w:fldChar w:fldCharType="begin"/>
            </w:r>
            <w:r>
              <w:rPr>
                <w:noProof/>
                <w:webHidden/>
              </w:rPr>
              <w:instrText xml:space="preserve"> PAGEREF _Toc193977938 \h </w:instrText>
            </w:r>
            <w:r>
              <w:rPr>
                <w:noProof/>
                <w:webHidden/>
              </w:rPr>
            </w:r>
            <w:r>
              <w:rPr>
                <w:noProof/>
                <w:webHidden/>
              </w:rPr>
              <w:fldChar w:fldCharType="separate"/>
            </w:r>
            <w:r w:rsidR="00833A39">
              <w:rPr>
                <w:noProof/>
                <w:webHidden/>
              </w:rPr>
              <w:t>17</w:t>
            </w:r>
            <w:r>
              <w:rPr>
                <w:noProof/>
                <w:webHidden/>
              </w:rPr>
              <w:fldChar w:fldCharType="end"/>
            </w:r>
          </w:hyperlink>
        </w:p>
        <w:p w14:paraId="4A552077" w14:textId="4F338353" w:rsidR="00F9570A" w:rsidRDefault="00F9570A">
          <w:pPr>
            <w:pStyle w:val="TOC2"/>
            <w:rPr>
              <w:rFonts w:asciiTheme="minorHAnsi" w:eastAsiaTheme="minorEastAsia" w:hAnsiTheme="minorHAnsi" w:cstheme="minorBidi"/>
              <w:noProof/>
              <w:kern w:val="2"/>
              <w:szCs w:val="24"/>
              <w14:ligatures w14:val="standardContextual"/>
            </w:rPr>
          </w:pPr>
          <w:hyperlink w:anchor="_Toc193977939" w:history="1">
            <w:r w:rsidRPr="00DA18F2">
              <w:rPr>
                <w:rStyle w:val="Hyperlink"/>
                <w:noProof/>
              </w:rPr>
              <w:t>Regulatory Frameworks as Determinants of ESG Performance</w:t>
            </w:r>
            <w:r>
              <w:rPr>
                <w:noProof/>
                <w:webHidden/>
              </w:rPr>
              <w:tab/>
            </w:r>
            <w:r>
              <w:rPr>
                <w:noProof/>
                <w:webHidden/>
              </w:rPr>
              <w:fldChar w:fldCharType="begin"/>
            </w:r>
            <w:r>
              <w:rPr>
                <w:noProof/>
                <w:webHidden/>
              </w:rPr>
              <w:instrText xml:space="preserve"> PAGEREF _Toc193977939 \h </w:instrText>
            </w:r>
            <w:r>
              <w:rPr>
                <w:noProof/>
                <w:webHidden/>
              </w:rPr>
            </w:r>
            <w:r>
              <w:rPr>
                <w:noProof/>
                <w:webHidden/>
              </w:rPr>
              <w:fldChar w:fldCharType="separate"/>
            </w:r>
            <w:r w:rsidR="00833A39">
              <w:rPr>
                <w:noProof/>
                <w:webHidden/>
              </w:rPr>
              <w:t>19</w:t>
            </w:r>
            <w:r>
              <w:rPr>
                <w:noProof/>
                <w:webHidden/>
              </w:rPr>
              <w:fldChar w:fldCharType="end"/>
            </w:r>
          </w:hyperlink>
        </w:p>
        <w:p w14:paraId="3ECB3F69" w14:textId="776F8BB1" w:rsidR="00F9570A" w:rsidRDefault="00F9570A">
          <w:pPr>
            <w:pStyle w:val="TOC2"/>
            <w:rPr>
              <w:rFonts w:asciiTheme="minorHAnsi" w:eastAsiaTheme="minorEastAsia" w:hAnsiTheme="minorHAnsi" w:cstheme="minorBidi"/>
              <w:noProof/>
              <w:kern w:val="2"/>
              <w:szCs w:val="24"/>
              <w14:ligatures w14:val="standardContextual"/>
            </w:rPr>
          </w:pPr>
          <w:hyperlink w:anchor="_Toc193977940" w:history="1">
            <w:r w:rsidRPr="00DA18F2">
              <w:rPr>
                <w:rStyle w:val="Hyperlink"/>
                <w:noProof/>
              </w:rPr>
              <w:t>Industry Classification</w:t>
            </w:r>
            <w:r>
              <w:rPr>
                <w:noProof/>
                <w:webHidden/>
              </w:rPr>
              <w:tab/>
            </w:r>
            <w:r>
              <w:rPr>
                <w:noProof/>
                <w:webHidden/>
              </w:rPr>
              <w:fldChar w:fldCharType="begin"/>
            </w:r>
            <w:r>
              <w:rPr>
                <w:noProof/>
                <w:webHidden/>
              </w:rPr>
              <w:instrText xml:space="preserve"> PAGEREF _Toc193977940 \h </w:instrText>
            </w:r>
            <w:r>
              <w:rPr>
                <w:noProof/>
                <w:webHidden/>
              </w:rPr>
            </w:r>
            <w:r>
              <w:rPr>
                <w:noProof/>
                <w:webHidden/>
              </w:rPr>
              <w:fldChar w:fldCharType="separate"/>
            </w:r>
            <w:r w:rsidR="00833A39">
              <w:rPr>
                <w:noProof/>
                <w:webHidden/>
              </w:rPr>
              <w:t>22</w:t>
            </w:r>
            <w:r>
              <w:rPr>
                <w:noProof/>
                <w:webHidden/>
              </w:rPr>
              <w:fldChar w:fldCharType="end"/>
            </w:r>
          </w:hyperlink>
        </w:p>
        <w:p w14:paraId="164C723E" w14:textId="439437FA" w:rsidR="00F9570A" w:rsidRDefault="00F9570A">
          <w:pPr>
            <w:pStyle w:val="TOC1"/>
            <w:rPr>
              <w:rFonts w:asciiTheme="minorHAnsi" w:eastAsiaTheme="minorEastAsia" w:hAnsiTheme="minorHAnsi" w:cstheme="minorBidi"/>
              <w:bCs w:val="0"/>
              <w:noProof/>
              <w:kern w:val="2"/>
              <w:szCs w:val="24"/>
              <w14:ligatures w14:val="standardContextual"/>
            </w:rPr>
          </w:pPr>
          <w:hyperlink w:anchor="_Toc193977941" w:history="1">
            <w:r w:rsidRPr="00DA18F2">
              <w:rPr>
                <w:rStyle w:val="Hyperlink"/>
                <w:noProof/>
              </w:rPr>
              <w:t>DATA</w:t>
            </w:r>
            <w:r>
              <w:rPr>
                <w:noProof/>
                <w:webHidden/>
              </w:rPr>
              <w:tab/>
            </w:r>
            <w:r>
              <w:rPr>
                <w:noProof/>
                <w:webHidden/>
              </w:rPr>
              <w:fldChar w:fldCharType="begin"/>
            </w:r>
            <w:r>
              <w:rPr>
                <w:noProof/>
                <w:webHidden/>
              </w:rPr>
              <w:instrText xml:space="preserve"> PAGEREF _Toc193977941 \h </w:instrText>
            </w:r>
            <w:r>
              <w:rPr>
                <w:noProof/>
                <w:webHidden/>
              </w:rPr>
            </w:r>
            <w:r>
              <w:rPr>
                <w:noProof/>
                <w:webHidden/>
              </w:rPr>
              <w:fldChar w:fldCharType="separate"/>
            </w:r>
            <w:r w:rsidR="00833A39">
              <w:rPr>
                <w:noProof/>
                <w:webHidden/>
              </w:rPr>
              <w:t>24</w:t>
            </w:r>
            <w:r>
              <w:rPr>
                <w:noProof/>
                <w:webHidden/>
              </w:rPr>
              <w:fldChar w:fldCharType="end"/>
            </w:r>
          </w:hyperlink>
        </w:p>
        <w:p w14:paraId="0DC778DD" w14:textId="178E72C1" w:rsidR="00F9570A" w:rsidRDefault="00F9570A">
          <w:pPr>
            <w:pStyle w:val="TOC2"/>
            <w:rPr>
              <w:rFonts w:asciiTheme="minorHAnsi" w:eastAsiaTheme="minorEastAsia" w:hAnsiTheme="minorHAnsi" w:cstheme="minorBidi"/>
              <w:noProof/>
              <w:kern w:val="2"/>
              <w:szCs w:val="24"/>
              <w14:ligatures w14:val="standardContextual"/>
            </w:rPr>
          </w:pPr>
          <w:hyperlink w:anchor="_Toc193977942" w:history="1">
            <w:r w:rsidRPr="00DA18F2">
              <w:rPr>
                <w:rStyle w:val="Hyperlink"/>
                <w:noProof/>
              </w:rPr>
              <w:t>ESG Data</w:t>
            </w:r>
            <w:r>
              <w:rPr>
                <w:noProof/>
                <w:webHidden/>
              </w:rPr>
              <w:tab/>
            </w:r>
            <w:r>
              <w:rPr>
                <w:noProof/>
                <w:webHidden/>
              </w:rPr>
              <w:fldChar w:fldCharType="begin"/>
            </w:r>
            <w:r>
              <w:rPr>
                <w:noProof/>
                <w:webHidden/>
              </w:rPr>
              <w:instrText xml:space="preserve"> PAGEREF _Toc193977942 \h </w:instrText>
            </w:r>
            <w:r>
              <w:rPr>
                <w:noProof/>
                <w:webHidden/>
              </w:rPr>
            </w:r>
            <w:r>
              <w:rPr>
                <w:noProof/>
                <w:webHidden/>
              </w:rPr>
              <w:fldChar w:fldCharType="separate"/>
            </w:r>
            <w:r w:rsidR="00833A39">
              <w:rPr>
                <w:noProof/>
                <w:webHidden/>
              </w:rPr>
              <w:t>24</w:t>
            </w:r>
            <w:r>
              <w:rPr>
                <w:noProof/>
                <w:webHidden/>
              </w:rPr>
              <w:fldChar w:fldCharType="end"/>
            </w:r>
          </w:hyperlink>
        </w:p>
        <w:p w14:paraId="38745C93" w14:textId="4E6A7B17" w:rsidR="00F9570A" w:rsidRDefault="00F9570A">
          <w:pPr>
            <w:pStyle w:val="TOC2"/>
            <w:rPr>
              <w:rFonts w:asciiTheme="minorHAnsi" w:eastAsiaTheme="minorEastAsia" w:hAnsiTheme="minorHAnsi" w:cstheme="minorBidi"/>
              <w:noProof/>
              <w:kern w:val="2"/>
              <w:szCs w:val="24"/>
              <w14:ligatures w14:val="standardContextual"/>
            </w:rPr>
          </w:pPr>
          <w:hyperlink w:anchor="_Toc193977943" w:history="1">
            <w:r w:rsidRPr="00DA18F2">
              <w:rPr>
                <w:rStyle w:val="Hyperlink"/>
                <w:noProof/>
              </w:rPr>
              <w:t>Board Data</w:t>
            </w:r>
            <w:r>
              <w:rPr>
                <w:noProof/>
                <w:webHidden/>
              </w:rPr>
              <w:tab/>
            </w:r>
            <w:r>
              <w:rPr>
                <w:noProof/>
                <w:webHidden/>
              </w:rPr>
              <w:fldChar w:fldCharType="begin"/>
            </w:r>
            <w:r>
              <w:rPr>
                <w:noProof/>
                <w:webHidden/>
              </w:rPr>
              <w:instrText xml:space="preserve"> PAGEREF _Toc193977943 \h </w:instrText>
            </w:r>
            <w:r>
              <w:rPr>
                <w:noProof/>
                <w:webHidden/>
              </w:rPr>
            </w:r>
            <w:r>
              <w:rPr>
                <w:noProof/>
                <w:webHidden/>
              </w:rPr>
              <w:fldChar w:fldCharType="separate"/>
            </w:r>
            <w:r w:rsidR="00833A39">
              <w:rPr>
                <w:noProof/>
                <w:webHidden/>
              </w:rPr>
              <w:t>25</w:t>
            </w:r>
            <w:r>
              <w:rPr>
                <w:noProof/>
                <w:webHidden/>
              </w:rPr>
              <w:fldChar w:fldCharType="end"/>
            </w:r>
          </w:hyperlink>
        </w:p>
        <w:p w14:paraId="63104645" w14:textId="36D047CC" w:rsidR="00F9570A" w:rsidRDefault="00F9570A">
          <w:pPr>
            <w:pStyle w:val="TOC2"/>
            <w:rPr>
              <w:rFonts w:asciiTheme="minorHAnsi" w:eastAsiaTheme="minorEastAsia" w:hAnsiTheme="minorHAnsi" w:cstheme="minorBidi"/>
              <w:noProof/>
              <w:kern w:val="2"/>
              <w:szCs w:val="24"/>
              <w14:ligatures w14:val="standardContextual"/>
            </w:rPr>
          </w:pPr>
          <w:hyperlink w:anchor="_Toc193977944" w:history="1">
            <w:r w:rsidRPr="00DA18F2">
              <w:rPr>
                <w:rStyle w:val="Hyperlink"/>
                <w:noProof/>
              </w:rPr>
              <w:t>Firm Data</w:t>
            </w:r>
            <w:r>
              <w:rPr>
                <w:noProof/>
                <w:webHidden/>
              </w:rPr>
              <w:tab/>
            </w:r>
            <w:r>
              <w:rPr>
                <w:noProof/>
                <w:webHidden/>
              </w:rPr>
              <w:fldChar w:fldCharType="begin"/>
            </w:r>
            <w:r>
              <w:rPr>
                <w:noProof/>
                <w:webHidden/>
              </w:rPr>
              <w:instrText xml:space="preserve"> PAGEREF _Toc193977944 \h </w:instrText>
            </w:r>
            <w:r>
              <w:rPr>
                <w:noProof/>
                <w:webHidden/>
              </w:rPr>
            </w:r>
            <w:r>
              <w:rPr>
                <w:noProof/>
                <w:webHidden/>
              </w:rPr>
              <w:fldChar w:fldCharType="separate"/>
            </w:r>
            <w:r w:rsidR="00833A39">
              <w:rPr>
                <w:noProof/>
                <w:webHidden/>
              </w:rPr>
              <w:t>26</w:t>
            </w:r>
            <w:r>
              <w:rPr>
                <w:noProof/>
                <w:webHidden/>
              </w:rPr>
              <w:fldChar w:fldCharType="end"/>
            </w:r>
          </w:hyperlink>
        </w:p>
        <w:p w14:paraId="0264C13A" w14:textId="75288BE9" w:rsidR="00F9570A" w:rsidRDefault="00F9570A">
          <w:pPr>
            <w:pStyle w:val="TOC2"/>
            <w:rPr>
              <w:rFonts w:asciiTheme="minorHAnsi" w:eastAsiaTheme="minorEastAsia" w:hAnsiTheme="minorHAnsi" w:cstheme="minorBidi"/>
              <w:noProof/>
              <w:kern w:val="2"/>
              <w:szCs w:val="24"/>
              <w14:ligatures w14:val="standardContextual"/>
            </w:rPr>
          </w:pPr>
          <w:hyperlink w:anchor="_Toc193977945" w:history="1">
            <w:r w:rsidRPr="00DA18F2">
              <w:rPr>
                <w:rStyle w:val="Hyperlink"/>
                <w:noProof/>
              </w:rPr>
              <w:t>Legislative Data</w:t>
            </w:r>
            <w:r>
              <w:rPr>
                <w:noProof/>
                <w:webHidden/>
              </w:rPr>
              <w:tab/>
            </w:r>
            <w:r>
              <w:rPr>
                <w:noProof/>
                <w:webHidden/>
              </w:rPr>
              <w:fldChar w:fldCharType="begin"/>
            </w:r>
            <w:r>
              <w:rPr>
                <w:noProof/>
                <w:webHidden/>
              </w:rPr>
              <w:instrText xml:space="preserve"> PAGEREF _Toc193977945 \h </w:instrText>
            </w:r>
            <w:r>
              <w:rPr>
                <w:noProof/>
                <w:webHidden/>
              </w:rPr>
            </w:r>
            <w:r>
              <w:rPr>
                <w:noProof/>
                <w:webHidden/>
              </w:rPr>
              <w:fldChar w:fldCharType="separate"/>
            </w:r>
            <w:r w:rsidR="00833A39">
              <w:rPr>
                <w:noProof/>
                <w:webHidden/>
              </w:rPr>
              <w:t>27</w:t>
            </w:r>
            <w:r>
              <w:rPr>
                <w:noProof/>
                <w:webHidden/>
              </w:rPr>
              <w:fldChar w:fldCharType="end"/>
            </w:r>
          </w:hyperlink>
        </w:p>
        <w:p w14:paraId="6E5580B8" w14:textId="596E9FE8" w:rsidR="00F9570A" w:rsidRDefault="00F9570A">
          <w:pPr>
            <w:pStyle w:val="TOC2"/>
            <w:rPr>
              <w:rFonts w:asciiTheme="minorHAnsi" w:eastAsiaTheme="minorEastAsia" w:hAnsiTheme="minorHAnsi" w:cstheme="minorBidi"/>
              <w:noProof/>
              <w:kern w:val="2"/>
              <w:szCs w:val="24"/>
              <w14:ligatures w14:val="standardContextual"/>
            </w:rPr>
          </w:pPr>
          <w:hyperlink w:anchor="_Toc193977946" w:history="1">
            <w:r w:rsidRPr="00DA18F2">
              <w:rPr>
                <w:rStyle w:val="Hyperlink"/>
                <w:noProof/>
              </w:rPr>
              <w:t>Sample Construction</w:t>
            </w:r>
            <w:r>
              <w:rPr>
                <w:noProof/>
                <w:webHidden/>
              </w:rPr>
              <w:tab/>
            </w:r>
            <w:r>
              <w:rPr>
                <w:noProof/>
                <w:webHidden/>
              </w:rPr>
              <w:fldChar w:fldCharType="begin"/>
            </w:r>
            <w:r>
              <w:rPr>
                <w:noProof/>
                <w:webHidden/>
              </w:rPr>
              <w:instrText xml:space="preserve"> PAGEREF _Toc193977946 \h </w:instrText>
            </w:r>
            <w:r>
              <w:rPr>
                <w:noProof/>
                <w:webHidden/>
              </w:rPr>
            </w:r>
            <w:r>
              <w:rPr>
                <w:noProof/>
                <w:webHidden/>
              </w:rPr>
              <w:fldChar w:fldCharType="separate"/>
            </w:r>
            <w:r w:rsidR="00833A39">
              <w:rPr>
                <w:noProof/>
                <w:webHidden/>
              </w:rPr>
              <w:t>29</w:t>
            </w:r>
            <w:r>
              <w:rPr>
                <w:noProof/>
                <w:webHidden/>
              </w:rPr>
              <w:fldChar w:fldCharType="end"/>
            </w:r>
          </w:hyperlink>
        </w:p>
        <w:p w14:paraId="61380AF4" w14:textId="2C64E70D" w:rsidR="00F9570A" w:rsidRDefault="00F9570A">
          <w:pPr>
            <w:pStyle w:val="TOC1"/>
            <w:rPr>
              <w:rFonts w:asciiTheme="minorHAnsi" w:eastAsiaTheme="minorEastAsia" w:hAnsiTheme="minorHAnsi" w:cstheme="minorBidi"/>
              <w:bCs w:val="0"/>
              <w:noProof/>
              <w:kern w:val="2"/>
              <w:szCs w:val="24"/>
              <w14:ligatures w14:val="standardContextual"/>
            </w:rPr>
          </w:pPr>
          <w:hyperlink w:anchor="_Toc193977947" w:history="1">
            <w:r w:rsidRPr="00DA18F2">
              <w:rPr>
                <w:rStyle w:val="Hyperlink"/>
                <w:noProof/>
              </w:rPr>
              <w:t>JOURNAL ARTICLE</w:t>
            </w:r>
            <w:r>
              <w:rPr>
                <w:noProof/>
                <w:webHidden/>
              </w:rPr>
              <w:tab/>
            </w:r>
            <w:r>
              <w:rPr>
                <w:noProof/>
                <w:webHidden/>
              </w:rPr>
              <w:fldChar w:fldCharType="begin"/>
            </w:r>
            <w:r>
              <w:rPr>
                <w:noProof/>
                <w:webHidden/>
              </w:rPr>
              <w:instrText xml:space="preserve"> PAGEREF _Toc193977947 \h </w:instrText>
            </w:r>
            <w:r>
              <w:rPr>
                <w:noProof/>
                <w:webHidden/>
              </w:rPr>
            </w:r>
            <w:r>
              <w:rPr>
                <w:noProof/>
                <w:webHidden/>
              </w:rPr>
              <w:fldChar w:fldCharType="separate"/>
            </w:r>
            <w:r w:rsidR="00833A39">
              <w:rPr>
                <w:noProof/>
                <w:webHidden/>
              </w:rPr>
              <w:t>31</w:t>
            </w:r>
            <w:r>
              <w:rPr>
                <w:noProof/>
                <w:webHidden/>
              </w:rPr>
              <w:fldChar w:fldCharType="end"/>
            </w:r>
          </w:hyperlink>
        </w:p>
        <w:p w14:paraId="3E092A00" w14:textId="168ABB80" w:rsidR="00F9570A" w:rsidRDefault="00F9570A">
          <w:pPr>
            <w:pStyle w:val="TOC2"/>
            <w:rPr>
              <w:rFonts w:asciiTheme="minorHAnsi" w:eastAsiaTheme="minorEastAsia" w:hAnsiTheme="minorHAnsi" w:cstheme="minorBidi"/>
              <w:noProof/>
              <w:kern w:val="2"/>
              <w:szCs w:val="24"/>
              <w14:ligatures w14:val="standardContextual"/>
            </w:rPr>
          </w:pPr>
          <w:hyperlink w:anchor="_Toc193977948" w:history="1">
            <w:r w:rsidRPr="00DA18F2">
              <w:rPr>
                <w:rStyle w:val="Hyperlink"/>
                <w:noProof/>
              </w:rPr>
              <w:t>Introduction</w:t>
            </w:r>
            <w:r>
              <w:rPr>
                <w:noProof/>
                <w:webHidden/>
              </w:rPr>
              <w:tab/>
            </w:r>
            <w:r>
              <w:rPr>
                <w:noProof/>
                <w:webHidden/>
              </w:rPr>
              <w:fldChar w:fldCharType="begin"/>
            </w:r>
            <w:r>
              <w:rPr>
                <w:noProof/>
                <w:webHidden/>
              </w:rPr>
              <w:instrText xml:space="preserve"> PAGEREF _Toc193977948 \h </w:instrText>
            </w:r>
            <w:r>
              <w:rPr>
                <w:noProof/>
                <w:webHidden/>
              </w:rPr>
            </w:r>
            <w:r>
              <w:rPr>
                <w:noProof/>
                <w:webHidden/>
              </w:rPr>
              <w:fldChar w:fldCharType="separate"/>
            </w:r>
            <w:r w:rsidR="00833A39">
              <w:rPr>
                <w:noProof/>
                <w:webHidden/>
              </w:rPr>
              <w:t>31</w:t>
            </w:r>
            <w:r>
              <w:rPr>
                <w:noProof/>
                <w:webHidden/>
              </w:rPr>
              <w:fldChar w:fldCharType="end"/>
            </w:r>
          </w:hyperlink>
        </w:p>
        <w:p w14:paraId="009D2968" w14:textId="077DABCE" w:rsidR="00F9570A" w:rsidRDefault="00F9570A">
          <w:pPr>
            <w:pStyle w:val="TOC2"/>
            <w:rPr>
              <w:rFonts w:asciiTheme="minorHAnsi" w:eastAsiaTheme="minorEastAsia" w:hAnsiTheme="minorHAnsi" w:cstheme="minorBidi"/>
              <w:noProof/>
              <w:kern w:val="2"/>
              <w:szCs w:val="24"/>
              <w14:ligatures w14:val="standardContextual"/>
            </w:rPr>
          </w:pPr>
          <w:hyperlink w:anchor="_Toc193977949" w:history="1">
            <w:r w:rsidRPr="00DA18F2">
              <w:rPr>
                <w:rStyle w:val="Hyperlink"/>
                <w:noProof/>
              </w:rPr>
              <w:t>Literature Review</w:t>
            </w:r>
            <w:r>
              <w:rPr>
                <w:noProof/>
                <w:webHidden/>
              </w:rPr>
              <w:tab/>
            </w:r>
            <w:r>
              <w:rPr>
                <w:noProof/>
                <w:webHidden/>
              </w:rPr>
              <w:fldChar w:fldCharType="begin"/>
            </w:r>
            <w:r>
              <w:rPr>
                <w:noProof/>
                <w:webHidden/>
              </w:rPr>
              <w:instrText xml:space="preserve"> PAGEREF _Toc193977949 \h </w:instrText>
            </w:r>
            <w:r>
              <w:rPr>
                <w:noProof/>
                <w:webHidden/>
              </w:rPr>
            </w:r>
            <w:r>
              <w:rPr>
                <w:noProof/>
                <w:webHidden/>
              </w:rPr>
              <w:fldChar w:fldCharType="separate"/>
            </w:r>
            <w:r w:rsidR="00833A39">
              <w:rPr>
                <w:noProof/>
                <w:webHidden/>
              </w:rPr>
              <w:t>32</w:t>
            </w:r>
            <w:r>
              <w:rPr>
                <w:noProof/>
                <w:webHidden/>
              </w:rPr>
              <w:fldChar w:fldCharType="end"/>
            </w:r>
          </w:hyperlink>
        </w:p>
        <w:p w14:paraId="284A215F" w14:textId="471291C2" w:rsidR="00F9570A" w:rsidRDefault="00F9570A">
          <w:pPr>
            <w:pStyle w:val="TOC2"/>
            <w:rPr>
              <w:rFonts w:asciiTheme="minorHAnsi" w:eastAsiaTheme="minorEastAsia" w:hAnsiTheme="minorHAnsi" w:cstheme="minorBidi"/>
              <w:noProof/>
              <w:kern w:val="2"/>
              <w:szCs w:val="24"/>
              <w14:ligatures w14:val="standardContextual"/>
            </w:rPr>
          </w:pPr>
          <w:hyperlink w:anchor="_Toc193977950" w:history="1">
            <w:r w:rsidRPr="00DA18F2">
              <w:rPr>
                <w:rStyle w:val="Hyperlink"/>
                <w:noProof/>
              </w:rPr>
              <w:t>Data</w:t>
            </w:r>
            <w:r>
              <w:rPr>
                <w:noProof/>
                <w:webHidden/>
              </w:rPr>
              <w:tab/>
            </w:r>
            <w:r>
              <w:rPr>
                <w:noProof/>
                <w:webHidden/>
              </w:rPr>
              <w:fldChar w:fldCharType="begin"/>
            </w:r>
            <w:r>
              <w:rPr>
                <w:noProof/>
                <w:webHidden/>
              </w:rPr>
              <w:instrText xml:space="preserve"> PAGEREF _Toc193977950 \h </w:instrText>
            </w:r>
            <w:r>
              <w:rPr>
                <w:noProof/>
                <w:webHidden/>
              </w:rPr>
            </w:r>
            <w:r>
              <w:rPr>
                <w:noProof/>
                <w:webHidden/>
              </w:rPr>
              <w:fldChar w:fldCharType="separate"/>
            </w:r>
            <w:r w:rsidR="00833A39">
              <w:rPr>
                <w:noProof/>
                <w:webHidden/>
              </w:rPr>
              <w:t>41</w:t>
            </w:r>
            <w:r>
              <w:rPr>
                <w:noProof/>
                <w:webHidden/>
              </w:rPr>
              <w:fldChar w:fldCharType="end"/>
            </w:r>
          </w:hyperlink>
        </w:p>
        <w:p w14:paraId="3EEF01E5" w14:textId="2073AF88" w:rsidR="00F9570A" w:rsidRDefault="00F9570A">
          <w:pPr>
            <w:pStyle w:val="TOC2"/>
            <w:rPr>
              <w:rFonts w:asciiTheme="minorHAnsi" w:eastAsiaTheme="minorEastAsia" w:hAnsiTheme="minorHAnsi" w:cstheme="minorBidi"/>
              <w:noProof/>
              <w:kern w:val="2"/>
              <w:szCs w:val="24"/>
              <w14:ligatures w14:val="standardContextual"/>
            </w:rPr>
          </w:pPr>
          <w:hyperlink w:anchor="_Toc193977951" w:history="1">
            <w:r w:rsidRPr="00DA18F2">
              <w:rPr>
                <w:rStyle w:val="Hyperlink"/>
                <w:noProof/>
              </w:rPr>
              <w:t>Empirical Method</w:t>
            </w:r>
            <w:r>
              <w:rPr>
                <w:noProof/>
                <w:webHidden/>
              </w:rPr>
              <w:tab/>
            </w:r>
            <w:r>
              <w:rPr>
                <w:noProof/>
                <w:webHidden/>
              </w:rPr>
              <w:fldChar w:fldCharType="begin"/>
            </w:r>
            <w:r>
              <w:rPr>
                <w:noProof/>
                <w:webHidden/>
              </w:rPr>
              <w:instrText xml:space="preserve"> PAGEREF _Toc193977951 \h </w:instrText>
            </w:r>
            <w:r>
              <w:rPr>
                <w:noProof/>
                <w:webHidden/>
              </w:rPr>
            </w:r>
            <w:r>
              <w:rPr>
                <w:noProof/>
                <w:webHidden/>
              </w:rPr>
              <w:fldChar w:fldCharType="separate"/>
            </w:r>
            <w:r w:rsidR="00833A39">
              <w:rPr>
                <w:noProof/>
                <w:webHidden/>
              </w:rPr>
              <w:t>49</w:t>
            </w:r>
            <w:r>
              <w:rPr>
                <w:noProof/>
                <w:webHidden/>
              </w:rPr>
              <w:fldChar w:fldCharType="end"/>
            </w:r>
          </w:hyperlink>
        </w:p>
        <w:p w14:paraId="72287F00" w14:textId="72309B1F" w:rsidR="00F9570A" w:rsidRDefault="00F9570A">
          <w:pPr>
            <w:pStyle w:val="TOC2"/>
            <w:rPr>
              <w:rFonts w:asciiTheme="minorHAnsi" w:eastAsiaTheme="minorEastAsia" w:hAnsiTheme="minorHAnsi" w:cstheme="minorBidi"/>
              <w:noProof/>
              <w:kern w:val="2"/>
              <w:szCs w:val="24"/>
              <w14:ligatures w14:val="standardContextual"/>
            </w:rPr>
          </w:pPr>
          <w:hyperlink w:anchor="_Toc193977952" w:history="1">
            <w:r w:rsidRPr="00DA18F2">
              <w:rPr>
                <w:rStyle w:val="Hyperlink"/>
                <w:noProof/>
              </w:rPr>
              <w:t>Discussion</w:t>
            </w:r>
            <w:r>
              <w:rPr>
                <w:noProof/>
                <w:webHidden/>
              </w:rPr>
              <w:tab/>
            </w:r>
            <w:r>
              <w:rPr>
                <w:noProof/>
                <w:webHidden/>
              </w:rPr>
              <w:fldChar w:fldCharType="begin"/>
            </w:r>
            <w:r>
              <w:rPr>
                <w:noProof/>
                <w:webHidden/>
              </w:rPr>
              <w:instrText xml:space="preserve"> PAGEREF _Toc193977952 \h </w:instrText>
            </w:r>
            <w:r>
              <w:rPr>
                <w:noProof/>
                <w:webHidden/>
              </w:rPr>
            </w:r>
            <w:r>
              <w:rPr>
                <w:noProof/>
                <w:webHidden/>
              </w:rPr>
              <w:fldChar w:fldCharType="separate"/>
            </w:r>
            <w:r w:rsidR="00833A39">
              <w:rPr>
                <w:noProof/>
                <w:webHidden/>
              </w:rPr>
              <w:t>51</w:t>
            </w:r>
            <w:r>
              <w:rPr>
                <w:noProof/>
                <w:webHidden/>
              </w:rPr>
              <w:fldChar w:fldCharType="end"/>
            </w:r>
          </w:hyperlink>
        </w:p>
        <w:p w14:paraId="169D0C34" w14:textId="703B1FC2" w:rsidR="00F9570A" w:rsidRDefault="00F9570A">
          <w:pPr>
            <w:pStyle w:val="TOC1"/>
            <w:rPr>
              <w:rFonts w:asciiTheme="minorHAnsi" w:eastAsiaTheme="minorEastAsia" w:hAnsiTheme="minorHAnsi" w:cstheme="minorBidi"/>
              <w:bCs w:val="0"/>
              <w:noProof/>
              <w:kern w:val="2"/>
              <w:szCs w:val="24"/>
              <w14:ligatures w14:val="standardContextual"/>
            </w:rPr>
          </w:pPr>
          <w:hyperlink w:anchor="_Toc193977953" w:history="1">
            <w:r w:rsidRPr="00DA18F2">
              <w:rPr>
                <w:rStyle w:val="Hyperlink"/>
                <w:noProof/>
              </w:rPr>
              <w:t>CONCLUSION</w:t>
            </w:r>
            <w:r>
              <w:rPr>
                <w:noProof/>
                <w:webHidden/>
              </w:rPr>
              <w:tab/>
            </w:r>
            <w:r>
              <w:rPr>
                <w:noProof/>
                <w:webHidden/>
              </w:rPr>
              <w:fldChar w:fldCharType="begin"/>
            </w:r>
            <w:r>
              <w:rPr>
                <w:noProof/>
                <w:webHidden/>
              </w:rPr>
              <w:instrText xml:space="preserve"> PAGEREF _Toc193977953 \h </w:instrText>
            </w:r>
            <w:r>
              <w:rPr>
                <w:noProof/>
                <w:webHidden/>
              </w:rPr>
            </w:r>
            <w:r>
              <w:rPr>
                <w:noProof/>
                <w:webHidden/>
              </w:rPr>
              <w:fldChar w:fldCharType="separate"/>
            </w:r>
            <w:r w:rsidR="00833A39">
              <w:rPr>
                <w:noProof/>
                <w:webHidden/>
              </w:rPr>
              <w:t>58</w:t>
            </w:r>
            <w:r>
              <w:rPr>
                <w:noProof/>
                <w:webHidden/>
              </w:rPr>
              <w:fldChar w:fldCharType="end"/>
            </w:r>
          </w:hyperlink>
        </w:p>
        <w:p w14:paraId="21E9DB45" w14:textId="232731DD" w:rsidR="00F9570A" w:rsidRDefault="00F9570A">
          <w:pPr>
            <w:pStyle w:val="TOC1"/>
            <w:rPr>
              <w:rFonts w:asciiTheme="minorHAnsi" w:eastAsiaTheme="minorEastAsia" w:hAnsiTheme="minorHAnsi" w:cstheme="minorBidi"/>
              <w:bCs w:val="0"/>
              <w:noProof/>
              <w:kern w:val="2"/>
              <w:szCs w:val="24"/>
              <w14:ligatures w14:val="standardContextual"/>
            </w:rPr>
          </w:pPr>
          <w:hyperlink w:anchor="_Toc193977954" w:history="1">
            <w:r w:rsidRPr="00DA18F2">
              <w:rPr>
                <w:rStyle w:val="Hyperlink"/>
                <w:noProof/>
              </w:rPr>
              <w:t>REFERENCES</w:t>
            </w:r>
            <w:r>
              <w:rPr>
                <w:noProof/>
                <w:webHidden/>
              </w:rPr>
              <w:tab/>
            </w:r>
            <w:r>
              <w:rPr>
                <w:noProof/>
                <w:webHidden/>
              </w:rPr>
              <w:fldChar w:fldCharType="begin"/>
            </w:r>
            <w:r>
              <w:rPr>
                <w:noProof/>
                <w:webHidden/>
              </w:rPr>
              <w:instrText xml:space="preserve"> PAGEREF _Toc193977954 \h </w:instrText>
            </w:r>
            <w:r>
              <w:rPr>
                <w:noProof/>
                <w:webHidden/>
              </w:rPr>
            </w:r>
            <w:r>
              <w:rPr>
                <w:noProof/>
                <w:webHidden/>
              </w:rPr>
              <w:fldChar w:fldCharType="separate"/>
            </w:r>
            <w:r w:rsidR="00833A39">
              <w:rPr>
                <w:noProof/>
                <w:webHidden/>
              </w:rPr>
              <w:t>61</w:t>
            </w:r>
            <w:r>
              <w:rPr>
                <w:noProof/>
                <w:webHidden/>
              </w:rPr>
              <w:fldChar w:fldCharType="end"/>
            </w:r>
          </w:hyperlink>
        </w:p>
        <w:p w14:paraId="238D9845" w14:textId="3D70DC6A" w:rsidR="00F9570A" w:rsidRDefault="00F9570A">
          <w:pPr>
            <w:pStyle w:val="TOC1"/>
            <w:rPr>
              <w:rFonts w:asciiTheme="minorHAnsi" w:eastAsiaTheme="minorEastAsia" w:hAnsiTheme="minorHAnsi" w:cstheme="minorBidi"/>
              <w:bCs w:val="0"/>
              <w:noProof/>
              <w:kern w:val="2"/>
              <w:szCs w:val="24"/>
              <w14:ligatures w14:val="standardContextual"/>
            </w:rPr>
          </w:pPr>
          <w:hyperlink w:anchor="_Toc193977955" w:history="1">
            <w:r w:rsidRPr="00DA18F2">
              <w:rPr>
                <w:rStyle w:val="Hyperlink"/>
                <w:noProof/>
              </w:rPr>
              <w:t>APPENDICIES</w:t>
            </w:r>
            <w:r>
              <w:rPr>
                <w:noProof/>
                <w:webHidden/>
              </w:rPr>
              <w:tab/>
            </w:r>
            <w:r>
              <w:rPr>
                <w:noProof/>
                <w:webHidden/>
              </w:rPr>
              <w:fldChar w:fldCharType="begin"/>
            </w:r>
            <w:r>
              <w:rPr>
                <w:noProof/>
                <w:webHidden/>
              </w:rPr>
              <w:instrText xml:space="preserve"> PAGEREF _Toc193977955 \h </w:instrText>
            </w:r>
            <w:r>
              <w:rPr>
                <w:noProof/>
                <w:webHidden/>
              </w:rPr>
            </w:r>
            <w:r>
              <w:rPr>
                <w:noProof/>
                <w:webHidden/>
              </w:rPr>
              <w:fldChar w:fldCharType="separate"/>
            </w:r>
            <w:r w:rsidR="00833A39">
              <w:rPr>
                <w:noProof/>
                <w:webHidden/>
              </w:rPr>
              <w:t>78</w:t>
            </w:r>
            <w:r>
              <w:rPr>
                <w:noProof/>
                <w:webHidden/>
              </w:rPr>
              <w:fldChar w:fldCharType="end"/>
            </w:r>
          </w:hyperlink>
        </w:p>
        <w:p w14:paraId="0A175D5F" w14:textId="3D735CC9" w:rsidR="00F9570A" w:rsidRDefault="00F9570A">
          <w:pPr>
            <w:pStyle w:val="TOC2"/>
            <w:rPr>
              <w:rFonts w:asciiTheme="minorHAnsi" w:eastAsiaTheme="minorEastAsia" w:hAnsiTheme="minorHAnsi" w:cstheme="minorBidi"/>
              <w:noProof/>
              <w:kern w:val="2"/>
              <w:szCs w:val="24"/>
              <w14:ligatures w14:val="standardContextual"/>
            </w:rPr>
          </w:pPr>
          <w:hyperlink w:anchor="_Toc193977956" w:history="1">
            <w:r w:rsidRPr="00DA18F2">
              <w:rPr>
                <w:rStyle w:val="Hyperlink"/>
                <w:noProof/>
              </w:rPr>
              <w:t>Appendix A</w:t>
            </w:r>
            <w:r>
              <w:rPr>
                <w:noProof/>
                <w:webHidden/>
              </w:rPr>
              <w:tab/>
            </w:r>
            <w:r>
              <w:rPr>
                <w:noProof/>
                <w:webHidden/>
              </w:rPr>
              <w:fldChar w:fldCharType="begin"/>
            </w:r>
            <w:r>
              <w:rPr>
                <w:noProof/>
                <w:webHidden/>
              </w:rPr>
              <w:instrText xml:space="preserve"> PAGEREF _Toc193977956 \h </w:instrText>
            </w:r>
            <w:r>
              <w:rPr>
                <w:noProof/>
                <w:webHidden/>
              </w:rPr>
            </w:r>
            <w:r>
              <w:rPr>
                <w:noProof/>
                <w:webHidden/>
              </w:rPr>
              <w:fldChar w:fldCharType="separate"/>
            </w:r>
            <w:r w:rsidR="00833A39">
              <w:rPr>
                <w:noProof/>
                <w:webHidden/>
              </w:rPr>
              <w:t>78</w:t>
            </w:r>
            <w:r>
              <w:rPr>
                <w:noProof/>
                <w:webHidden/>
              </w:rPr>
              <w:fldChar w:fldCharType="end"/>
            </w:r>
          </w:hyperlink>
        </w:p>
        <w:p w14:paraId="3D65B1DF" w14:textId="376D37A9" w:rsidR="00F9570A" w:rsidRDefault="00F9570A">
          <w:pPr>
            <w:pStyle w:val="TOC2"/>
            <w:rPr>
              <w:rFonts w:asciiTheme="minorHAnsi" w:eastAsiaTheme="minorEastAsia" w:hAnsiTheme="minorHAnsi" w:cstheme="minorBidi"/>
              <w:noProof/>
              <w:kern w:val="2"/>
              <w:szCs w:val="24"/>
              <w14:ligatures w14:val="standardContextual"/>
            </w:rPr>
          </w:pPr>
          <w:hyperlink w:anchor="_Toc193977957" w:history="1">
            <w:r w:rsidRPr="00DA18F2">
              <w:rPr>
                <w:rStyle w:val="Hyperlink"/>
                <w:noProof/>
              </w:rPr>
              <w:t>Appendix B</w:t>
            </w:r>
            <w:r>
              <w:rPr>
                <w:noProof/>
                <w:webHidden/>
              </w:rPr>
              <w:tab/>
            </w:r>
            <w:r>
              <w:rPr>
                <w:noProof/>
                <w:webHidden/>
              </w:rPr>
              <w:fldChar w:fldCharType="begin"/>
            </w:r>
            <w:r>
              <w:rPr>
                <w:noProof/>
                <w:webHidden/>
              </w:rPr>
              <w:instrText xml:space="preserve"> PAGEREF _Toc193977957 \h </w:instrText>
            </w:r>
            <w:r>
              <w:rPr>
                <w:noProof/>
                <w:webHidden/>
              </w:rPr>
            </w:r>
            <w:r>
              <w:rPr>
                <w:noProof/>
                <w:webHidden/>
              </w:rPr>
              <w:fldChar w:fldCharType="separate"/>
            </w:r>
            <w:r w:rsidR="00833A39">
              <w:rPr>
                <w:noProof/>
                <w:webHidden/>
              </w:rPr>
              <w:t>86</w:t>
            </w:r>
            <w:r>
              <w:rPr>
                <w:noProof/>
                <w:webHidden/>
              </w:rPr>
              <w:fldChar w:fldCharType="end"/>
            </w:r>
          </w:hyperlink>
        </w:p>
        <w:p w14:paraId="41F12AB3" w14:textId="01657FDF" w:rsidR="00730571" w:rsidRPr="00063811" w:rsidRDefault="00730571" w:rsidP="008612B7">
          <w:pPr>
            <w:ind w:left="720"/>
          </w:pPr>
          <w:r w:rsidRPr="00063811">
            <w:rPr>
              <w:bCs/>
              <w:szCs w:val="20"/>
            </w:rPr>
            <w:fldChar w:fldCharType="end"/>
          </w:r>
        </w:p>
      </w:sdtContent>
    </w:sdt>
    <w:p w14:paraId="2DA87428" w14:textId="379E6FC7" w:rsidR="00EF0C73" w:rsidRPr="00063811" w:rsidRDefault="00307A81" w:rsidP="00F256FD">
      <w:pPr>
        <w:spacing w:after="160" w:line="278" w:lineRule="auto"/>
      </w:pPr>
      <w:r w:rsidRPr="00063811">
        <w:br w:type="page"/>
      </w:r>
    </w:p>
    <w:p w14:paraId="6F191E8C" w14:textId="1BDA21A8" w:rsidR="0083142A" w:rsidRPr="008612B7" w:rsidRDefault="0083142A" w:rsidP="008612B7">
      <w:pPr>
        <w:pStyle w:val="TableofFigures"/>
        <w:numPr>
          <w:ilvl w:val="0"/>
          <w:numId w:val="0"/>
        </w:numPr>
        <w:tabs>
          <w:tab w:val="right" w:leader="dot" w:pos="9350"/>
        </w:tabs>
        <w:ind w:left="720"/>
        <w:jc w:val="center"/>
        <w:rPr>
          <w:szCs w:val="24"/>
        </w:rPr>
      </w:pPr>
      <w:bookmarkStart w:id="2" w:name="_Hlk191649545"/>
      <w:r w:rsidRPr="008612B7">
        <w:rPr>
          <w:szCs w:val="24"/>
        </w:rPr>
        <w:lastRenderedPageBreak/>
        <w:t>LIST OF TABLES</w:t>
      </w:r>
    </w:p>
    <w:p w14:paraId="65B2F058" w14:textId="3CD4BA2C" w:rsidR="00A7695F" w:rsidRPr="00063811" w:rsidRDefault="0083142A" w:rsidP="008612B7">
      <w:pPr>
        <w:tabs>
          <w:tab w:val="left" w:pos="8928"/>
        </w:tabs>
        <w:ind w:left="-90" w:right="-360"/>
      </w:pPr>
      <w:r w:rsidRPr="00063811">
        <w:t>TABLE</w:t>
      </w:r>
      <w:r w:rsidRPr="00063811">
        <w:tab/>
        <w:t>PAGE</w:t>
      </w:r>
    </w:p>
    <w:p w14:paraId="3CAB4F9E" w14:textId="1A49E886" w:rsidR="00063811" w:rsidRPr="00063811" w:rsidRDefault="0083142A">
      <w:pPr>
        <w:pStyle w:val="TableofFigures"/>
        <w:tabs>
          <w:tab w:val="right" w:leader="dot" w:pos="9350"/>
        </w:tabs>
        <w:rPr>
          <w:rFonts w:asciiTheme="minorHAnsi" w:eastAsiaTheme="minorEastAsia" w:hAnsiTheme="minorHAnsi" w:cstheme="minorBidi"/>
          <w:noProof/>
          <w:kern w:val="2"/>
          <w:szCs w:val="24"/>
          <w14:ligatures w14:val="standardContextual"/>
        </w:rPr>
      </w:pPr>
      <w:r w:rsidRPr="00063811">
        <w:rPr>
          <w:color w:val="000000" w:themeColor="text1"/>
          <w:szCs w:val="24"/>
        </w:rPr>
        <w:fldChar w:fldCharType="begin"/>
      </w:r>
      <w:r w:rsidRPr="00063811">
        <w:rPr>
          <w:color w:val="000000" w:themeColor="text1"/>
          <w:szCs w:val="24"/>
        </w:rPr>
        <w:instrText xml:space="preserve"> TOC \h \z \a "Table" </w:instrText>
      </w:r>
      <w:r w:rsidRPr="00063811">
        <w:rPr>
          <w:color w:val="000000" w:themeColor="text1"/>
          <w:szCs w:val="24"/>
        </w:rPr>
        <w:fldChar w:fldCharType="separate"/>
      </w:r>
      <w:hyperlink w:anchor="_Toc193976794" w:history="1">
        <w:r w:rsidR="00063811" w:rsidRPr="008612B7">
          <w:rPr>
            <w:rStyle w:val="Hyperlink"/>
            <w:noProof/>
          </w:rPr>
          <w:t>S&amp;P Global ESG Indices Calculations</w:t>
        </w:r>
        <w:r w:rsidR="00063811" w:rsidRPr="00063811">
          <w:rPr>
            <w:noProof/>
            <w:webHidden/>
          </w:rPr>
          <w:tab/>
        </w:r>
        <w:r w:rsidR="00063811" w:rsidRPr="00063811">
          <w:rPr>
            <w:noProof/>
            <w:webHidden/>
          </w:rPr>
          <w:fldChar w:fldCharType="begin"/>
        </w:r>
        <w:r w:rsidR="00063811" w:rsidRPr="00063811">
          <w:rPr>
            <w:noProof/>
            <w:webHidden/>
          </w:rPr>
          <w:instrText xml:space="preserve"> PAGEREF _Toc193976794 \h </w:instrText>
        </w:r>
        <w:r w:rsidR="00063811" w:rsidRPr="00063811">
          <w:rPr>
            <w:noProof/>
            <w:webHidden/>
          </w:rPr>
        </w:r>
        <w:r w:rsidR="00063811" w:rsidRPr="00063811">
          <w:rPr>
            <w:noProof/>
            <w:webHidden/>
          </w:rPr>
          <w:fldChar w:fldCharType="separate"/>
        </w:r>
        <w:r w:rsidR="00F9570A">
          <w:rPr>
            <w:noProof/>
            <w:webHidden/>
          </w:rPr>
          <w:t>25</w:t>
        </w:r>
        <w:r w:rsidR="00063811" w:rsidRPr="00063811">
          <w:rPr>
            <w:noProof/>
            <w:webHidden/>
          </w:rPr>
          <w:fldChar w:fldCharType="end"/>
        </w:r>
      </w:hyperlink>
    </w:p>
    <w:p w14:paraId="131A2543" w14:textId="52064CC3" w:rsidR="00063811" w:rsidRPr="00063811" w:rsidRDefault="0006381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3976795" w:history="1">
        <w:r w:rsidRPr="008612B7">
          <w:rPr>
            <w:rStyle w:val="Hyperlink"/>
            <w:noProof/>
          </w:rPr>
          <w:t>S&amp;P Global Gender Diversity and Tenure Indices Calculations</w:t>
        </w:r>
        <w:r w:rsidRPr="00063811">
          <w:rPr>
            <w:noProof/>
            <w:webHidden/>
          </w:rPr>
          <w:tab/>
        </w:r>
        <w:r w:rsidRPr="00063811">
          <w:rPr>
            <w:noProof/>
            <w:webHidden/>
          </w:rPr>
          <w:fldChar w:fldCharType="begin"/>
        </w:r>
        <w:r w:rsidRPr="00063811">
          <w:rPr>
            <w:noProof/>
            <w:webHidden/>
          </w:rPr>
          <w:instrText xml:space="preserve"> PAGEREF _Toc193976795 \h </w:instrText>
        </w:r>
        <w:r w:rsidRPr="00063811">
          <w:rPr>
            <w:noProof/>
            <w:webHidden/>
          </w:rPr>
        </w:r>
        <w:r w:rsidRPr="00063811">
          <w:rPr>
            <w:noProof/>
            <w:webHidden/>
          </w:rPr>
          <w:fldChar w:fldCharType="separate"/>
        </w:r>
        <w:r w:rsidR="00F9570A">
          <w:rPr>
            <w:noProof/>
            <w:webHidden/>
          </w:rPr>
          <w:t>25</w:t>
        </w:r>
        <w:r w:rsidRPr="00063811">
          <w:rPr>
            <w:noProof/>
            <w:webHidden/>
          </w:rPr>
          <w:fldChar w:fldCharType="end"/>
        </w:r>
      </w:hyperlink>
    </w:p>
    <w:p w14:paraId="6D142C0A" w14:textId="77884DA2" w:rsidR="00063811" w:rsidRPr="00063811" w:rsidRDefault="0006381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3976796" w:history="1">
        <w:r w:rsidRPr="008612B7">
          <w:rPr>
            <w:rStyle w:val="Hyperlink"/>
            <w:noProof/>
          </w:rPr>
          <w:t>Control Variable Calculations.</w:t>
        </w:r>
        <w:r w:rsidRPr="00063811">
          <w:rPr>
            <w:noProof/>
            <w:webHidden/>
          </w:rPr>
          <w:tab/>
        </w:r>
        <w:r w:rsidRPr="00063811">
          <w:rPr>
            <w:noProof/>
            <w:webHidden/>
          </w:rPr>
          <w:fldChar w:fldCharType="begin"/>
        </w:r>
        <w:r w:rsidRPr="00063811">
          <w:rPr>
            <w:noProof/>
            <w:webHidden/>
          </w:rPr>
          <w:instrText xml:space="preserve"> PAGEREF _Toc193976796 \h </w:instrText>
        </w:r>
        <w:r w:rsidRPr="00063811">
          <w:rPr>
            <w:noProof/>
            <w:webHidden/>
          </w:rPr>
        </w:r>
        <w:r w:rsidRPr="00063811">
          <w:rPr>
            <w:noProof/>
            <w:webHidden/>
          </w:rPr>
          <w:fldChar w:fldCharType="separate"/>
        </w:r>
        <w:r w:rsidR="00F9570A">
          <w:rPr>
            <w:noProof/>
            <w:webHidden/>
          </w:rPr>
          <w:t>26</w:t>
        </w:r>
        <w:r w:rsidRPr="00063811">
          <w:rPr>
            <w:noProof/>
            <w:webHidden/>
          </w:rPr>
          <w:fldChar w:fldCharType="end"/>
        </w:r>
      </w:hyperlink>
    </w:p>
    <w:p w14:paraId="39EA7E62" w14:textId="6B802798" w:rsidR="00063811" w:rsidRPr="00063811" w:rsidRDefault="0006381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3976797" w:history="1">
        <w:r w:rsidRPr="008612B7">
          <w:rPr>
            <w:rStyle w:val="Hyperlink"/>
            <w:noProof/>
          </w:rPr>
          <w:t>Summary Statistics</w:t>
        </w:r>
        <w:r w:rsidRPr="00063811">
          <w:rPr>
            <w:noProof/>
            <w:webHidden/>
          </w:rPr>
          <w:tab/>
        </w:r>
        <w:r w:rsidRPr="00063811">
          <w:rPr>
            <w:noProof/>
            <w:webHidden/>
          </w:rPr>
          <w:fldChar w:fldCharType="begin"/>
        </w:r>
        <w:r w:rsidRPr="00063811">
          <w:rPr>
            <w:noProof/>
            <w:webHidden/>
          </w:rPr>
          <w:instrText xml:space="preserve"> PAGEREF _Toc193976797 \h </w:instrText>
        </w:r>
        <w:r w:rsidRPr="00063811">
          <w:rPr>
            <w:noProof/>
            <w:webHidden/>
          </w:rPr>
        </w:r>
        <w:r w:rsidRPr="00063811">
          <w:rPr>
            <w:noProof/>
            <w:webHidden/>
          </w:rPr>
          <w:fldChar w:fldCharType="separate"/>
        </w:r>
        <w:r w:rsidR="00F9570A">
          <w:rPr>
            <w:noProof/>
            <w:webHidden/>
          </w:rPr>
          <w:t>30</w:t>
        </w:r>
        <w:r w:rsidRPr="00063811">
          <w:rPr>
            <w:noProof/>
            <w:webHidden/>
          </w:rPr>
          <w:fldChar w:fldCharType="end"/>
        </w:r>
      </w:hyperlink>
    </w:p>
    <w:p w14:paraId="73FF4E17" w14:textId="63BC8ECE" w:rsidR="00063811" w:rsidRPr="00063811" w:rsidRDefault="0006381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3976798" w:history="1">
        <w:r w:rsidRPr="008612B7">
          <w:rPr>
            <w:rStyle w:val="Hyperlink"/>
            <w:noProof/>
          </w:rPr>
          <w:t>Baseline Results</w:t>
        </w:r>
        <w:r w:rsidRPr="00063811">
          <w:rPr>
            <w:noProof/>
            <w:webHidden/>
          </w:rPr>
          <w:tab/>
        </w:r>
        <w:r w:rsidRPr="00063811">
          <w:rPr>
            <w:noProof/>
            <w:webHidden/>
          </w:rPr>
          <w:fldChar w:fldCharType="begin"/>
        </w:r>
        <w:r w:rsidRPr="00063811">
          <w:rPr>
            <w:noProof/>
            <w:webHidden/>
          </w:rPr>
          <w:instrText xml:space="preserve"> PAGEREF _Toc193976798 \h </w:instrText>
        </w:r>
        <w:r w:rsidRPr="00063811">
          <w:rPr>
            <w:noProof/>
            <w:webHidden/>
          </w:rPr>
        </w:r>
        <w:r w:rsidRPr="00063811">
          <w:rPr>
            <w:noProof/>
            <w:webHidden/>
          </w:rPr>
          <w:fldChar w:fldCharType="separate"/>
        </w:r>
        <w:r w:rsidR="00F9570A">
          <w:rPr>
            <w:noProof/>
            <w:webHidden/>
          </w:rPr>
          <w:t>53</w:t>
        </w:r>
        <w:r w:rsidRPr="00063811">
          <w:rPr>
            <w:noProof/>
            <w:webHidden/>
          </w:rPr>
          <w:fldChar w:fldCharType="end"/>
        </w:r>
      </w:hyperlink>
    </w:p>
    <w:p w14:paraId="2463B60D" w14:textId="6FE9159C" w:rsidR="00063811" w:rsidRPr="00063811" w:rsidRDefault="0006381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3976799" w:history="1">
        <w:r w:rsidRPr="008612B7">
          <w:rPr>
            <w:rStyle w:val="Hyperlink"/>
            <w:noProof/>
          </w:rPr>
          <w:t>Interaction Results</w:t>
        </w:r>
        <w:r w:rsidRPr="00063811">
          <w:rPr>
            <w:noProof/>
            <w:webHidden/>
          </w:rPr>
          <w:tab/>
        </w:r>
        <w:r w:rsidRPr="00063811">
          <w:rPr>
            <w:noProof/>
            <w:webHidden/>
          </w:rPr>
          <w:fldChar w:fldCharType="begin"/>
        </w:r>
        <w:r w:rsidRPr="00063811">
          <w:rPr>
            <w:noProof/>
            <w:webHidden/>
          </w:rPr>
          <w:instrText xml:space="preserve"> PAGEREF _Toc193976799 \h </w:instrText>
        </w:r>
        <w:r w:rsidRPr="00063811">
          <w:rPr>
            <w:noProof/>
            <w:webHidden/>
          </w:rPr>
        </w:r>
        <w:r w:rsidRPr="00063811">
          <w:rPr>
            <w:noProof/>
            <w:webHidden/>
          </w:rPr>
          <w:fldChar w:fldCharType="separate"/>
        </w:r>
        <w:r w:rsidR="00F9570A">
          <w:rPr>
            <w:noProof/>
            <w:webHidden/>
          </w:rPr>
          <w:t>56</w:t>
        </w:r>
        <w:r w:rsidRPr="00063811">
          <w:rPr>
            <w:noProof/>
            <w:webHidden/>
          </w:rPr>
          <w:fldChar w:fldCharType="end"/>
        </w:r>
      </w:hyperlink>
    </w:p>
    <w:p w14:paraId="3FA006FD" w14:textId="030218DA" w:rsidR="00D02041" w:rsidRPr="008612B7" w:rsidRDefault="0083142A" w:rsidP="008D66AC">
      <w:pPr>
        <w:spacing w:after="160" w:line="480" w:lineRule="auto"/>
        <w:jc w:val="center"/>
      </w:pPr>
      <w:r w:rsidRPr="00063811">
        <w:rPr>
          <w:color w:val="000000" w:themeColor="text1"/>
        </w:rPr>
        <w:fldChar w:fldCharType="end"/>
      </w:r>
    </w:p>
    <w:p w14:paraId="3778DF68" w14:textId="77777777" w:rsidR="0083142A" w:rsidRPr="008612B7" w:rsidRDefault="0083142A">
      <w:pPr>
        <w:spacing w:after="160" w:line="278" w:lineRule="auto"/>
      </w:pPr>
      <w:r w:rsidRPr="008612B7">
        <w:br w:type="page"/>
      </w:r>
    </w:p>
    <w:p w14:paraId="73F79042" w14:textId="07FF3756" w:rsidR="008D66AC" w:rsidRPr="00063811" w:rsidRDefault="00833A39" w:rsidP="008612B7">
      <w:pPr>
        <w:jc w:val="center"/>
      </w:pPr>
      <w:r w:rsidRPr="00833A39">
        <w:lastRenderedPageBreak/>
        <w:t>LIST OF FIGURES</w:t>
      </w:r>
    </w:p>
    <w:p w14:paraId="74B808BF" w14:textId="4DE1758F" w:rsidR="008D66AC" w:rsidRPr="008612B7" w:rsidRDefault="008D66AC" w:rsidP="008612B7">
      <w:pPr>
        <w:tabs>
          <w:tab w:val="left" w:pos="8928"/>
        </w:tabs>
        <w:ind w:right="-540"/>
      </w:pPr>
      <w:r w:rsidRPr="00063811">
        <w:t>FIGURE</w:t>
      </w:r>
      <w:r w:rsidRPr="00063811">
        <w:tab/>
        <w:t>PAGE</w:t>
      </w:r>
    </w:p>
    <w:p w14:paraId="50117C65" w14:textId="1DA42CF3" w:rsidR="008D66AC" w:rsidRPr="008612B7" w:rsidRDefault="0083142A" w:rsidP="008612B7">
      <w:pPr>
        <w:pStyle w:val="TableofFigures"/>
        <w:numPr>
          <w:ilvl w:val="2"/>
          <w:numId w:val="23"/>
        </w:numPr>
        <w:tabs>
          <w:tab w:val="right" w:leader="dot" w:pos="9350"/>
        </w:tabs>
        <w:ind w:left="814"/>
        <w:rPr>
          <w:rFonts w:eastAsiaTheme="minorEastAsia"/>
          <w:noProof/>
          <w:kern w:val="2"/>
          <w:szCs w:val="24"/>
          <w14:ligatures w14:val="standardContextual"/>
        </w:rPr>
      </w:pPr>
      <w:r w:rsidRPr="00063811">
        <w:rPr>
          <w:b/>
          <w:bCs/>
        </w:rPr>
        <w:fldChar w:fldCharType="begin"/>
      </w:r>
      <w:r w:rsidRPr="00063811">
        <w:rPr>
          <w:b/>
          <w:bCs/>
        </w:rPr>
        <w:instrText xml:space="preserve"> TOC \h \z \a "Figure" </w:instrText>
      </w:r>
      <w:r w:rsidRPr="00063811">
        <w:rPr>
          <w:b/>
          <w:bCs/>
        </w:rPr>
        <w:fldChar w:fldCharType="separate"/>
      </w:r>
      <w:hyperlink w:anchor="_Toc193971613" w:history="1">
        <w:r w:rsidR="008D66AC" w:rsidRPr="008612B7">
          <w:rPr>
            <w:rStyle w:val="Hyperlink"/>
            <w:noProof/>
          </w:rPr>
          <w:t>State ESG Legislation Trends (2020-2024)</w:t>
        </w:r>
        <w:r w:rsidR="008D66AC" w:rsidRPr="00063811">
          <w:rPr>
            <w:noProof/>
            <w:webHidden/>
          </w:rPr>
          <w:tab/>
        </w:r>
        <w:r w:rsidR="008D66AC" w:rsidRPr="00063811">
          <w:rPr>
            <w:noProof/>
            <w:webHidden/>
          </w:rPr>
          <w:fldChar w:fldCharType="begin"/>
        </w:r>
        <w:r w:rsidR="008D66AC" w:rsidRPr="00063811">
          <w:rPr>
            <w:noProof/>
            <w:webHidden/>
          </w:rPr>
          <w:instrText xml:space="preserve"> PAGEREF _Toc193971613 \h </w:instrText>
        </w:r>
        <w:r w:rsidR="008D66AC" w:rsidRPr="00063811">
          <w:rPr>
            <w:noProof/>
            <w:webHidden/>
          </w:rPr>
        </w:r>
        <w:r w:rsidR="008D66AC" w:rsidRPr="00063811">
          <w:rPr>
            <w:noProof/>
            <w:webHidden/>
          </w:rPr>
          <w:fldChar w:fldCharType="separate"/>
        </w:r>
        <w:r w:rsidR="00F9570A">
          <w:rPr>
            <w:noProof/>
            <w:webHidden/>
          </w:rPr>
          <w:t>27</w:t>
        </w:r>
        <w:r w:rsidR="008D66AC" w:rsidRPr="00063811">
          <w:rPr>
            <w:noProof/>
            <w:webHidden/>
          </w:rPr>
          <w:fldChar w:fldCharType="end"/>
        </w:r>
      </w:hyperlink>
    </w:p>
    <w:p w14:paraId="49DE1A37" w14:textId="721A0B12" w:rsidR="008D66AC" w:rsidRPr="008612B7" w:rsidRDefault="008D66AC" w:rsidP="008612B7">
      <w:pPr>
        <w:pStyle w:val="TableofFigures"/>
        <w:numPr>
          <w:ilvl w:val="2"/>
          <w:numId w:val="23"/>
        </w:numPr>
        <w:tabs>
          <w:tab w:val="right" w:leader="dot" w:pos="9350"/>
        </w:tabs>
        <w:ind w:left="814"/>
        <w:rPr>
          <w:rFonts w:eastAsiaTheme="minorEastAsia"/>
          <w:noProof/>
          <w:kern w:val="2"/>
          <w:szCs w:val="24"/>
          <w14:ligatures w14:val="standardContextual"/>
        </w:rPr>
      </w:pPr>
      <w:hyperlink w:anchor="_Toc193971614" w:history="1">
        <w:r w:rsidRPr="008612B7">
          <w:rPr>
            <w:rStyle w:val="Hyperlink"/>
            <w:noProof/>
          </w:rPr>
          <w:t>State-Level ESG Regulatory Regimes (2020-2024)</w:t>
        </w:r>
        <w:r w:rsidRPr="00063811">
          <w:rPr>
            <w:noProof/>
            <w:webHidden/>
          </w:rPr>
          <w:tab/>
        </w:r>
        <w:r w:rsidRPr="00063811">
          <w:rPr>
            <w:noProof/>
            <w:webHidden/>
          </w:rPr>
          <w:fldChar w:fldCharType="begin"/>
        </w:r>
        <w:r w:rsidRPr="00063811">
          <w:rPr>
            <w:noProof/>
            <w:webHidden/>
          </w:rPr>
          <w:instrText xml:space="preserve"> PAGEREF _Toc193971614 \h </w:instrText>
        </w:r>
        <w:r w:rsidRPr="00063811">
          <w:rPr>
            <w:noProof/>
            <w:webHidden/>
          </w:rPr>
        </w:r>
        <w:r w:rsidRPr="00063811">
          <w:rPr>
            <w:noProof/>
            <w:webHidden/>
          </w:rPr>
          <w:fldChar w:fldCharType="separate"/>
        </w:r>
        <w:r w:rsidR="00F9570A">
          <w:rPr>
            <w:noProof/>
            <w:webHidden/>
          </w:rPr>
          <w:t>29</w:t>
        </w:r>
        <w:r w:rsidRPr="00063811">
          <w:rPr>
            <w:noProof/>
            <w:webHidden/>
          </w:rPr>
          <w:fldChar w:fldCharType="end"/>
        </w:r>
      </w:hyperlink>
    </w:p>
    <w:p w14:paraId="68A07C8E" w14:textId="4A16F4FB" w:rsidR="008D66AC" w:rsidRPr="008612B7" w:rsidRDefault="008D66AC" w:rsidP="008612B7">
      <w:pPr>
        <w:pStyle w:val="TableofFigures"/>
        <w:numPr>
          <w:ilvl w:val="2"/>
          <w:numId w:val="23"/>
        </w:numPr>
        <w:tabs>
          <w:tab w:val="right" w:leader="dot" w:pos="9350"/>
        </w:tabs>
        <w:ind w:left="814"/>
        <w:rPr>
          <w:rFonts w:eastAsiaTheme="minorEastAsia"/>
          <w:noProof/>
          <w:kern w:val="2"/>
          <w:szCs w:val="24"/>
          <w14:ligatures w14:val="standardContextual"/>
        </w:rPr>
      </w:pPr>
      <w:hyperlink w:anchor="_Toc193971615" w:history="1">
        <w:r w:rsidRPr="008612B7">
          <w:rPr>
            <w:rStyle w:val="Hyperlink"/>
            <w:noProof/>
          </w:rPr>
          <w:t>ESG Legislation Data Pipeline</w:t>
        </w:r>
        <w:r w:rsidRPr="00063811">
          <w:rPr>
            <w:noProof/>
            <w:webHidden/>
          </w:rPr>
          <w:tab/>
        </w:r>
        <w:r w:rsidRPr="00063811">
          <w:rPr>
            <w:noProof/>
            <w:webHidden/>
          </w:rPr>
          <w:fldChar w:fldCharType="begin"/>
        </w:r>
        <w:r w:rsidRPr="00063811">
          <w:rPr>
            <w:noProof/>
            <w:webHidden/>
          </w:rPr>
          <w:instrText xml:space="preserve"> PAGEREF _Toc193971615 \h </w:instrText>
        </w:r>
        <w:r w:rsidRPr="00063811">
          <w:rPr>
            <w:noProof/>
            <w:webHidden/>
          </w:rPr>
        </w:r>
        <w:r w:rsidRPr="00063811">
          <w:rPr>
            <w:noProof/>
            <w:webHidden/>
          </w:rPr>
          <w:fldChar w:fldCharType="separate"/>
        </w:r>
        <w:r w:rsidR="00F9570A">
          <w:rPr>
            <w:noProof/>
            <w:webHidden/>
          </w:rPr>
          <w:t>46</w:t>
        </w:r>
        <w:r w:rsidRPr="00063811">
          <w:rPr>
            <w:noProof/>
            <w:webHidden/>
          </w:rPr>
          <w:fldChar w:fldCharType="end"/>
        </w:r>
      </w:hyperlink>
    </w:p>
    <w:p w14:paraId="42373EEE" w14:textId="157DE99B" w:rsidR="0091552F" w:rsidRPr="00063811" w:rsidRDefault="0083142A" w:rsidP="008612B7">
      <w:pPr>
        <w:spacing w:after="160"/>
        <w:ind w:left="454"/>
        <w:jc w:val="center"/>
        <w:sectPr w:rsidR="0091552F" w:rsidRPr="00063811" w:rsidSect="008612B7">
          <w:footerReference w:type="default" r:id="rId10"/>
          <w:footerReference w:type="first" r:id="rId11"/>
          <w:pgSz w:w="12240" w:h="15840"/>
          <w:pgMar w:top="1440" w:right="1440" w:bottom="1440" w:left="1440" w:header="720" w:footer="720" w:gutter="0"/>
          <w:pgNumType w:fmt="lowerRoman" w:start="1"/>
          <w:cols w:space="720"/>
          <w:docGrid w:linePitch="360"/>
        </w:sectPr>
      </w:pPr>
      <w:r w:rsidRPr="00063811">
        <w:rPr>
          <w:b/>
          <w:bCs/>
        </w:rPr>
        <w:fldChar w:fldCharType="end"/>
      </w:r>
      <w:r w:rsidR="00115C88" w:rsidRPr="00063811">
        <w:t xml:space="preserve"> </w:t>
      </w:r>
    </w:p>
    <w:p w14:paraId="707A41FB" w14:textId="508120B7" w:rsidR="006760A7" w:rsidRPr="00063811" w:rsidRDefault="006760A7" w:rsidP="008612B7">
      <w:pPr>
        <w:spacing w:after="160" w:line="480" w:lineRule="auto"/>
        <w:jc w:val="center"/>
      </w:pPr>
      <w:r w:rsidRPr="00063811">
        <w:lastRenderedPageBreak/>
        <w:t>CHAPTER I</w:t>
      </w:r>
    </w:p>
    <w:p w14:paraId="4E4B97D0" w14:textId="02757E48" w:rsidR="00C535AD" w:rsidRPr="00063811" w:rsidRDefault="00C605CF" w:rsidP="006760A7">
      <w:pPr>
        <w:pStyle w:val="Heading1"/>
      </w:pPr>
      <w:bookmarkStart w:id="3" w:name="_Toc193977928"/>
      <w:r w:rsidRPr="00063811">
        <w:t>INTRODUCTION</w:t>
      </w:r>
      <w:bookmarkEnd w:id="3"/>
    </w:p>
    <w:p w14:paraId="3B12DBF3" w14:textId="769A1320" w:rsidR="009544E6" w:rsidRPr="00063811" w:rsidRDefault="009544E6" w:rsidP="00F256FD">
      <w:pPr>
        <w:spacing w:line="480" w:lineRule="auto"/>
        <w:ind w:firstLine="720"/>
      </w:pPr>
      <w:r w:rsidRPr="00063811">
        <w:t xml:space="preserve">The foundations of modern corporate philosophy trace back to Adam Smith's landmark work </w:t>
      </w:r>
      <w:r w:rsidRPr="00063811">
        <w:rPr>
          <w:i/>
          <w:iCs/>
        </w:rPr>
        <w:t>The Wealth of Nations</w:t>
      </w:r>
      <w:r w:rsidRPr="00063811">
        <w:t xml:space="preserve"> </w:t>
      </w:r>
      <w:r w:rsidR="002B3FA0" w:rsidRPr="00063811">
        <w:fldChar w:fldCharType="begin"/>
      </w:r>
      <w:r w:rsidR="002B3FA0" w:rsidRPr="00063811">
        <w:instrText xml:space="preserve"> ADDIN ZOTERO_ITEM CSL_CITATION {"citationID":"7bFpR9a7","properties":{"formattedCitation":"(1776)","plainCitation":"(1776)","noteIndex":0},"citationItems":[{"id":137,"uris":["http://zotero.org/users/13148740/items/ND8C88WD"],"itemData":{"id":137,"type":"book","language":"eng","note":"OCLC: 920454681","title":"The Wealth of Nations","author":[{"family":"Smith","given":"Adam"}],"issued":{"date-parts":[["1776"]]}},"suppress-author":true}],"schema":"https://github.com/citation-style-language/schema/raw/master/csl-citation.json"} </w:instrText>
      </w:r>
      <w:r w:rsidR="002B3FA0" w:rsidRPr="00063811">
        <w:fldChar w:fldCharType="separate"/>
      </w:r>
      <w:r w:rsidR="002B3FA0" w:rsidRPr="00063811">
        <w:t>(1776)</w:t>
      </w:r>
      <w:r w:rsidR="002B3FA0" w:rsidRPr="00063811">
        <w:fldChar w:fldCharType="end"/>
      </w:r>
      <w:r w:rsidRPr="00063811">
        <w:t>, which established that open and free competition drives economic prosperity. Smith argued that global trade, enhanced labor productivity, and efficient resource allocation collectively function to lower costs and benefit society. This classical view positioned the pursuit of profit within a framework of natural market dynamics that would theoretically benefit all participants through the "invisible hand" of the market.</w:t>
      </w:r>
    </w:p>
    <w:p w14:paraId="5D8CCADF" w14:textId="3ECE6DAB" w:rsidR="009544E6" w:rsidRPr="00063811" w:rsidRDefault="009544E6" w:rsidP="00F256FD">
      <w:pPr>
        <w:spacing w:line="480" w:lineRule="auto"/>
        <w:ind w:firstLine="720"/>
      </w:pPr>
      <w:r w:rsidRPr="00063811">
        <w:t xml:space="preserve">Nearly two centuries later, Milton Friedman further crystallized this approach in his influential 1970 </w:t>
      </w:r>
      <w:r w:rsidRPr="00063811">
        <w:rPr>
          <w:i/>
          <w:iCs/>
        </w:rPr>
        <w:t>New York Times</w:t>
      </w:r>
      <w:r w:rsidRPr="00063811">
        <w:t xml:space="preserve"> article, where he declared that "there is one and only one social responsibility of business—to use its resources and engage in activities designed to increase its profits so long as it stays within the rules of the game, which is to say, engages in open and free competition without deception or fraud</w:t>
      </w:r>
      <w:r w:rsidR="002B3FA0" w:rsidRPr="00063811">
        <w:t>.</w:t>
      </w:r>
      <w:r w:rsidRPr="00063811">
        <w:t>"</w:t>
      </w:r>
      <w:r w:rsidR="002B3FA0" w:rsidRPr="00063811">
        <w:t xml:space="preserve"> </w:t>
      </w:r>
      <w:r w:rsidR="002B3FA0" w:rsidRPr="00063811">
        <w:fldChar w:fldCharType="begin"/>
      </w:r>
      <w:r w:rsidR="002B3FA0" w:rsidRPr="00063811">
        <w:instrText xml:space="preserve"> ADDIN ZOTERO_ITEM CSL_CITATION {"citationID":"8g3iunz2","properties":{"formattedCitation":"(Friedman, 1957)","plainCitation":"(Friedman, 1957)","noteIndex":0},"citationItems":[{"id":770,"uris":["http://zotero.org/users/13148740/items/UDD65QRG"],"itemData":{"id":770,"type":"chapter","container-title":"Corporate Ethics and Corporate Governance","event-place":"Berlin, Heidelberg","ISBN":"978-3-540-70817-9","language":"en","note":"DOI: 10.1007/978-3-540-70818-6_14","page":"173-178","publisher":"Springer Berlin Heidelberg","publisher-place":"Berlin, Heidelberg","source":"DOI.org (Crossref)","title":"The Social Responsibility of Business Is to Increase Its Profits","URL":"http://link.springer.com/10.1007/978-3-540-70818-6_14","editor":[{"family":"Zimmerli","given":"Walther Ch"},{"family":"Holzinger","given":"Markus"},{"family":"Richter","given":"Klaus"}],"author":[{"family":"Friedman","given":"Milton"}],"accessed":{"date-parts":[["2025",2,25]]},"issued":{"date-parts":[["1957"]]}}}],"schema":"https://github.com/citation-style-language/schema/raw/master/csl-citation.json"} </w:instrText>
      </w:r>
      <w:r w:rsidR="002B3FA0" w:rsidRPr="00063811">
        <w:fldChar w:fldCharType="separate"/>
      </w:r>
      <w:r w:rsidR="002B3FA0" w:rsidRPr="00063811">
        <w:t>(Friedman, 1957)</w:t>
      </w:r>
      <w:r w:rsidR="002B3FA0" w:rsidRPr="00063811">
        <w:fldChar w:fldCharType="end"/>
      </w:r>
      <w:r w:rsidR="002B3FA0" w:rsidRPr="00063811">
        <w:t>.</w:t>
      </w:r>
      <w:r w:rsidRPr="00063811">
        <w:t xml:space="preserve"> This profit maximization doctrine became the dominant paradigm for corporate behavior throughout much of the late 20th century, providing clear guidance for executives and shareholders alike.</w:t>
      </w:r>
    </w:p>
    <w:p w14:paraId="7D4FC5CB" w14:textId="77777777" w:rsidR="009544E6" w:rsidRPr="005D7324" w:rsidRDefault="009544E6" w:rsidP="005D7324">
      <w:pPr>
        <w:pStyle w:val="Heading2"/>
      </w:pPr>
      <w:bookmarkStart w:id="4" w:name="_Toc193977929"/>
      <w:r w:rsidRPr="005D7324">
        <w:t>The Rise of Corporate Social Responsibility and ESG</w:t>
      </w:r>
      <w:bookmarkEnd w:id="4"/>
    </w:p>
    <w:p w14:paraId="338E9F69" w14:textId="1171AC7C" w:rsidR="00E6266B" w:rsidRPr="00063811" w:rsidRDefault="009544E6" w:rsidP="00F256FD">
      <w:pPr>
        <w:spacing w:line="480" w:lineRule="auto"/>
        <w:ind w:firstLine="720"/>
      </w:pPr>
      <w:r w:rsidRPr="00063811">
        <w:t xml:space="preserve">The 1987 Brundtland Report introduced the concept of sustainability as "meeting the needs of the present without compromising the ability of future generations to meet their own needs" </w:t>
      </w:r>
      <w:r w:rsidR="002B3FA0" w:rsidRPr="00063811">
        <w:fldChar w:fldCharType="begin"/>
      </w:r>
      <w:r w:rsidR="002B3FA0" w:rsidRPr="00063811">
        <w:instrText xml:space="preserve"> ADDIN ZOTERO_ITEM CSL_CITATION {"citationID":"b0e0f8XR","properties":{"formattedCitation":"(World Commission on Environment and Development, 1987)","plainCitation":"(World Commission on Environment and Development, 1987)","noteIndex":0},"citationItems":[{"id":69,"uris":["http://zotero.org/users/13148740/items/7DTDBC53"],"itemData":{"id":69,"type":"report","title":"Our Common Future: Report of the World Commission on Environment and Development","author":[{"family":"World Commission on Environment and Development","given":""}],"issued":{"date-parts":[["1987"]]}}}],"schema":"https://github.com/citation-style-language/schema/raw/master/csl-citation.json"} </w:instrText>
      </w:r>
      <w:r w:rsidR="002B3FA0" w:rsidRPr="00063811">
        <w:fldChar w:fldCharType="separate"/>
      </w:r>
      <w:r w:rsidR="002B3FA0" w:rsidRPr="00063811">
        <w:t>(World Commission on Environment and Development, 1987)</w:t>
      </w:r>
      <w:r w:rsidR="002B3FA0" w:rsidRPr="00063811">
        <w:fldChar w:fldCharType="end"/>
      </w:r>
      <w:r w:rsidR="002B3FA0" w:rsidRPr="00063811">
        <w:t>.</w:t>
      </w:r>
      <w:r w:rsidR="0087303B" w:rsidRPr="00063811">
        <w:t xml:space="preserve"> </w:t>
      </w:r>
      <w:r w:rsidRPr="00063811">
        <w:t xml:space="preserve">Sustainability is an economic development theory that directly conflicts with maximization theory. </w:t>
      </w:r>
      <w:r w:rsidR="00D75804" w:rsidRPr="00063811">
        <w:t xml:space="preserve">This is exemplified by the 1990's Nike Sweatshop Scandal, where Pakistani children earned just 6 cents an hour sewing soccer balls, and malnourished women worked 65-hour weeks for only $1 an hour </w:t>
      </w:r>
      <w:r w:rsidR="00D75804" w:rsidRPr="00063811">
        <w:fldChar w:fldCharType="begin"/>
      </w:r>
      <w:r w:rsidR="00D75804" w:rsidRPr="00063811">
        <w:instrText xml:space="preserve"> ADDIN ZOTERO_ITEM CSL_CITATION {"citationID":"V9mkCjS4","properties":{"formattedCitation":"(Ballinger, 1992; Schanberg, 1996)","plainCitation":"(Ballinger, 1992; Schanberg, 1996)","noteIndex":0},"citationItems":[{"id":761,"uris":["http://zotero.org/users/13148740/items/UUZQ56GN"],"itemData":{"id":761,"type":"article-magazine","archive":"Periodicals Archive Online","archive_location":"1301544778","container-title":"Harper's","issue":"1707","note":"publisher-place: New York, N.Y.\npublisher: Harper","page":"46","title":"THE NEW FREE-TRADE HEEL: Nike's profits jump on the backs of Asian workers","volume":"285","author":[{"family":"Ballinger","given":"Jeffrey"}],"issued":{"date-parts":[["1992"]]}}},{"id":772,"uris":["http://zotero.org/users/13148740/items/KLKYAPQJ"],"itemData":{"id":772,"type":"article-magazine","container-title":"Life Magazine","issue":"Volcano – It could happen sooner than you think","title":"Six cents an hour","author":[{"family":"Schanberg","given":"S. H."}],"issued":{"date-parts":[["1996",6]]}}}],"schema":"https://github.com/citation-style-language/schema/raw/master/csl-citation.json"} </w:instrText>
      </w:r>
      <w:r w:rsidR="00D75804" w:rsidRPr="00063811">
        <w:fldChar w:fldCharType="separate"/>
      </w:r>
      <w:r w:rsidR="00D75804" w:rsidRPr="00063811">
        <w:t>(Ballinger, 1992; Schanberg, 1996)</w:t>
      </w:r>
      <w:r w:rsidR="00D75804" w:rsidRPr="00063811">
        <w:fldChar w:fldCharType="end"/>
      </w:r>
      <w:r w:rsidR="00D75804" w:rsidRPr="00063811">
        <w:t>.</w:t>
      </w:r>
    </w:p>
    <w:p w14:paraId="0DF2F44B" w14:textId="5B297AE0" w:rsidR="00D75804" w:rsidRPr="00063811" w:rsidRDefault="00D75804" w:rsidP="00F256FD">
      <w:pPr>
        <w:spacing w:line="480" w:lineRule="auto"/>
        <w:ind w:firstLine="720"/>
      </w:pPr>
      <w:r w:rsidRPr="00063811">
        <w:lastRenderedPageBreak/>
        <w:t xml:space="preserve"> These practices directly conflict with consumer and investor ethical standards</w:t>
      </w:r>
      <w:r w:rsidR="0087303B" w:rsidRPr="00063811">
        <w:t>,</w:t>
      </w:r>
      <w:r w:rsidRPr="00063811">
        <w:t xml:space="preserve"> and Nike's bottom line</w:t>
      </w:r>
      <w:r w:rsidR="0087303B" w:rsidRPr="00063811">
        <w:t xml:space="preserve"> </w:t>
      </w:r>
      <w:r w:rsidR="0087303B" w:rsidRPr="00063811">
        <w:fldChar w:fldCharType="begin"/>
      </w:r>
      <w:r w:rsidR="0087303B" w:rsidRPr="00063811">
        <w:instrText xml:space="preserve"> ADDIN ZOTERO_ITEM CSL_CITATION {"citationID":"abhKNTcI","properties":{"formattedCitation":"(Bartley &amp; Child, 2011)","plainCitation":"(Bartley &amp; Child, 2011)","noteIndex":0},"citationItems":[{"id":771,"uris":["http://zotero.org/users/13148740/items/7FU6SBRC"],"itemData":{"id":771,"type":"article-journal","container-title":"Social Forces","DOI":"10.1093/sf/sor010","ISSN":"0037-7732, 1534-7605","issue":"2","journalAbbreviation":"Social Forces","language":"en","page":"425-451","source":"DOI.org (Crossref)","title":"Movements, Markets and Fields: The Effects of Anti-Sweatshop Campaigns on U.S. Firms, 1993-2000","title-short":"Movements, Markets and Fields","volume":"90","author":[{"family":"Bartley","given":"T."},{"family":"Child","given":"C."}],"issued":{"date-parts":[["2011",12,1]]}}}],"schema":"https://github.com/citation-style-language/schema/raw/master/csl-citation.json"} </w:instrText>
      </w:r>
      <w:r w:rsidR="0087303B" w:rsidRPr="00063811">
        <w:fldChar w:fldCharType="separate"/>
      </w:r>
      <w:r w:rsidR="0087303B" w:rsidRPr="00063811">
        <w:t>(Bartley &amp; Child, 2011)</w:t>
      </w:r>
      <w:r w:rsidR="0087303B" w:rsidRPr="00063811">
        <w:fldChar w:fldCharType="end"/>
      </w:r>
      <w:r w:rsidR="0087303B" w:rsidRPr="00063811">
        <w:t>.</w:t>
      </w:r>
      <w:r w:rsidRPr="00063811">
        <w:t xml:space="preserve"> </w:t>
      </w:r>
      <w:r w:rsidR="00521D6D" w:rsidRPr="00063811">
        <w:t xml:space="preserve">To rebuild its reputation, Nike established a corporate social responsibility department and initiated workplace and health audits at its factories, enlisting the Fair Labor Association to conduct random facility inspections </w:t>
      </w:r>
      <w:r w:rsidR="00521D6D" w:rsidRPr="00063811">
        <w:fldChar w:fldCharType="begin"/>
      </w:r>
      <w:r w:rsidR="00F256FD" w:rsidRPr="00063811">
        <w:instrText xml:space="preserve"> ADDIN ZOTERO_ITEM CSL_CITATION {"citationID":"Cu6krnlw","properties":{"formattedCitation":"(Fair Labor Association, 2003; Zadek, 2007)","plainCitation":"(Fair Labor Association, 2003; Zadek, 2007)","noteIndex":0},"citationItems":[{"id":"kykW3eka/F9Ne4sOK","uris":["http://zotero.org/users/13148740/items/MJLZ276J"],"itemData":{"id":790,"type":"article-journal","note":"publisher: Fair Labor Association","title":"First Public Report: Towards Improving Workers’ Lives","URL":"https://www.fairlabor.org/wp-content/uploads/2022/01/2003_annual_public_report.pdf","author":[{"literal":"Fair Labor Association"}],"issued":{"date-parts":[["2003"]]}}},{"id":157,"uris":["http://zotero.org/users/13148740/items/JB92KIJE"],"itemData":{"id":157,"type":"chapter","container-title":"Corporate Ethics and Corporate Governance","event-place":"Berlin, Heidelberg","ISBN":"978-3-540-70817-9","language":"en","note":"DOI: 10.1007/978-3-540-70818-6_13","page":"159-172","publisher":"Springer Berlin Heidelberg","publisher-place":"Berlin, Heidelberg","source":"DOI.org (Crossref)","title":"The Path to Corporate Responsibility","URL":"http://link.springer.com/10.1007/978-3-540-70818-6_13","editor":[{"family":"Zimmerli","given":"Walther Ch"},{"family":"Holzinger","given":"Markus"},{"family":"Richter","given":"Klaus"}],"author":[{"family":"Zadek","given":"Simon"}],"accessed":{"date-parts":[["2024",2,7]]},"issued":{"date-parts":[["2007"]]}}}],"schema":"https://github.com/citation-style-language/schema/raw/master/csl-citation.json"} </w:instrText>
      </w:r>
      <w:r w:rsidR="00521D6D" w:rsidRPr="00063811">
        <w:fldChar w:fldCharType="separate"/>
      </w:r>
      <w:r w:rsidR="00060972" w:rsidRPr="00063811">
        <w:t>(Fair Labor Association, 2003; Zadek, 2007)</w:t>
      </w:r>
      <w:r w:rsidR="00521D6D" w:rsidRPr="00063811">
        <w:fldChar w:fldCharType="end"/>
      </w:r>
      <w:r w:rsidR="00521D6D" w:rsidRPr="00063811">
        <w:t xml:space="preserve">. </w:t>
      </w:r>
      <w:r w:rsidRPr="00063811">
        <w:t>The essence of Nike's behavior is explained by signaling theory, whereby firms publish information to gain affinity from stakeholders</w:t>
      </w:r>
      <w:r w:rsidR="00D47B25" w:rsidRPr="00063811">
        <w:t xml:space="preserve"> </w:t>
      </w:r>
      <w:r w:rsidR="00D47B25" w:rsidRPr="00063811">
        <w:fldChar w:fldCharType="begin"/>
      </w:r>
      <w:r w:rsidR="00D47B25" w:rsidRPr="00063811">
        <w:instrText xml:space="preserve"> ADDIN ZOTERO_ITEM CSL_CITATION {"citationID":"dv9oIeLu","properties":{"formattedCitation":"(Friske et al., 2023)","plainCitation":"(Friske et al., 2023)","noteIndex":0},"citationItems":[{"id":791,"uris":["http://zotero.org/users/13148740/items/IN2SJL7J"],"itemData":{"id":791,"type":"article-journal","container-title":"Journal of the Academy of Marketing Science","DOI":"10.1007/s11747-022-00879-2","ISSN":"0092-0703, 1552-7824","issue":"2","journalAbbreviation":"J. of the Acad. Mark. Sci.","language":"en","page":"372-392","source":"DOI.org (Crossref)","title":"The impact of voluntary sustainability reporting on firm value: Insights from signaling theory","title-short":"The impact of voluntary sustainability reporting on firm value","volume":"51","author":[{"family":"Friske","given":"Wesley"},{"family":"Hoelscher","given":"Seth A."},{"family":"Nikolov","given":"Atanas Nik"}],"issued":{"date-parts":[["2023",3]]}}}],"schema":"https://github.com/citation-style-language/schema/raw/master/csl-citation.json"} </w:instrText>
      </w:r>
      <w:r w:rsidR="00D47B25" w:rsidRPr="00063811">
        <w:fldChar w:fldCharType="separate"/>
      </w:r>
      <w:r w:rsidR="00D47B25" w:rsidRPr="00063811">
        <w:t>(Friske et al., 2023)</w:t>
      </w:r>
      <w:r w:rsidR="00D47B25" w:rsidRPr="00063811">
        <w:fldChar w:fldCharType="end"/>
      </w:r>
      <w:r w:rsidRPr="00063811">
        <w:t>. By disclosing information about its environmental and social misconduct, establishing accountability measures, and creating avenues for change and employee reparations, Nike was able to rebuild much of its lost customer and investor confidence</w:t>
      </w:r>
      <w:r w:rsidR="00D47B25" w:rsidRPr="00063811">
        <w:t xml:space="preserve"> </w:t>
      </w:r>
      <w:r w:rsidR="00D47B25" w:rsidRPr="00063811">
        <w:fldChar w:fldCharType="begin"/>
      </w:r>
      <w:r w:rsidR="00D92343" w:rsidRPr="00063811">
        <w:instrText xml:space="preserve"> ADDIN ZOTERO_ITEM CSL_CITATION {"citationID":"8R5uZnAf","properties":{"unsorted":true,"formattedCitation":"(Murphy &amp; Mathew, 2001; Achabou, 2020)","plainCitation":"(Murphy &amp; Mathew, 2001; Achabou, 2020)","noteIndex":0},"citationItems":[{"id":765,"uris":["http://zotero.org/users/13148740/items/BVREMI4Z"],"itemData":{"id":765,"type":"article-journal","container-title":"New Academy of Business","title":"Nike and global labour practices","URL":"http://insight.cumbria.ac.uk/id/eprint/5584/","author":[{"family":"Murphy","given":"David"},{"family":"Mathew","given":"David"}],"issued":{"date-parts":[["2001"]]}}},{"id":811,"uris":["http://zotero.org/users/13148740/items/98H3WSV9"],"itemData":{"id":811,"type":"article-journal","abstract":"Purpose\n              The purpose of this study is to explore the influence of perceived corporate social responsibility (CSR) effort on consumer preference in the case of brands with different CSR histories in the clothing and footwear sector.\n            \n            \n              Design/methodology/approach\n              This study uses the conjoint analysis method and analyzes a sample of 381 French consumers. Two sports brands were tested in this experiment: Nike and Patagonia.\n            \n            \n              Findings\n              The results show that despite the sensitivity of the respondents to the social and environmental conditions involved in the manufacture of the shoes they purchase, they mainly preferred Nike – regardless of its shorter CSR history and significant criticism for social issues in its value chain. Customer recognition of a greater CSR effort by Patagonia does not seem to change this preference.\n            \n            \n              Research limitations/implications\n              One fictional product was tested, and the two selected brands have different levels of recognition by French consumers. To strengthen the external validity of the results, it would be interesting to repeat the study using other, real products and other brands with a similar offer on the market and level of consumer awareness.\n            \n            \n              Practical implications\n              The findings suggest that the ethical dimension of the product should not be put forward as the main selling point, but rather as an added value for the product.\n            \n            \n              Originality/value\n              Although there has been an increasing number of studies of consumer behavior toward ethical attributes in recent years, none to date have compared this behavior for products of ethical brands with different CSR histories.","container-title":"European Business Review","DOI":"10.1108/EBR-11-2018-0198","ISSN":"0955-534X, 0955-534X","issue":"2","journalAbbreviation":"EBR","language":"en","license":"https://www.emerald.com/insight/site-policies","page":"317-347","source":"DOI.org (Crossref)","title":"The effect of perceived CSR effort on consumer brand preference in the clothing and footwear sector","volume":"32","author":[{"family":"Achabou","given":"Mohamed Akli"}],"issued":{"date-parts":[["2020",1,2]]}}}],"schema":"https://github.com/citation-style-language/schema/raw/master/csl-citation.json"} </w:instrText>
      </w:r>
      <w:r w:rsidR="00D47B25" w:rsidRPr="00063811">
        <w:fldChar w:fldCharType="separate"/>
      </w:r>
      <w:r w:rsidR="00D92343" w:rsidRPr="00063811">
        <w:t>(Murphy &amp; Mathew, 2001; Achabou, 2020)</w:t>
      </w:r>
      <w:r w:rsidR="00D47B25" w:rsidRPr="00063811">
        <w:fldChar w:fldCharType="end"/>
      </w:r>
      <w:r w:rsidRPr="00063811">
        <w:t>.</w:t>
      </w:r>
    </w:p>
    <w:p w14:paraId="0E2ED2EC" w14:textId="77777777" w:rsidR="0003797E" w:rsidRPr="00063811" w:rsidRDefault="0003797E" w:rsidP="006760A7">
      <w:pPr>
        <w:pStyle w:val="Heading2"/>
      </w:pPr>
      <w:bookmarkStart w:id="5" w:name="_Toc193977930"/>
      <w:r w:rsidRPr="00063811">
        <w:t>The Institutionalization of ESG</w:t>
      </w:r>
      <w:bookmarkEnd w:id="5"/>
    </w:p>
    <w:p w14:paraId="587EB328" w14:textId="77777777" w:rsidR="0003797E" w:rsidRPr="00063811" w:rsidRDefault="00D47B25" w:rsidP="00F256FD">
      <w:pPr>
        <w:spacing w:line="480" w:lineRule="auto"/>
        <w:ind w:firstLine="720"/>
      </w:pPr>
      <w:r w:rsidRPr="00063811">
        <w:t>The Nike scandal put the international</w:t>
      </w:r>
      <w:r w:rsidR="00D75804" w:rsidRPr="00063811">
        <w:t xml:space="preserve"> business community on notice</w:t>
      </w:r>
      <w:r w:rsidRPr="00063811">
        <w:t xml:space="preserve">. </w:t>
      </w:r>
      <w:r w:rsidR="00D75804" w:rsidRPr="00063811">
        <w:t xml:space="preserve">Recognizing the </w:t>
      </w:r>
      <w:r w:rsidR="00281C7B" w:rsidRPr="00063811">
        <w:t>opportunity</w:t>
      </w:r>
      <w:r w:rsidR="00D75804" w:rsidRPr="00063811">
        <w:t>, the United Nations leader Kofi Annan called upon the global finance community to join the United Nations, whereby ethical values would be injected into the faceless, cold, calculated global economy</w:t>
      </w:r>
      <w:r w:rsidR="00281C7B" w:rsidRPr="00063811">
        <w:t xml:space="preserve"> </w:t>
      </w:r>
      <w:r w:rsidR="00281C7B" w:rsidRPr="00063811">
        <w:fldChar w:fldCharType="begin"/>
      </w:r>
      <w:r w:rsidR="00281C7B" w:rsidRPr="00063811">
        <w:instrText xml:space="preserve"> ADDIN ZOTERO_ITEM CSL_CITATION {"citationID":"YO5lFSgM","properties":{"formattedCitation":"(Williams, 2007)","plainCitation":"(Williams, 2007)","noteIndex":0},"citationItems":[{"id":800,"uris":["http://zotero.org/users/13148740/items/NMTF4A6F"],"itemData":{"id":800,"type":"chapter","container-title":"Corporate Ethics and Corporate Governance","event-place":"Berlin, Heidelberg","ISBN":"978-3-540-70817-9","language":"en","note":"DOI: 10.1007/978-3-540-70818-6_20","page":"287-308","publisher":"Springer Berlin Heidelberg","publisher-place":"Berlin, Heidelberg","source":"DOI.org (Crossref)","title":"The UN Global Compact: The Challenge and the Promise","title-short":"The UN Global Compact","URL":"http://link.springer.com/10.1007/978-3-540-70818-6_20","editor":[{"family":"Zimmerli","given":"Walther Ch"},{"family":"Holzinger","given":"Markus"},{"family":"Richter","given":"Klaus"}],"author":[{"family":"Williams","given":"Oliver F."}],"accessed":{"date-parts":[["2025",3,1]]},"issued":{"date-parts":[["2007"]]}}}],"schema":"https://github.com/citation-style-language/schema/raw/master/csl-citation.json"} </w:instrText>
      </w:r>
      <w:r w:rsidR="00281C7B" w:rsidRPr="00063811">
        <w:fldChar w:fldCharType="separate"/>
      </w:r>
      <w:r w:rsidR="00281C7B" w:rsidRPr="00063811">
        <w:t>(Williams, 2007)</w:t>
      </w:r>
      <w:r w:rsidR="00281C7B" w:rsidRPr="00063811">
        <w:fldChar w:fldCharType="end"/>
      </w:r>
      <w:r w:rsidR="00D75804" w:rsidRPr="00063811">
        <w:t xml:space="preserve">. In 2004, a </w:t>
      </w:r>
      <w:r w:rsidR="001F26C1" w:rsidRPr="00063811">
        <w:t>UN titled</w:t>
      </w:r>
      <w:r w:rsidR="00D75804" w:rsidRPr="00063811">
        <w:t xml:space="preserve"> </w:t>
      </w:r>
      <w:r w:rsidR="001F26C1" w:rsidRPr="00063811">
        <w:t>report</w:t>
      </w:r>
      <w:r w:rsidR="00D75804" w:rsidRPr="00063811">
        <w:t xml:space="preserve"> "Who Cares Wins" released recommendations</w:t>
      </w:r>
      <w:r w:rsidR="001F26C1" w:rsidRPr="00063811">
        <w:t xml:space="preserve"> to implement</w:t>
      </w:r>
      <w:r w:rsidR="00D75804" w:rsidRPr="00063811">
        <w:t xml:space="preserve"> integrate environmental, social and governance (ESG) </w:t>
      </w:r>
      <w:r w:rsidR="001F26C1" w:rsidRPr="00063811">
        <w:t>factors</w:t>
      </w:r>
      <w:r w:rsidR="00D75804" w:rsidRPr="00063811">
        <w:t xml:space="preserve"> </w:t>
      </w:r>
      <w:r w:rsidR="001F26C1" w:rsidRPr="00063811">
        <w:t>into</w:t>
      </w:r>
      <w:r w:rsidR="00D75804" w:rsidRPr="00063811">
        <w:t xml:space="preserve"> analysis, asset management and securities brokerage</w:t>
      </w:r>
      <w:r w:rsidR="0003797E" w:rsidRPr="00063811">
        <w:t xml:space="preserve"> </w:t>
      </w:r>
      <w:r w:rsidR="0003797E" w:rsidRPr="00063811">
        <w:fldChar w:fldCharType="begin"/>
      </w:r>
      <w:r w:rsidR="0003797E" w:rsidRPr="00063811">
        <w:instrText xml:space="preserve"> ADDIN ZOTERO_ITEM CSL_CITATION {"citationID":"UQOqyh1n","properties":{"formattedCitation":"(UN Environment Programme \\uc0\\u8211{} Finance Initiative, 2004)","plainCitation":"(UN Environment Programme – Finance Initiative, 2004)","noteIndex":0},"citationItems":[{"id":107,"uris":["http://zotero.org/users/13148740/items/V23JTBIQ"],"itemData":{"id":107,"type":"report","title":"Who Cares Wins – The Global Compact Connecting Financial Markets to a Changing World","URL":"https://www.unepfi.org/fileadmin/events/2004/stocks/who_cares_wins_global_compact_2004.pdf","author":[{"family":"UN Environment Programme – Finance Initiative","given":""}],"issued":{"date-parts":[["2004"]]}}}],"schema":"https://github.com/citation-style-language/schema/raw/master/csl-citation.json"} </w:instrText>
      </w:r>
      <w:r w:rsidR="0003797E" w:rsidRPr="00063811">
        <w:fldChar w:fldCharType="separate"/>
      </w:r>
      <w:r w:rsidR="0003797E" w:rsidRPr="00063811">
        <w:t>(UN Environment Programme – Finance Initiative, 2004)</w:t>
      </w:r>
      <w:r w:rsidR="0003797E" w:rsidRPr="00063811">
        <w:fldChar w:fldCharType="end"/>
      </w:r>
      <w:r w:rsidR="00D75804" w:rsidRPr="00063811">
        <w:t>.</w:t>
      </w:r>
      <w:r w:rsidR="00281C7B" w:rsidRPr="00063811">
        <w:t xml:space="preserve"> </w:t>
      </w:r>
    </w:p>
    <w:p w14:paraId="6349F99A" w14:textId="4E286D4A" w:rsidR="005E49F0" w:rsidRPr="00063811" w:rsidRDefault="00D75804" w:rsidP="00F256FD">
      <w:pPr>
        <w:spacing w:line="480" w:lineRule="auto"/>
        <w:ind w:firstLine="720"/>
      </w:pPr>
      <w:r w:rsidRPr="00063811">
        <w:t>The 2004 ESG framework blossomed into a multi-continental endeavor whereby private firms known as data providers actively observe and compile the ESG footprints of corporations. In turn, these data providers sell their data to buyers</w:t>
      </w:r>
      <w:r w:rsidR="00992F14" w:rsidRPr="00063811">
        <w:t>.</w:t>
      </w:r>
      <w:r w:rsidRPr="00063811">
        <w:t xml:space="preserve"> The data has been hotly contested, with critics pointing out that ESG is subjective and difficult to measure</w:t>
      </w:r>
      <w:r w:rsidR="00B21F42" w:rsidRPr="00063811">
        <w:t xml:space="preserve"> </w:t>
      </w:r>
      <w:r w:rsidR="00B21F42" w:rsidRPr="00063811">
        <w:fldChar w:fldCharType="begin"/>
      </w:r>
      <w:r w:rsidR="00B21F42" w:rsidRPr="00063811">
        <w:instrText xml:space="preserve"> ADDIN ZOTERO_ITEM CSL_CITATION {"citationID":"N0xnX5HI","properties":{"formattedCitation":"(Eccles et al., 2020)","plainCitation":"(Eccles et al., 2020)","noteIndex":0},"citationItems":[{"id":147,"uris":["http://zotero.org/users/13148740/items/CNMKQURJ"],"itemData":{"id":147,"type":"article-journal","abstract":"This article uses the study of two environmental, social, and governance (ESG) data vendors—KLD and Innovest—to exemplify the “social origins of ESG issues” argument made by Eccles and Stroehle in their 2018 working paper “Exploring Social Origins in the Construction of ESG Measures.” Based on in-depth interviews with the organizations’ founders and historical document analysis, we recap the history of the cases and show how different origins, philosophies, and “purposes” of ESG issues shaped the methods and data characteristics of two of the most important data vendors of their time. We discuss why MSCI chose to continue with the financial value–oriented methodology of Innovest while discontinuing the values-driven KLD methodology. Through an in-depth literature analysis, we further show that not only the creation but also the use of “nonfinancial performance” concepts rely on processes of social construction. We also show that investors use different ESG data from those used by academics, potentially leading to misaligned narratives. Finally, with this article we join the call for more explicit contextualization of ESG data, highlighting that both practitioners and academics need to better understand the social construction that underlies analyses that use different concepts of ESG.","container-title":"Organization &amp; Environment","DOI":"10.1177/1086026619888994","ISSN":"1086-0266, 1552-7417","issue":"4","journalAbbreviation":"Organization &amp; Environment","language":"en","page":"575-596","source":"DOI.org (Crossref)","title":"The Social Origins of ESG: An Analysis of Innovest and KLD","title-short":"The Social Origins of ESG","volume":"33","author":[{"family":"Eccles","given":"Robert G."},{"family":"Lee","given":"Linda-Eling"},{"family":"Stroehle","given":"Judith C."}],"issued":{"date-parts":[["2020",12]]}}}],"schema":"https://github.com/citation-style-language/schema/raw/master/csl-citation.json"} </w:instrText>
      </w:r>
      <w:r w:rsidR="00B21F42" w:rsidRPr="00063811">
        <w:fldChar w:fldCharType="separate"/>
      </w:r>
      <w:r w:rsidR="00B21F42" w:rsidRPr="00063811">
        <w:t>(Eccles et al., 2020)</w:t>
      </w:r>
      <w:r w:rsidR="00B21F42" w:rsidRPr="00063811">
        <w:fldChar w:fldCharType="end"/>
      </w:r>
      <w:r w:rsidRPr="00063811">
        <w:t xml:space="preserve">. No complete solution for subjectivity exists at the time of this study, but efforts to standardize ESG </w:t>
      </w:r>
      <w:r w:rsidRPr="00063811">
        <w:lastRenderedPageBreak/>
        <w:t>and improve its validity are ongoing. The EU's latest effort to improve data quality came in the form of a 2024 directive that mandates methodology disclosure to regulators</w:t>
      </w:r>
      <w:r w:rsidR="00B21F42" w:rsidRPr="00063811">
        <w:t xml:space="preserve"> </w:t>
      </w:r>
      <w:r w:rsidR="00B21F42" w:rsidRPr="00063811">
        <w:fldChar w:fldCharType="begin"/>
      </w:r>
      <w:r w:rsidR="008736A4" w:rsidRPr="00063811">
        <w:instrText xml:space="preserve"> ADDIN ZOTERO_ITEM CSL_CITATION {"citationID":"wioCHsoC","properties":{"unsorted":true,"formattedCitation":"(European Parliament, 2022; Annunziata &amp; Siri, 2025)","plainCitation":"(European Parliament, 2022; Annunziata &amp; Siri, 2025)","noteIndex":0},"citationItems":[{"id":808,"uris":["http://zotero.org/users/13148740/items/YRQFJTHI"],"itemData":{"id":808,"type":"article-journal","title":"Directive (EU) 2022/2464","URL":"https://eur-lex.europa.eu/eli/dir/2022/2464/oj/eng","author":[{"family":"European Parliament","given":""}],"issued":{"date-parts":[["2022"]]}}},{"id":802,"uris":["http://zotero.org/users/13148740/items/ZXJJGR4Z"],"itemData":{"id":802,"type":"article-journal","container-title":"SSRN Electronic Journal","DOI":"10.2139/ssrn.5138977","ISSN":"1556-5068","journalAbbreviation":"SSRN Journal","language":"en","source":"DOI.org (Crossref)","title":"The EU Regulation on ESG Ratings: Fit for Purpose?","title-short":"The EU Regulation on ESG Ratings","URL":"https://www.ssrn.com/abstract=5138977","author":[{"family":"Annunziata","given":"Filippo"},{"family":"Siri","given":"Michele"}],"accessed":{"date-parts":[["2025",3,1]]},"issued":{"date-parts":[["2025"]]}}}],"schema":"https://github.com/citation-style-language/schema/raw/master/csl-citation.json"} </w:instrText>
      </w:r>
      <w:r w:rsidR="00B21F42" w:rsidRPr="00063811">
        <w:fldChar w:fldCharType="separate"/>
      </w:r>
      <w:r w:rsidR="008736A4" w:rsidRPr="00063811">
        <w:t>(European Parliament, 2022; Annunziata &amp; Siri, 2025)</w:t>
      </w:r>
      <w:r w:rsidR="00B21F42" w:rsidRPr="00063811">
        <w:fldChar w:fldCharType="end"/>
      </w:r>
      <w:r w:rsidRPr="00063811">
        <w:t>.</w:t>
      </w:r>
      <w:r w:rsidR="005E49F0" w:rsidRPr="00063811">
        <w:t xml:space="preserve"> </w:t>
      </w:r>
      <w:r w:rsidR="00992F14" w:rsidRPr="00063811">
        <w:t>ESG regulation is not strictly limited to the EU.</w:t>
      </w:r>
      <w:r w:rsidR="00E17C1A" w:rsidRPr="00063811">
        <w:t xml:space="preserve"> In 2021,</w:t>
      </w:r>
      <w:r w:rsidR="00992F14" w:rsidRPr="00063811">
        <w:t xml:space="preserve"> China’s Securities </w:t>
      </w:r>
      <w:r w:rsidR="00E17C1A" w:rsidRPr="00063811">
        <w:t>Regulatory Commission (CSRC)</w:t>
      </w:r>
      <w:r w:rsidR="00992F14" w:rsidRPr="00063811">
        <w:t xml:space="preserve"> adopted </w:t>
      </w:r>
      <w:r w:rsidR="00E17C1A" w:rsidRPr="00063811">
        <w:t xml:space="preserve">an </w:t>
      </w:r>
      <w:r w:rsidR="00992F14" w:rsidRPr="00063811">
        <w:t>ESG disclosure mandate for public firm</w:t>
      </w:r>
      <w:r w:rsidR="005E49F0" w:rsidRPr="00063811">
        <w:t xml:space="preserve"> </w:t>
      </w:r>
      <w:r w:rsidR="005E49F0" w:rsidRPr="00063811">
        <w:fldChar w:fldCharType="begin"/>
      </w:r>
      <w:r w:rsidR="008736A4" w:rsidRPr="00063811">
        <w:instrText xml:space="preserve"> ADDIN ZOTERO_ITEM CSL_CITATION {"citationID":"hmR7g2ln","properties":{"formattedCitation":"(Ministry of Ecology and Environment, 2021; Shen et al., 2023)","plainCitation":"(Ministry of Ecology and Environment, 2021; Shen et al., 2023)","noteIndex":0},"citationItems":[{"id":809,"uris":["http://zotero.org/users/13148740/items/WJWQCXJE"],"itemData":{"id":809,"type":"article-journal","abstract":"The \"Management Measures for Disclosure of Enterprise Environmental Information in accordance with the Law\" was reviewed and approved by the Fourth Ministry of Ecology and Environment on November 26, 2021, and was officially announced by Minister Huang Runqiu on December 11, 2021. The measures took effect on February 8, 2022.","note":"publisher: Ministry of Ecology and Environment, China","title":"Management Measures for Disclosure of Enterprise Environmental Information in accordance with the Law","URL":"https://www.mee.gov.cn/xxgk2018/xxgk/xxgk02/202112/t20211221_964837.html?mc_cid=45e6a7ad33","author":[{"literal":"Ministry of Ecology and Environment"}],"issued":{"date-parts":[["2021"]]}}},{"id":576,"uris":["http://zotero.org/users/13148740/items/UPZF8GP9"],"itemData":{"id":576,"type":"article-journal","container-title":"China Journal of Accounting Research","DOI":"10.1016/j.cjar.2023.100325","ISSN":"17553091","issue":"4","journalAbbreviation":"China Journal of Accounting Research","language":"en","page":"100325","source":"DOI.org (Crossref)","title":"ESG in China: A review of practice and research, and future research avenues","title-short":"ESG in China","volume":"16","author":[{"family":"Shen","given":"Hongtao"},{"family":"Lin","given":"Honghui"},{"family":"Han","given":"Wenqi"},{"family":"Wu","given":"Huiying"}],"issued":{"date-parts":[["2023",12]]}}}],"schema":"https://github.com/citation-style-language/schema/raw/master/csl-citation.json"} </w:instrText>
      </w:r>
      <w:r w:rsidR="005E49F0" w:rsidRPr="00063811">
        <w:fldChar w:fldCharType="separate"/>
      </w:r>
      <w:r w:rsidR="008736A4" w:rsidRPr="00063811">
        <w:t>(Ministry of Ecology and Environment, 2021; Shen et al., 2023)</w:t>
      </w:r>
      <w:r w:rsidR="005E49F0" w:rsidRPr="00063811">
        <w:fldChar w:fldCharType="end"/>
      </w:r>
      <w:r w:rsidR="00E17C1A" w:rsidRPr="00063811">
        <w:t xml:space="preserve">. </w:t>
      </w:r>
    </w:p>
    <w:p w14:paraId="4DD8BD6F" w14:textId="54D30EBC" w:rsidR="005E49F0" w:rsidRPr="00063811" w:rsidRDefault="00E17C1A" w:rsidP="00F256FD">
      <w:pPr>
        <w:spacing w:line="480" w:lineRule="auto"/>
        <w:ind w:firstLine="720"/>
      </w:pPr>
      <w:r w:rsidRPr="00063811">
        <w:t xml:space="preserve">Normative arguments advocating for ESG integration have historically been insufficient, but government </w:t>
      </w:r>
      <w:r w:rsidR="00F37626" w:rsidRPr="00063811">
        <w:t xml:space="preserve">ESG </w:t>
      </w:r>
      <w:r w:rsidRPr="00063811">
        <w:t>regulations signal a changing systemic condition, whereby ESG</w:t>
      </w:r>
      <w:r w:rsidR="005E49F0" w:rsidRPr="00063811">
        <w:t xml:space="preserve"> factors</w:t>
      </w:r>
      <w:r w:rsidRPr="00063811">
        <w:t xml:space="preserve"> </w:t>
      </w:r>
      <w:r w:rsidR="005E49F0" w:rsidRPr="00063811">
        <w:t>are</w:t>
      </w:r>
      <w:r w:rsidRPr="00063811">
        <w:t xml:space="preserve"> becoming part of the profit maximization cost basis </w:t>
      </w:r>
      <w:r w:rsidRPr="00063811">
        <w:fldChar w:fldCharType="begin"/>
      </w:r>
      <w:r w:rsidRPr="00063811">
        <w:instrText xml:space="preserve"> ADDIN ZOTERO_ITEM CSL_CITATION {"citationID":"hgiNDOoY","properties":{"formattedCitation":"(Alexander, 2007)","plainCitation":"(Alexander, 2007)","noteIndex":0},"citationItems":[{"id":806,"uris":["http://zotero.org/users/13148740/items/5K7YCB69"],"itemData":{"id":806,"type":"article-journal","container-title":"Journal of Business Ethics","DOI":"10.1007/s10551-006-9264-5","ISSN":"0167-4544, 1573-0697","issue":"2","journalAbbreviation":"J Bus Ethics","language":"en","license":"http://www.springer.com/tdm","page":"155-162","source":"DOI.org (Crossref)","title":"Environmental Sustainability Versus Profit Maximization: Overcoming Systemic Constraints on Implementing Normatively Preferable Alternatives","title-short":"Environmental Sustainability Versus Profit Maximization","volume":"76","author":[{"family":"Alexander","given":"John"}],"issued":{"date-parts":[["2007",10,22]]}}}],"schema":"https://github.com/citation-style-language/schema/raw/master/csl-citation.json"} </w:instrText>
      </w:r>
      <w:r w:rsidRPr="00063811">
        <w:fldChar w:fldCharType="separate"/>
      </w:r>
      <w:r w:rsidRPr="00063811">
        <w:t>(Alexander, 2007)</w:t>
      </w:r>
      <w:r w:rsidRPr="00063811">
        <w:fldChar w:fldCharType="end"/>
      </w:r>
      <w:r w:rsidR="005E49F0" w:rsidRPr="00063811">
        <w:t xml:space="preserve">. </w:t>
      </w:r>
      <w:r w:rsidR="00D75804" w:rsidRPr="00063811">
        <w:t xml:space="preserve">This allows profit </w:t>
      </w:r>
      <w:r w:rsidR="00F37626" w:rsidRPr="00063811">
        <w:t>seeking</w:t>
      </w:r>
      <w:r w:rsidR="00D75804" w:rsidRPr="00063811">
        <w:t xml:space="preserve"> to </w:t>
      </w:r>
      <w:r w:rsidR="0003797E" w:rsidRPr="00063811">
        <w:t xml:space="preserve">operate </w:t>
      </w:r>
      <w:r w:rsidR="00F37626" w:rsidRPr="00063811">
        <w:t>within the</w:t>
      </w:r>
      <w:r w:rsidR="00D75804" w:rsidRPr="00063811">
        <w:t xml:space="preserve"> </w:t>
      </w:r>
      <w:r w:rsidR="0003797E" w:rsidRPr="00063811">
        <w:t>ESG</w:t>
      </w:r>
      <w:r w:rsidR="00D75804" w:rsidRPr="00063811">
        <w:t xml:space="preserve"> boundaries that sustainable development encourages</w:t>
      </w:r>
      <w:r w:rsidR="00C23CAA" w:rsidRPr="00063811">
        <w:t xml:space="preserve"> </w:t>
      </w:r>
      <w:r w:rsidR="00C23CAA" w:rsidRPr="00063811">
        <w:fldChar w:fldCharType="begin"/>
      </w:r>
      <w:r w:rsidR="00E62ADC" w:rsidRPr="00063811">
        <w:instrText xml:space="preserve"> ADDIN ZOTERO_ITEM CSL_CITATION {"citationID":"0zjrvlHY","properties":{"formattedCitation":"(Friede et al., 2015; D. Z. X. Huang, 2021)","plainCitation":"(Friede et al., 2015; D. Z. X. Huang, 2021)","noteIndex":0},"citationItems":[{"id":803,"uris":["http://zotero.org/users/13148740/items/F3L4LIBH"],"itemData":{"id":803,"type":"article-journal","container-title":"Journal of Sustainable Finance &amp; Investment","DOI":"10.1080/20430795.2015.1118917","ISSN":"2043-0795, 2043-0809","issue":"4","journalAbbreviation":"Journal of Sustainable Finance &amp; Investment","language":"en","page":"210-233","source":"DOI.org (Crossref)","title":"ESG and financial performance: aggregated evidence from more than 2000 empirical studies","title-short":"ESG and financial performance","volume":"5","author":[{"family":"Friede","given":"Gunnar"},{"family":"Busch","given":"Timo"},{"family":"Bassen","given":"Alexander"}],"issued":{"date-parts":[["2015",10,2]]}}},{"id":805,"uris":["http://zotero.org/users/13148740/items/2W8IGIDF"],"itemData":{"id":805,"type":"article-journal","abstract":"Abstract\n            Interest in why firms conduct environmental, social and governance (ESG) activity is longstanding and increasing. Our understanding, however, remains fragmented with alternative accounts that seek to explain the relationship between ESG performance (ESGP) and corporate financial performance (CFP). This paper reviews alternative accounts for the relationship and finds that the weight of empirical evidence shows a positive, statistically significant but economically modest ESGP–CFP link, consistent with theoretical expectations. This economically modest relationship suggests ESG activity is unlikely to be primarily motivated by narrow measures of CFP. Further scholarship viewing ESG as part of overall firm activity would be constructive.","container-title":"Accounting &amp; Finance","DOI":"10.1111/acfi.12569","ISSN":"0810-5391, 1467-629X","issue":"1","journalAbbreviation":"Accounting &amp; Finance","language":"en","page":"335-360","source":"DOI.org (Crossref)","title":"Environmental, social and governance (ESG) activity and firm performance: a review and consolidation","title-short":"Environmental, social and governance (ESG) activity and firm performance","volume":"61","author":[{"family":"Huang","given":"Danny Z. X."}],"issued":{"date-parts":[["2021",3]]}}}],"schema":"https://github.com/citation-style-language/schema/raw/master/csl-citation.json"} </w:instrText>
      </w:r>
      <w:r w:rsidR="00C23CAA" w:rsidRPr="00063811">
        <w:fldChar w:fldCharType="separate"/>
      </w:r>
      <w:r w:rsidR="00E62ADC" w:rsidRPr="00063811">
        <w:t>(Friede et al., 2015; D. Z. X. Huang, 2021)</w:t>
      </w:r>
      <w:r w:rsidR="00C23CAA" w:rsidRPr="00063811">
        <w:fldChar w:fldCharType="end"/>
      </w:r>
      <w:r w:rsidR="00D75804" w:rsidRPr="00063811">
        <w:t xml:space="preserve">. </w:t>
      </w:r>
    </w:p>
    <w:p w14:paraId="18101CE5" w14:textId="40501829" w:rsidR="0003797E" w:rsidRPr="00063811" w:rsidRDefault="0003797E" w:rsidP="006760A7">
      <w:pPr>
        <w:pStyle w:val="Heading2"/>
      </w:pPr>
      <w:bookmarkStart w:id="6" w:name="_Toc193977931"/>
      <w:r w:rsidRPr="00063811">
        <w:t>The Emerging Countermovement</w:t>
      </w:r>
      <w:bookmarkEnd w:id="6"/>
    </w:p>
    <w:p w14:paraId="0B3DC992" w14:textId="544F2B35" w:rsidR="005E49F0" w:rsidRPr="00063811" w:rsidRDefault="005E49F0" w:rsidP="00F256FD">
      <w:pPr>
        <w:spacing w:line="480" w:lineRule="auto"/>
        <w:ind w:firstLine="720"/>
      </w:pPr>
      <w:r w:rsidRPr="00063811">
        <w:t xml:space="preserve">While the EU and China are gravitating towards sustainable development and ESG, the American Federalist system is exhibiting a divergent ESG condition. Along political party lines, states are introducing and passing a significant amount of Pro and Anti-ESG legislation. For instance, </w:t>
      </w:r>
      <w:r w:rsidR="005F376A" w:rsidRPr="00063811">
        <w:t>Texas Senate Bill</w:t>
      </w:r>
      <w:r w:rsidR="00145C2E" w:rsidRPr="00063811">
        <w:t xml:space="preserve"> </w:t>
      </w:r>
      <w:r w:rsidR="005F376A" w:rsidRPr="00063811">
        <w:t xml:space="preserve">19 represent a significant countermovement against ESG investing, effectively barring financial institutions with ESG commitments from participating in government contract bidding </w:t>
      </w:r>
      <w:r w:rsidR="00F37626" w:rsidRPr="00063811">
        <w:fldChar w:fldCharType="begin"/>
      </w:r>
      <w:r w:rsidR="00F256FD" w:rsidRPr="00063811">
        <w:instrText xml:space="preserve"> ADDIN ZOTERO_ITEM CSL_CITATION {"citationID":"ygYtxttc","properties":{"formattedCitation":"(Garrett &amp; Ivanov, 2022; Texas SB 13, 2021)","plainCitation":"(Garrett &amp; Ivanov, 2022; Texas SB 13, 2021)","dontUpdate":true,"noteIndex":0},"citationItems":[{"id":333,"uris":["http://zotero.org/users/13148740/items/WWUGGVKT"],"itemData":{"id":333,"type":"article-journal","container-title":"SSRN Electronic Journal","DOI":"10.2139/ssrn.4123366","ISSN":"1556-5068","journalAbbreviation":"SSRN Journal","language":"en","source":"DOI.org (Crossref)","title":"Gas, Guns, and Governments: Financial Costs of Anti-ESG Policies","title-short":"Gas, Guns, and Governments","URL":"https://www.ssrn.com/abstract=4123366","author":[{"family":"Garrett","given":"Daniel"},{"family":"Ivanov","given":"Ivan"}],"accessed":{"date-parts":[["2024",2,7]]},"issued":{"date-parts":[["2022"]]}}},{"id":810,"uris":["http://zotero.org/users/13148740/items/GTFUPVFH"],"itemData":{"id":810,"type":"bill","abstract":"Texas SB 13 restricts state investments and contracts with entities that boycott energy companies.","note":"publisher: Texas State Legislature","title":"Texas SB 13","URL":"https://legiscan.com/TX/bill/SB13/2021","author":[{"literal":"Texas Legislature"}],"issued":{"date-parts":[["2021",6,14]]}}}],"schema":"https://github.com/citation-style-language/schema/raw/master/csl-citation.json"} </w:instrText>
      </w:r>
      <w:r w:rsidR="00F37626" w:rsidRPr="00063811">
        <w:fldChar w:fldCharType="separate"/>
      </w:r>
      <w:r w:rsidR="00F37626" w:rsidRPr="00063811">
        <w:t>(Garrett &amp; Ivanov, 2022; Texas SB 13, 2021</w:t>
      </w:r>
      <w:r w:rsidR="00145C2E" w:rsidRPr="00063811">
        <w:t>;</w:t>
      </w:r>
      <w:r w:rsidR="00F37626" w:rsidRPr="00063811">
        <w:t>)</w:t>
      </w:r>
      <w:r w:rsidR="00F37626" w:rsidRPr="00063811">
        <w:fldChar w:fldCharType="end"/>
      </w:r>
      <w:r w:rsidR="00F37626" w:rsidRPr="00063811">
        <w:t xml:space="preserve">. </w:t>
      </w:r>
      <w:r w:rsidR="005F376A" w:rsidRPr="00063811">
        <w:t xml:space="preserve">This legislative action has produced measurable economic consequences for the state. The exclusion of competitive institutional bidders like Citibank has decreased market competition, ultimately increasing borrowing costs for Texas taxpayers by approximately $400 million annually </w:t>
      </w:r>
      <w:r w:rsidR="00F37626" w:rsidRPr="00063811">
        <w:fldChar w:fldCharType="begin"/>
      </w:r>
      <w:r w:rsidR="00F37626" w:rsidRPr="00063811">
        <w:instrText xml:space="preserve"> ADDIN ZOTERO_ITEM CSL_CITATION {"citationID":"P58Go8DZ","properties":{"formattedCitation":"(Garrett &amp; Ivanov, 2022)","plainCitation":"(Garrett &amp; Ivanov, 2022)","noteIndex":0},"citationItems":[{"id":333,"uris":["http://zotero.org/users/13148740/items/WWUGGVKT"],"itemData":{"id":333,"type":"article-journal","container-title":"SSRN Electronic Journal","DOI":"10.2139/ssrn.4123366","ISSN":"1556-5068","journalAbbreviation":"SSRN Journal","language":"en","source":"DOI.org (Crossref)","title":"Gas, Guns, and Governments: Financial Costs of Anti-ESG Policies","title-short":"Gas, Guns, and Governments","URL":"https://www.ssrn.com/abstract=4123366","author":[{"family":"Garrett","given":"Daniel"},{"family":"Ivanov","given":"Ivan"}],"accessed":{"date-parts":[["2024",2,7]]},"issued":{"date-parts":[["2022"]]}}}],"schema":"https://github.com/citation-style-language/schema/raw/master/csl-citation.json"} </w:instrText>
      </w:r>
      <w:r w:rsidR="00F37626" w:rsidRPr="00063811">
        <w:fldChar w:fldCharType="separate"/>
      </w:r>
      <w:r w:rsidR="00F37626" w:rsidRPr="00063811">
        <w:t>(Garrett &amp; Ivanov, 2022)</w:t>
      </w:r>
      <w:r w:rsidR="00F37626" w:rsidRPr="00063811">
        <w:fldChar w:fldCharType="end"/>
      </w:r>
      <w:r w:rsidR="005F376A" w:rsidRPr="00063811">
        <w:t xml:space="preserve">. </w:t>
      </w:r>
    </w:p>
    <w:p w14:paraId="5332CB0F" w14:textId="77777777" w:rsidR="00FC68A4" w:rsidRDefault="00FC68A4">
      <w:pPr>
        <w:spacing w:after="160" w:line="278" w:lineRule="auto"/>
      </w:pPr>
      <w:r>
        <w:br w:type="page"/>
      </w:r>
    </w:p>
    <w:p w14:paraId="4E241BAD" w14:textId="15411BF6" w:rsidR="0003797E" w:rsidRPr="00063811" w:rsidRDefault="0003797E" w:rsidP="00F9570A">
      <w:pPr>
        <w:pStyle w:val="Heading2"/>
      </w:pPr>
      <w:bookmarkStart w:id="7" w:name="_Toc193977932"/>
      <w:r w:rsidRPr="00063811">
        <w:lastRenderedPageBreak/>
        <w:t>Research Focus</w:t>
      </w:r>
      <w:bookmarkEnd w:id="7"/>
    </w:p>
    <w:p w14:paraId="21F6B01E" w14:textId="7C5CB2A1" w:rsidR="00D75804" w:rsidRPr="00063811" w:rsidRDefault="00D75804" w:rsidP="00F256FD">
      <w:pPr>
        <w:spacing w:line="480" w:lineRule="auto"/>
        <w:ind w:firstLine="720"/>
      </w:pPr>
      <w:r w:rsidRPr="00063811">
        <w:t>While Texas provides a compelling case study of the immediate financial impact of anti-ESG policies, this research aims to broaden the analysis by examining how both pro-ESG and anti-ESG legislation across multiple states affects corporate ESG performance. By doing so, this study will complement Garrett and Ivanov's economic analysis with crucial insights into the social and ecological implications of these policy positions, providing a more comprehensive understanding of how state-level ESG policies shape corporate behavior and sustainability outcomes.</w:t>
      </w:r>
    </w:p>
    <w:bookmarkEnd w:id="2"/>
    <w:p w14:paraId="427E2AD7" w14:textId="28735086" w:rsidR="007E2DDF" w:rsidRPr="00063811" w:rsidRDefault="00661CAD" w:rsidP="00F256FD">
      <w:pPr>
        <w:spacing w:line="480" w:lineRule="auto"/>
        <w:ind w:firstLine="720"/>
      </w:pPr>
      <w:r w:rsidRPr="00063811">
        <w:t xml:space="preserve">The remainder of this thesis is structured as follows. </w:t>
      </w:r>
      <w:r w:rsidR="00F05EA2" w:rsidRPr="00063811">
        <w:t>Chapter II</w:t>
      </w:r>
      <w:r w:rsidRPr="00063811">
        <w:t xml:space="preserve"> presents a comprehensive literature review that situates this research within the existing academic discourse. </w:t>
      </w:r>
      <w:r w:rsidR="00F05EA2" w:rsidRPr="00063811">
        <w:t>Chapter III</w:t>
      </w:r>
      <w:r w:rsidRPr="00063811">
        <w:t xml:space="preserve"> describes the data.</w:t>
      </w:r>
      <w:r w:rsidR="00F05EA2" w:rsidRPr="00063811">
        <w:t xml:space="preserve"> Chapter VI</w:t>
      </w:r>
      <w:r w:rsidRPr="00063811">
        <w:t xml:space="preserve"> consists of a complete journal article, which includes its own introduction, literature review, data description, empirical methodology, discussion of findings, and conclusion. </w:t>
      </w:r>
      <w:r w:rsidR="00F9570A">
        <w:t>C</w:t>
      </w:r>
      <w:r w:rsidR="00F05EA2" w:rsidRPr="00063811">
        <w:t>hapter V</w:t>
      </w:r>
      <w:r w:rsidRPr="00063811">
        <w:t xml:space="preserve"> outlines potential directions for future research, highlighting unexplored areas and questions that emerged from this study but remain beyond its scope.</w:t>
      </w:r>
    </w:p>
    <w:p w14:paraId="06E88622" w14:textId="77777777" w:rsidR="006760A7" w:rsidRPr="00063811" w:rsidRDefault="006760A7">
      <w:pPr>
        <w:spacing w:after="160" w:line="278" w:lineRule="auto"/>
      </w:pPr>
      <w:r w:rsidRPr="00063811">
        <w:br w:type="page"/>
      </w:r>
    </w:p>
    <w:p w14:paraId="39B12BFC" w14:textId="26041D66" w:rsidR="006760A7" w:rsidRPr="00063811" w:rsidRDefault="006760A7" w:rsidP="008612B7">
      <w:pPr>
        <w:spacing w:line="480" w:lineRule="auto"/>
        <w:jc w:val="center"/>
      </w:pPr>
      <w:r w:rsidRPr="00063811">
        <w:lastRenderedPageBreak/>
        <w:t>CHAPTER II</w:t>
      </w:r>
    </w:p>
    <w:p w14:paraId="482A4003" w14:textId="3C879D7A" w:rsidR="00C535AD" w:rsidRPr="00063811" w:rsidRDefault="00C605CF" w:rsidP="006760A7">
      <w:pPr>
        <w:pStyle w:val="Heading1"/>
      </w:pPr>
      <w:bookmarkStart w:id="8" w:name="_Toc193977933"/>
      <w:r w:rsidRPr="00063811">
        <w:t>LITERATURE REVIEW</w:t>
      </w:r>
      <w:bookmarkEnd w:id="8"/>
    </w:p>
    <w:p w14:paraId="5540A5FD" w14:textId="75D09019" w:rsidR="00A64BE5" w:rsidRPr="00063811" w:rsidRDefault="00A64BE5" w:rsidP="00F256FD">
      <w:pPr>
        <w:spacing w:line="480" w:lineRule="auto"/>
        <w:ind w:firstLine="720"/>
        <w:rPr>
          <w:b/>
          <w:bCs/>
        </w:rPr>
      </w:pPr>
      <w:r w:rsidRPr="00063811">
        <w:t xml:space="preserve">This </w:t>
      </w:r>
      <w:r w:rsidR="00FC68A4">
        <w:t>chapter</w:t>
      </w:r>
      <w:r w:rsidR="00FC68A4" w:rsidRPr="00063811">
        <w:t xml:space="preserve"> </w:t>
      </w:r>
      <w:r w:rsidRPr="00063811">
        <w:t>reviews the literature on (1) ESG data, (2) ESG theory, (3) European Union ESG legislation, (4) United States ESG legislation, (5) firm determinants of ESG performance, (6) regulatory frameworks as determinants of ESG performance, and (7) industry classification. It begins by examining how ESG data is collected, reported, and standardized. The discussion then addresses foundational ESG theory, followed by overviews of EU and U.S. ESG legislation. Next, it explores the firm-level drivers of ESG performance and the broader impact of regulatory contexts. The section concludes with an analysis of how industry classification influences sustainability outcomes.</w:t>
      </w:r>
    </w:p>
    <w:p w14:paraId="421B083B" w14:textId="43F66CF1" w:rsidR="007F1063" w:rsidRPr="00063811" w:rsidRDefault="007F1063" w:rsidP="008612B7">
      <w:pPr>
        <w:pStyle w:val="Heading2"/>
      </w:pPr>
      <w:bookmarkStart w:id="9" w:name="_Toc193977934"/>
      <w:r w:rsidRPr="00063811">
        <w:t>E</w:t>
      </w:r>
      <w:r w:rsidR="001E6828" w:rsidRPr="00063811">
        <w:t>SG Data</w:t>
      </w:r>
      <w:bookmarkEnd w:id="9"/>
    </w:p>
    <w:p w14:paraId="58C81BCB" w14:textId="71FD2F35" w:rsidR="001203C6" w:rsidRPr="00063811" w:rsidRDefault="001203C6" w:rsidP="00F256FD">
      <w:pPr>
        <w:spacing w:line="480" w:lineRule="auto"/>
      </w:pPr>
      <w:r w:rsidRPr="00063811">
        <w:tab/>
        <w:t xml:space="preserve">The origins and development </w:t>
      </w:r>
      <w:proofErr w:type="gramStart"/>
      <w:r w:rsidRPr="00063811">
        <w:t>of  ESG</w:t>
      </w:r>
      <w:proofErr w:type="gramEnd"/>
      <w:r w:rsidRPr="00063811">
        <w:t xml:space="preserve"> as a data product can be traced through a combination of historical context, evolving methodologies, and the increasing demand for non-financial metrics in investment decision-making. ESG has emerged as a critical framework for assessing corporate behavior and sustainability, significantly influencing investment strategies and corporate governance.</w:t>
      </w:r>
      <w:r w:rsidR="007F1063" w:rsidRPr="00063811">
        <w:tab/>
      </w:r>
    </w:p>
    <w:p w14:paraId="5BF53864" w14:textId="2B587A23" w:rsidR="001203C6" w:rsidRPr="00063811" w:rsidRDefault="001203C6" w:rsidP="00F256FD">
      <w:pPr>
        <w:spacing w:line="480" w:lineRule="auto"/>
        <w:ind w:firstLine="720"/>
      </w:pPr>
      <w:r w:rsidRPr="00063811">
        <w:t xml:space="preserve">Initially, the concept of ESG began to gain traction in the early 2000s, driven by a growing awareness of corporate social responsibility (CSR) and the need for sustainable business practices. This shift was partly a response to various global challenges, including climate change, social inequality, and governance scandals, which highlighted the limitations of traditional financial metrics in capturing a company's long-term viability and societal impact </w:t>
      </w:r>
      <w:r w:rsidR="00AD505C" w:rsidRPr="00063811">
        <w:fldChar w:fldCharType="begin"/>
      </w:r>
      <w:r w:rsidR="00AD505C" w:rsidRPr="00063811">
        <w:instrText xml:space="preserve"> ADDIN ZOTERO_ITEM CSL_CITATION {"citationID":"T8oyA8wh","properties":{"formattedCitation":"(Amel-Zadeh &amp; Serafeim, 2018)","plainCitation":"(Amel-Zadeh &amp; Serafeim, 2018)","noteIndex":0},"citationItems":[{"id":688,"uris":["http://zotero.org/users/13148740/items/4C8LTPVB"],"itemData":{"id":688,"type":"article-journal","container-title":"Financial Analysts Journal","DOI":"10.2469/faj.v74.n3.2","ISSN":"0015-198X, 1938-3312","issue":"3","journalAbbreviation":"Financial Analysts Journal","language":"en","page":"87-103","source":"DOI.org (Crossref)","title":"Why and How Investors Use ESG Information: Evidence from a Global Survey","title-short":"Why and How Investors Use ESG Information","volume":"74","author":[{"family":"Amel-Zadeh","given":"Amir"},{"family":"Serafeim","given":"George"}],"issued":{"date-parts":[["2018",7,1]]}}}],"schema":"https://github.com/citation-style-language/schema/raw/master/csl-citation.json"} </w:instrText>
      </w:r>
      <w:r w:rsidR="00AD505C" w:rsidRPr="00063811">
        <w:fldChar w:fldCharType="separate"/>
      </w:r>
      <w:r w:rsidR="00AD505C" w:rsidRPr="00063811">
        <w:t>(Amel-Zadeh &amp; Serafeim, 2018)</w:t>
      </w:r>
      <w:r w:rsidR="00AD505C" w:rsidRPr="00063811">
        <w:fldChar w:fldCharType="end"/>
      </w:r>
      <w:r w:rsidR="00FF30B0" w:rsidRPr="00063811">
        <w:t xml:space="preserve">. </w:t>
      </w:r>
      <w:r w:rsidRPr="00063811">
        <w:t xml:space="preserve">As companies began to integrate ESG criteria into their operations, the demand for standardized ESG data grew, leading to the establishment of various ESG rating </w:t>
      </w:r>
      <w:r w:rsidRPr="00063811">
        <w:lastRenderedPageBreak/>
        <w:t xml:space="preserve">agencies and frameworks that sought to quantify and assess ESG performance </w:t>
      </w:r>
      <w:r w:rsidR="00AD505C" w:rsidRPr="00063811">
        <w:fldChar w:fldCharType="begin"/>
      </w:r>
      <w:r w:rsidR="00AD505C" w:rsidRPr="00063811">
        <w:instrText xml:space="preserve"> ADDIN ZOTERO_ITEM CSL_CITATION {"citationID":"9aHLy4Mw","properties":{"formattedCitation":"(Avetisyan &amp; Hockerts, 2017; Escrig-Olmedo et al., 2019)","plainCitation":"(Avetisyan &amp; Hockerts, 2017; Escrig-Olmedo et al., 2019)","noteIndex":0},"citationItems":[{"id":689,"uris":["http://zotero.org/users/13148740/items/UT2E5Q92"],"itemData":{"id":689,"type":"article-journal","abstract":"Abstract\n            The socially responsible investing (SRI) movement has been aiming to create lasting institutional change by infusing the investment sector with new norms and values. Environmental, social and governance (ESG) rating agencies have emerged in response to the needs of SRI actors for reliable data on the social performance of firms. Since 2005, the ESG rating industry has witnessed a number of national and cross‐border consolidations. Based on a set of 37 interviews and secondary data, the paper explores the driving forces behind this consolidation as well as its impact. Our focus is on four ESG rating agencies, based in the United States, the United Kingdom, France and Switzerland. We conclude that in effect consolidation has at least partially resulted in institutional retrogression, whereby the traditional norms and values have reaffirmed their primacy, thereby somewhat negating the institutional change sought by the SRI movement. Copyright © 2016 John Wiley &amp; Sons, Ltd and ERP Environment","container-title":"Business Strategy and the Environment","DOI":"10.1002/bse.1919","ISSN":"0964-4733, 1099-0836","issue":"3","journalAbbreviation":"Bus Strat Env","language":"en","license":"http://onlinelibrary.wiley.com/termsAndConditions#vor","page":"316-330","source":"DOI.org (Crossref)","title":"The Consolidation of the ESG Rating Industry as an Enactment of Institutional Retrogression","volume":"26","author":[{"family":"Avetisyan","given":"Emma"},{"family":"Hockerts","given":"Kai"}],"issued":{"date-parts":[["2017",3]]}}},{"id":51,"uris":["http://zotero.org/users/13148740/items/NAVRK5PU"],"itemData":{"id":51,"type":"article-journal","abstract":"Environmental, social, and governance (ESG) rating agencies, acting as relevant financial market actors, should take a stand on working towards achieving a more sustainable development. In this context, the objective of this paper is, on the one hand, to understand how criteria used by ESG rating agencies in their assessment processes have evolved over the last ten years and, on the other hand, to analyze whether ESG rating agencies are contributing to fostering sustainable development by the inclusion of sustainability principles into their assessment processes and practices according to the ESG criteria. This research is based on a comparative descriptive analysis of the public information provided by the most representative ESG rating and information provider agencies in the financial market in two periods: 2008 and 2018. The findings show that ESG rating agencies have integrated new criteria into their assessment models to measure corporate performance more accurately and robustly in order to respond to new global challenges. However, a deep analysis of the criteria also shows that ESG rating agencies do not fully integrate sustainability principles into the corporate sustainability assessment process.","container-title":"Sustainability","DOI":"10.3390/su11030915","ISSN":"2071-1050","issue":"3","journalAbbreviation":"Sustainability","language":"en","page":"915","source":"DOI.org (Crossref)","title":"Rating the Raters: Evaluating how ESG Rating Agencies Integrate Sustainability Principles","title-short":"Rating the Raters","volume":"11","author":[{"family":"Escrig-Olmedo","given":"Elena"},{"family":"Fernández-Izquierdo","given":"María"},{"family":"Ferrero-Ferrero","given":"Idoya"},{"family":"Rivera-Lirio","given":"Juana"},{"family":"Muñoz-Torres","given":"María"}],"issued":{"date-parts":[["2019",2,11]]}}}],"schema":"https://github.com/citation-style-language/schema/raw/master/csl-citation.json"} </w:instrText>
      </w:r>
      <w:r w:rsidR="00AD505C" w:rsidRPr="00063811">
        <w:fldChar w:fldCharType="separate"/>
      </w:r>
      <w:r w:rsidR="00AD505C" w:rsidRPr="00063811">
        <w:t>(Avetisyan &amp; Hockerts, 2017; Escrig-Olmedo et al., 2019)</w:t>
      </w:r>
      <w:r w:rsidR="00AD505C" w:rsidRPr="00063811">
        <w:fldChar w:fldCharType="end"/>
      </w:r>
      <w:r w:rsidR="00AD505C" w:rsidRPr="00063811">
        <w:t>.</w:t>
      </w:r>
    </w:p>
    <w:p w14:paraId="7B4B1BCD" w14:textId="283D29BC" w:rsidR="001203C6" w:rsidRPr="00063811" w:rsidRDefault="001203C6" w:rsidP="00F256FD">
      <w:pPr>
        <w:spacing w:line="480" w:lineRule="auto"/>
        <w:ind w:firstLine="720"/>
      </w:pPr>
      <w:r w:rsidRPr="00063811">
        <w:t xml:space="preserve">The evolution of ESG as a data product has been marked by the development of methodologies for collecting and analyzing ESG data. Initially, ESG assessments relied heavily on self-reported data from companies, which often led to issues of reliability and transparency </w:t>
      </w:r>
      <w:r w:rsidR="00AD505C" w:rsidRPr="00063811">
        <w:fldChar w:fldCharType="begin"/>
      </w:r>
      <w:r w:rsidR="00AD505C" w:rsidRPr="00063811">
        <w:instrText xml:space="preserve"> ADDIN ZOTERO_ITEM CSL_CITATION {"citationID":"RzZ3eKTH","properties":{"formattedCitation":"(Jonsdottir et al., 2022)","plainCitation":"(Jonsdottir et al., 2022)","noteIndex":0},"citationItems":[{"id":273,"uris":["http://zotero.org/users/13148740/items/ZD99YM5K"],"itemData":{"id":273,"type":"article-journal","abstract":"Institutional investors who commit to integrating environmental, social and governance (ESG) aspects into investment decisions require ESG data of sufficient quality. However, concerns have risen over a lack of quality in ESG data, as outlined by the Global Reporting Initiative. The lack of quality in ESG data deters institutional investors from using the data for investment decisions. This study outlines the ESG data reporting process and explores where in the process quality concerns emerge. Semi-structured interviews are applied with professionals involved in ESG data analysis and reporting of listed companies, a rating agency and institutional investors. The results show that current barriers to using ESG data include a lack of materiality, accuracy and reliability. Interviewees agree that access to data collected by governmental institutions is lacking, and that companies’ purchase of carbon credits raise questions about the reliability of ESG data. Companies hold contrasting views to the institutional investors on the useability of the data they disclose. The results enhance our understanding of the common and contrasting concerns about the lack of quality in ESG data. The results can be used as guide for companies, investors and regulators for actions to mitigate barriers related to the lack of quality in ESG reporting.","container-title":"Sustainability","DOI":"10.3390/su14095157","ISSN":"2071-1050","issue":"9","journalAbbreviation":"Sustainability","language":"en","page":"5157","source":"DOI.org (Crossref)","title":"Barriers to Using ESG Data for Investment Decisions","volume":"14","author":[{"family":"Jonsdottir","given":"Bjorg"},{"family":"Sigurjonsson","given":"Throstur Olaf"},{"family":"Johannsdottir","given":"Lara"},{"family":"Wendt","given":"Stefan"}],"issued":{"date-parts":[["2022",4,25]]}}}],"schema":"https://github.com/citation-style-language/schema/raw/master/csl-citation.json"} </w:instrText>
      </w:r>
      <w:r w:rsidR="00AD505C" w:rsidRPr="00063811">
        <w:fldChar w:fldCharType="separate"/>
      </w:r>
      <w:r w:rsidR="00AD505C" w:rsidRPr="00063811">
        <w:t>(Jonsdottir et al., 2022)</w:t>
      </w:r>
      <w:r w:rsidR="00AD505C" w:rsidRPr="00063811">
        <w:fldChar w:fldCharType="end"/>
      </w:r>
      <w:r w:rsidR="00AD505C" w:rsidRPr="00063811">
        <w:t xml:space="preserve">. </w:t>
      </w:r>
      <w:r w:rsidRPr="00063811">
        <w:t xml:space="preserve">However, as the ESG landscape matured, the integration of third-party data sources, including news reports, social media sentiment, and regulatory filings, began to enhance the robustness of ESG metrics </w:t>
      </w:r>
      <w:r w:rsidR="00AD505C" w:rsidRPr="00063811">
        <w:fldChar w:fldCharType="begin"/>
      </w:r>
      <w:r w:rsidR="00AD505C" w:rsidRPr="00063811">
        <w:instrText xml:space="preserve"> ADDIN ZOTERO_ITEM CSL_CITATION {"citationID":"Z00ui93a","properties":{"formattedCitation":"(De Giuli et al., 2024)","plainCitation":"(De Giuli et al., 2024)","noteIndex":0},"citationItems":[{"id":695,"uris":["http://zotero.org/users/13148740/items/RVMZQ7KI"],"itemData":{"id":695,"type":"article-journal","abstract":"Abstract\n            Environmental, Social and Governance (ESG) issues have become particularly relevant in the agendas of policymakers, investment decisions by companies and asset allocation process of investors. However, the transition to a greener and more sustainable economic system is not without risks. The literature has investigated the relationship between ESG and risk in different ways, through multiple perspectives and approaches. We select all documents with “ESG” and “Risk” in the title, abstracts and keywords available in Scopus and, after removing non‐relevant papers, we are left with a sample of 589 documents published in the period 1983–2022. To provide a view of the most important studies, we also focus on the most cited documents to discuss the methodological approaches and main results. The results show that over time, ESG has gained increasing attention from the literature, but researchers work in isolation and there is no single approach or leading core topic driving academic productivity; a clear taxonomy of ESG risks appears to be missing. To the best of our knowledge, this paper is the first to discuss research on ESG and risk from a financial perspective. The results highlight some existing gaps in the literature that can provide a hint for the development of the topic by researchers. These include a clearer taxonomy of ESG risks that can affect investors' and companies' decisions, a greater effort to evaluate how ESG risks distribute and spill from one sector to another and the inclusion of emerging economies and small and medium‐sized enterprises in the samples.","container-title":"Corporate Social Responsibility and Environmental Management","DOI":"10.1002/csr.2624","ISSN":"1535-3958, 1535-3966","issue":"2","journalAbbreviation":"Corp Soc Responsibility Env","language":"en","page":"1096-1108","source":"DOI.org (Crossref)","title":"What do we know about &lt;span style=\"font-variant:small-caps;\"&gt;ESG&lt;/span&gt; and risk? A systematic and bibliometric review","title-short":"What do we know about &lt;span style=\"font-variant","volume":"31","author":[{"family":"De Giuli","given":"Maria Elena"},{"family":"Grechi","given":"Daniele"},{"family":"Tanda","given":"Alessandra"}],"issued":{"date-parts":[["2024",3]]}}}],"schema":"https://github.com/citation-style-language/schema/raw/master/csl-citation.json"} </w:instrText>
      </w:r>
      <w:r w:rsidR="00AD505C" w:rsidRPr="00063811">
        <w:fldChar w:fldCharType="separate"/>
      </w:r>
      <w:r w:rsidR="00AD505C" w:rsidRPr="00063811">
        <w:t>(De Giuli et al., 2024)</w:t>
      </w:r>
      <w:r w:rsidR="00AD505C" w:rsidRPr="00063811">
        <w:fldChar w:fldCharType="end"/>
      </w:r>
      <w:r w:rsidR="00AD505C" w:rsidRPr="00063811">
        <w:t xml:space="preserve">. </w:t>
      </w:r>
      <w:r w:rsidRPr="00063811">
        <w:t xml:space="preserve">This transition has been facilitated by advancements in technology, particularly the adoption of Industry 4.0 technologies such as big data analytics and artificial intelligence, which have improved the accuracy and efficiency of ESG data collection and analysis </w:t>
      </w:r>
      <w:r w:rsidR="00AD505C" w:rsidRPr="00063811">
        <w:fldChar w:fldCharType="begin"/>
      </w:r>
      <w:r w:rsidR="00AD505C" w:rsidRPr="00063811">
        <w:instrText xml:space="preserve"> ADDIN ZOTERO_ITEM CSL_CITATION {"citationID":"XtUFNmk5","properties":{"formattedCitation":"(Saxena et al., 2022)","plainCitation":"(Saxena et al., 2022)","noteIndex":0},"citationItems":[{"id":697,"uris":["http://zotero.org/users/13148740/items/NVMLVLRG"],"itemData":{"id":697,"type":"article-journal","abstract":"Currently, sustainability is a vital aspect for every nation and organization to accomplish Sustainable Development Goals (SDGs) by 2030. Environmental, social, and governance (ESG) metrics are used to evaluate the sustainability level of an organization. According to the statistics, 53% of respondents in the BlackRock survey are concerned about the availability of low ESG data, which is critical for determining the organization’s sustainability level. This obstacle can be overcome by implementing Industry 4.0 technologies, which enable real-time data, data authentication, prediction, transparency, authentication, and structured data. Based on the review of previous studies, it was determined that only a few studies discussed the implementation of Industry 4.0 technologies for ESG data and evaluation. The objective of the study is to discuss the significance of ESG data and report, which is used for the evaluation of the sustainability of an organization. In this regard, the assimilation of Industry 4.0 technologies (Internet of Things (IoT), artificial intelligence (AI), blockchain, and big data for obtaining ESG data by an organization is detailed presented to study the progress of advancement of these technologies for ESG. On the basis of analysis, this study concludes that consumers are concerned about the ESG data, as most organizations develop inaccurate ESG data and suggest that these digital technologies have a crucial role in framing an accurate ESG report. After analysis a few vital conclusions are drawn such as ESG investment has benefited from AI capabilities, which previously relied on self-disclosed, annualized company information that was susceptible to inherent data issues and biases. Finally, the article discusses the vital recommendations that can be implemented for future work.","container-title":"Sustainability","DOI":"10.3390/su15010309","ISSN":"2071-1050","issue":"1","journalAbbreviation":"Sustainability","language":"en","license":"https://creativecommons.org/licenses/by/4.0/","page":"309","source":"DOI.org (Crossref)","title":"Technologies Empowered Environmental, Social, and Governance (ESG): An Industry 4.0 Landscape","title-short":"Technologies Empowered Environmental, Social, and Governance (ESG)","volume":"15","author":[{"family":"Saxena","given":"Archana"},{"family":"Singh","given":"Rajesh"},{"family":"Gehlot","given":"Anita"},{"family":"Akram","given":"Shaik Vaseem"},{"family":"Twala","given":"Bhekisipho"},{"family":"Singh","given":"Aman"},{"family":"Montero","given":"Elisabeth Caro"},{"family":"Priyadarshi","given":"Neeraj"}],"issued":{"date-parts":[["2022",12,25]]}}}],"schema":"https://github.com/citation-style-language/schema/raw/master/csl-citation.json"} </w:instrText>
      </w:r>
      <w:r w:rsidR="00AD505C" w:rsidRPr="00063811">
        <w:fldChar w:fldCharType="separate"/>
      </w:r>
      <w:r w:rsidR="00AD505C" w:rsidRPr="00063811">
        <w:t>(Saxena et al., 2022)</w:t>
      </w:r>
      <w:r w:rsidR="00AD505C" w:rsidRPr="00063811">
        <w:fldChar w:fldCharType="end"/>
      </w:r>
      <w:r w:rsidR="00AD505C" w:rsidRPr="00063811">
        <w:t>.</w:t>
      </w:r>
    </w:p>
    <w:p w14:paraId="5E0042B7" w14:textId="10A77465" w:rsidR="002B5D2D" w:rsidRPr="00063811" w:rsidRDefault="001203C6" w:rsidP="00F256FD">
      <w:pPr>
        <w:spacing w:line="480" w:lineRule="auto"/>
        <w:ind w:firstLine="720"/>
      </w:pPr>
      <w:r w:rsidRPr="00063811">
        <w:t xml:space="preserve">Moreover, the rise of ESG-focused investment products has further propelled the development of ESG data. Institutional investors increasingly recognize the financial materiality of ESG factors, leading to a surge in demand for ESG-compliant investment vehicles </w:t>
      </w:r>
      <w:r w:rsidR="00AD505C" w:rsidRPr="00063811">
        <w:fldChar w:fldCharType="begin"/>
      </w:r>
      <w:r w:rsidR="00AD505C" w:rsidRPr="00063811">
        <w:instrText xml:space="preserve"> ADDIN ZOTERO_ITEM CSL_CITATION {"citationID":"mEreLi3Y","properties":{"formattedCitation":"(Amel-Zadeh &amp; Serafeim, 2018)","plainCitation":"(Amel-Zadeh &amp; Serafeim, 2018)","noteIndex":0},"citationItems":[{"id":688,"uris":["http://zotero.org/users/13148740/items/4C8LTPVB"],"itemData":{"id":688,"type":"article-journal","container-title":"Financial Analysts Journal","DOI":"10.2469/faj.v74.n3.2","ISSN":"0015-198X, 1938-3312","issue":"3","journalAbbreviation":"Financial Analysts Journal","language":"en","page":"87-103","source":"DOI.org (Crossref)","title":"Why and How Investors Use ESG Information: Evidence from a Global Survey","title-short":"Why and How Investors Use ESG Information","volume":"74","author":[{"family":"Amel-Zadeh","given":"Amir"},{"family":"Serafeim","given":"George"}],"issued":{"date-parts":[["2018",7,1]]}}}],"schema":"https://github.com/citation-style-language/schema/raw/master/csl-citation.json"} </w:instrText>
      </w:r>
      <w:r w:rsidR="00AD505C" w:rsidRPr="00063811">
        <w:fldChar w:fldCharType="separate"/>
      </w:r>
      <w:r w:rsidR="00AD505C" w:rsidRPr="00063811">
        <w:t>(Amel-Zadeh &amp; Serafeim, 2018)</w:t>
      </w:r>
      <w:r w:rsidR="00AD505C" w:rsidRPr="00063811">
        <w:fldChar w:fldCharType="end"/>
      </w:r>
      <w:r w:rsidR="00AD505C" w:rsidRPr="00063811">
        <w:t xml:space="preserve">. </w:t>
      </w:r>
      <w:r w:rsidRPr="00063811">
        <w:t xml:space="preserve">This trend has prompted financial institutions to refine their ESG assessment methodologies, ensuring that they align with evolving regulatory frameworks and investor expectations </w:t>
      </w:r>
      <w:r w:rsidR="00AD505C" w:rsidRPr="00063811">
        <w:fldChar w:fldCharType="begin"/>
      </w:r>
      <w:r w:rsidR="00AD505C" w:rsidRPr="00063811">
        <w:instrText xml:space="preserve"> ADDIN ZOTERO_ITEM CSL_CITATION {"citationID":"DKLB3wSF","properties":{"formattedCitation":"(L. Wang, 2024)","plainCitation":"(L. Wang, 2024)","noteIndex":0},"citationItems":[{"id":699,"uris":["http://zotero.org/users/13148740/items/VXV8HHNV"],"itemData":{"id":699,"type":"article-journal","abstract":"In contemporary society, with the burgeoning concern for sustainable development among the populace, Environmental, Social, and Governance (ESG) criteria have emerged as a pivotal discourse within the global financial sector. Responsible investment is increasingly paramount, directing capital flows towards enterprises and ventures of greater sustainability. Against this backdrop, the integration of ESG criteria into financial operations poses both a significant challenge and opportunity for financial institutions. Architects and providers of financial products and services are gradually incorporating ESG factors into their decision-making processes to align with escalating regulatory demands and meet investors' expectations of social responsibility. Nevertheless, this transition is not devoid of challenges. Issues such as data acquisition and quality, regulatory uncertainty, and inadequate comprehension of ESG values among market participants constitute substantial obstacles that the financial realm must surmount in the pursuit of ESG integration. Nonetheless, through a series of strategies and recommendations, such as enhancing data transparency and quality, bolstering relevant education and training for market participants, and advocating for regulatory authorities to formulate clearer and more unified directives, financial institutions can harness technological advancements to optimize the analysis and integration of ESG data, thereby paving the way for new opportunities.","container-title":"Modern Management Science &amp; Engineering","DOI":"10.22158/mmse.v6n1p162","ISSN":"2052-2576","issue":"1","journalAbbreviation":"MMSE","license":"http://creativecommons.org/licenses/by/4.0","page":"p162","source":"DOI.org (Crossref)","title":"Challenges and Opportunities of ESG Integration in Financial Operations","volume":"6","author":[{"family":"Wang","given":"Lei"}],"issued":{"date-parts":[["2024",5,4]]}}}],"schema":"https://github.com/citation-style-language/schema/raw/master/csl-citation.json"} </w:instrText>
      </w:r>
      <w:r w:rsidR="00AD505C" w:rsidRPr="00063811">
        <w:fldChar w:fldCharType="separate"/>
      </w:r>
      <w:r w:rsidR="00AD505C" w:rsidRPr="00063811">
        <w:t>(L. Wang, 2024)</w:t>
      </w:r>
      <w:r w:rsidR="00AD505C" w:rsidRPr="00063811">
        <w:fldChar w:fldCharType="end"/>
      </w:r>
      <w:r w:rsidR="00AD505C" w:rsidRPr="00063811">
        <w:t>.</w:t>
      </w:r>
    </w:p>
    <w:p w14:paraId="7DF5E114" w14:textId="01E30DA3" w:rsidR="007F1063" w:rsidRPr="00063811" w:rsidRDefault="00A54B91" w:rsidP="00F256FD">
      <w:pPr>
        <w:spacing w:line="480" w:lineRule="auto"/>
        <w:ind w:firstLine="720"/>
      </w:pPr>
      <w:r w:rsidRPr="00063811">
        <w:t xml:space="preserve">However, significant challenges persist, including the need for greater consistency in ESG reporting standards and the reduction of firms' tendencies to exaggerate their ESG commitments to enhance market perceptions </w:t>
      </w:r>
      <w:r w:rsidR="00AD505C" w:rsidRPr="00063811">
        <w:fldChar w:fldCharType="begin"/>
      </w:r>
      <w:r w:rsidR="00F256FD" w:rsidRPr="00063811">
        <w:instrText xml:space="preserve"> ADDIN ZOTERO_ITEM CSL_CITATION {"citationID":"nq7g0pYx","properties":{"formattedCitation":"(Chen et al., 2023)","plainCitation":"(Chen et al., 2023)","noteIndex":0},"citationItems":[{"id":701,"uris":["http://zotero.org/users/13148740/items/TDHJKP6L"],"itemData":{"id":701,"type":"article-journal","abstract":"Environment, social and governance ratings (ESG) has now become an important indicator for assessing corporate value. However, due to the varying degrees of economic growth, environmental protection policies, and sociocultural climates in various Chinese locations, there are significant regional differences in the correlation between ESG data and corporate value. This paper conducts a regression analysis of corporate value and ESG data from the three pillars of environment, society and governance to verify that ESG advantages significantly enhance corporate value. This paper also looks at the heterogeneous characteristics of the regional distribution of Chinese firms, the degree of marketization, and the relationship between firms and the government to show the mechanism by which regional differentiation affects the ESG score-Firm value correlation. A corporate valuation logic based on ESG scores is also established. Finally, the conclusions of this study have significant policy ramifications for the current stage of enterprise development. For enterprises, they need to continuously improve the level of ESG management and formulate management measures in line with the current situation of enterprises according to the heterogeneous differences that exist in the region, so as to improve the ability to cope with the enterprise crisis.","container-title":"Advances in Economics, Management and Political Sciences","DOI":"10.54254/2754-1169/63/20231428","ISSN":"2754-1169, 2754-1177","issue":"1","journalAbbreviation":"AEMPS","page":"231-238","source":"DOI.org (Crossref)","title":"Regional Heterogeneity Analysis of ESG and Corporate Value","volume":"63","author":[{"family":"Chen","given":"Ziyu"},{"family":"Lai","given":"Yulu"},{"family":"Zhou","given":"Yangdi"}],"issued":{"date-parts":[["2023",12,28]]}}}],"schema":"https://github.com/citation-style-language/schema/raw/master/csl-citation.json"} </w:instrText>
      </w:r>
      <w:r w:rsidR="00AD505C" w:rsidRPr="00063811">
        <w:fldChar w:fldCharType="separate"/>
      </w:r>
      <w:r w:rsidR="00F256FD" w:rsidRPr="00063811">
        <w:t>(Chen et al., 2023)</w:t>
      </w:r>
      <w:r w:rsidR="00AD505C" w:rsidRPr="00063811">
        <w:fldChar w:fldCharType="end"/>
      </w:r>
      <w:r w:rsidR="00AD505C" w:rsidRPr="00063811">
        <w:t xml:space="preserve">. </w:t>
      </w:r>
      <w:r w:rsidRPr="00063811">
        <w:t xml:space="preserve">The regulatory environment that enabled greenwashing has also contributed to discrepancies in ESG evaluations, where two separate firms assessing the same company's ESG performance may arrive at divergent ESG scores </w:t>
      </w:r>
      <w:r w:rsidR="00AD505C" w:rsidRPr="00063811">
        <w:fldChar w:fldCharType="begin"/>
      </w:r>
      <w:r w:rsidR="00AD505C" w:rsidRPr="00063811">
        <w:instrText xml:space="preserve"> ADDIN ZOTERO_ITEM CSL_CITATION {"citationID":"gL0J3dtB","properties":{"formattedCitation":"(Berg et al., 2022)","plainCitation":"(Berg et al., 2022)","noteIndex":0},"citationItems":[{"id":702,"uris":["http://zotero.org/users/13148740/items/385L82NJ"],"itemData":{"id":702,"type":"article-journal","abstract":"Abstract\n            This paper investigates the divergence of environmental, social, and governance (ESG) ratings based on data from six prominent ESG rating agencies: Kinder, Lydenberg, and Domini (KLD), Sustainalytics, Moody’s ESG (Vigeo-Eiris), S&amp;P Global (RobecoSAM), Refinitiv (Asset4), and MSCI. We document the rating divergence and map the different methodologies onto a common taxonomy of categories. Using this taxonomy, we decompose the divergence into contributions of scope, measurement, and weight. Measurement contributes 56% of the divergence, scope 38%, and weight 6%. Further analyzing the reasons for measurement divergence, we detect a rater effect where a rater’s overall view of a firm influences the measurement of specific categories. The results call for greater attention to how the data underlying ESG ratings are generated.","container-title":"Review of Finance","DOI":"10.1093/rof/rfac033","ISSN":"1572-3097, 1573-692X","issue":"6","language":"en","license":"https://creativecommons.org/licenses/by/4.0/","page":"1315-1344","source":"DOI.org (Crossref)","title":"Aggregate Confusion: The Divergence of ESG Ratings","title-short":"Aggregate Confusion","volume":"26","author":[{"family":"Berg","given":"Florian"},{"family":"Kölbel","given":"Julian F"},{"family":"Rigobon","given":"Roberto"}],"issued":{"date-parts":[["2022",11,14]]}}}],"schema":"https://github.com/citation-style-language/schema/raw/master/csl-citation.json"} </w:instrText>
      </w:r>
      <w:r w:rsidR="00AD505C" w:rsidRPr="00063811">
        <w:fldChar w:fldCharType="separate"/>
      </w:r>
      <w:r w:rsidR="00AD505C" w:rsidRPr="00063811">
        <w:t>(Berg et al., 2022)</w:t>
      </w:r>
      <w:r w:rsidR="00AD505C" w:rsidRPr="00063811">
        <w:fldChar w:fldCharType="end"/>
      </w:r>
      <w:r w:rsidR="00AD505C" w:rsidRPr="00063811">
        <w:t xml:space="preserve">. </w:t>
      </w:r>
      <w:r w:rsidRPr="00063811">
        <w:t xml:space="preserve">Due to the complex and context-specific nature of ESG factors, rating </w:t>
      </w:r>
      <w:r w:rsidRPr="00063811">
        <w:lastRenderedPageBreak/>
        <w:t>agencies often employ distinct</w:t>
      </w:r>
      <w:r w:rsidR="00F04869" w:rsidRPr="00063811">
        <w:t xml:space="preserve"> interpretations of ESG the</w:t>
      </w:r>
      <w:r w:rsidRPr="00063811">
        <w:t xml:space="preserve"> framework influenced by their social origins and institutional contexts, leading to inconsistent scores </w:t>
      </w:r>
      <w:r w:rsidR="00AD505C" w:rsidRPr="00063811">
        <w:fldChar w:fldCharType="begin"/>
      </w:r>
      <w:r w:rsidR="00AD505C" w:rsidRPr="00063811">
        <w:instrText xml:space="preserve"> ADDIN ZOTERO_ITEM CSL_CITATION {"citationID":"ZB9MPCoK","properties":{"formattedCitation":"(Chatterji et al., 2016)","plainCitation":"(Chatterji et al., 2016)","noteIndex":0},"citationItems":[{"id":687,"uris":["http://zotero.org/users/13148740/items/4XS776X7"],"itemData":{"id":687,"type":"article-journal","abstract":"Research summary\n                : Raters of firms play an important role in assessing domains ranging from sustainability to corporate governance to best places to work. Managers, investors, and scholars increasingly rely on these ratings to make strategic decisions, invest trillions of dollars in capital, and study corporate social responsibility (\n                CSR\n                ), guided by the implicit assumption that the ratings are valid. We document the surprising lack of agreement across social ratings from six well‐established raters. These differences remain even when we adjust for explicit differences in the definition of\n                CSR\n                held by different raters, implying the ratings have low validity. Our results suggest that users of social ratings should exercise caution in interpreting their connection to actual\n                CSR\n                and that raters should conduct regular evaluations of their ratings\n              \n              .\n            \n            \n              \n                Managerial summary\n                : Ratings of corporate social responsibility (\n                CSR\n                ) guide trillions of dollars of investment, but managers, investors, and researchers know little about whether these ratings accurately measure\n                CSR\n                . In practice, there are examples of highly rated firms becoming embroiled in scandals and the same firm receiving sharply different ratings from different rating agencies. We evaluate six of the leading raters and find little overlap in their assessments of\n                CSR\n                . This lack of consensus suggests that social responsibility is challenging to measure reliably and that users of these ratings should be cautious in drawing conclusions about firms based on this data. We encourage the rating agencies to regularly validate their data in an effort to improve the measurement of\n                CSR\n              \n              . Copyright © 2015 John Wiley &amp; Sons, Ltd.","container-title":"Strategic Management Journal","DOI":"10.1002/smj.2407","ISSN":"0143-2095, 1097-0266","issue":"8","journalAbbreviation":"Strategic Management Journal","language":"en","license":"http://onlinelibrary.wiley.com/termsAndConditions#vor","page":"1597-1614","source":"DOI.org (Crossref)","title":"Do ratings of firms converge? Implications for managers, investors and strategy researchers","title-short":"Do ratings of firms converge?","volume":"37","author":[{"family":"Chatterji","given":"Aaron K."},{"family":"Durand","given":"Rodolphe"},{"family":"Levine","given":"David I."},{"family":"Touboul","given":"Samuel"}],"issued":{"date-parts":[["2016",8]]}}}],"schema":"https://github.com/citation-style-language/schema/raw/master/csl-citation.json"} </w:instrText>
      </w:r>
      <w:r w:rsidR="00AD505C" w:rsidRPr="00063811">
        <w:fldChar w:fldCharType="separate"/>
      </w:r>
      <w:r w:rsidR="00AD505C" w:rsidRPr="00063811">
        <w:t>(Chatterji et al., 2016)</w:t>
      </w:r>
      <w:r w:rsidR="00AD505C" w:rsidRPr="00063811">
        <w:fldChar w:fldCharType="end"/>
      </w:r>
      <w:r w:rsidR="00AD505C" w:rsidRPr="00063811">
        <w:t xml:space="preserve">. </w:t>
      </w:r>
      <w:r w:rsidRPr="00063811">
        <w:t>These framework</w:t>
      </w:r>
      <w:r w:rsidR="00F04869" w:rsidRPr="00063811">
        <w:t xml:space="preserve"> implementations</w:t>
      </w:r>
      <w:r w:rsidRPr="00063811">
        <w:t xml:space="preserve"> reflect the agencies' differing interpretations of materiality and contrasting perspectives on the purpose of ESG data</w:t>
      </w:r>
      <w:r w:rsidR="00F04869" w:rsidRPr="00063811">
        <w:t>.</w:t>
      </w:r>
    </w:p>
    <w:p w14:paraId="64E712D5" w14:textId="40988906" w:rsidR="00F70BAC" w:rsidRPr="00063811" w:rsidRDefault="00F70BAC" w:rsidP="006760A7">
      <w:pPr>
        <w:pStyle w:val="Heading2"/>
      </w:pPr>
      <w:bookmarkStart w:id="10" w:name="_Toc193977935"/>
      <w:r w:rsidRPr="00063811">
        <w:t>Theory and ESG</w:t>
      </w:r>
      <w:bookmarkEnd w:id="10"/>
    </w:p>
    <w:p w14:paraId="3008B25D" w14:textId="31D5749A" w:rsidR="00F70BAC" w:rsidRPr="00063811" w:rsidRDefault="00F70BAC" w:rsidP="006760A7">
      <w:pPr>
        <w:pStyle w:val="Heading3"/>
      </w:pPr>
      <w:r w:rsidRPr="00063811">
        <w:t>Signaling Theory</w:t>
      </w:r>
    </w:p>
    <w:p w14:paraId="5F65799F" w14:textId="23D26432" w:rsidR="00CB6235" w:rsidRPr="00063811" w:rsidRDefault="00CB6235" w:rsidP="00F256FD">
      <w:pPr>
        <w:spacing w:line="480" w:lineRule="auto"/>
        <w:ind w:firstLine="720"/>
      </w:pPr>
      <w:r w:rsidRPr="00063811">
        <w:t xml:space="preserve">Signaling theory plays a crucial role in understanding how firms communicate critical information to stakeholders. Rooted in the work of Spence </w:t>
      </w:r>
      <w:r w:rsidR="00145C2E" w:rsidRPr="00063811">
        <w:fldChar w:fldCharType="begin"/>
      </w:r>
      <w:r w:rsidR="00145C2E" w:rsidRPr="00063811">
        <w:instrText xml:space="preserve"> ADDIN ZOTERO_ITEM CSL_CITATION {"citationID":"q4xzTGpj","properties":{"formattedCitation":"(1973, 2002)","plainCitation":"(1973, 2002)","noteIndex":0},"citationItems":[{"id":824,"uris":["http://zotero.org/users/13148740/items/UXG35TYV"],"itemData":{"id":824,"type":"article-journal","container-title":"The Quarterly Journal of Economics","DOI":"10.2307/1882010","ISSN":"00335533","issue":"3","journalAbbreviation":"The Quarterly Journal of Economics","page":"355","source":"DOI.org (Crossref)","title":"Job Market Signaling","volume":"87","author":[{"family":"Spence","given":"Michael"}],"issued":{"date-parts":[["1973",8]]}},"suppress-author":true},{"id":825,"uris":["http://zotero.org/users/13148740/items/FXMTG8R8"],"itemData":{"id":825,"type":"article-journal","container-title":"American Economic Review","DOI":"10.1257/00028280260136200","ISSN":"0002-8282","issue":"3","journalAbbreviation":"American Economic Review","language":"en","page":"434-459","source":"DOI.org (Crossref)","title":"Signaling in Retrospect and the Informational Structure of Markets","volume":"92","author":[{"family":"Spence","given":"Michael"}],"issued":{"date-parts":[["2002",5,1]]}},"suppress-author":true}],"schema":"https://github.com/citation-style-language/schema/raw/master/csl-citation.json"} </w:instrText>
      </w:r>
      <w:r w:rsidR="00145C2E" w:rsidRPr="00063811">
        <w:fldChar w:fldCharType="separate"/>
      </w:r>
      <w:r w:rsidR="00145C2E" w:rsidRPr="00063811">
        <w:t>(1973, 2002)</w:t>
      </w:r>
      <w:r w:rsidR="00145C2E" w:rsidRPr="00063811">
        <w:fldChar w:fldCharType="end"/>
      </w:r>
      <w:r w:rsidRPr="00063811">
        <w:t xml:space="preserve">, this theory posits that organizations signal their quality, reliability, and intentions through observable actions and strategic behaviors. At its core, signaling theory addresses the issue of information asymmetry, where firms (as information holders) possess knowledge that stakeholders (as information receivers) lack </w:t>
      </w:r>
      <w:r w:rsidRPr="00063811">
        <w:fldChar w:fldCharType="begin"/>
      </w:r>
      <w:r w:rsidRPr="00063811">
        <w:instrText xml:space="preserve"> ADDIN ZOTERO_ITEM CSL_CITATION {"citationID":"PfRuz2DG","properties":{"formattedCitation":"(Connelly et al., 2011)","plainCitation":"(Connelly et al., 2011)","noteIndex":0},"citationItems":[{"id":826,"uris":["http://zotero.org/users/13148740/items/ENPCKBRV"],"itemData":{"id":826,"type":"article-journal","abstract":"Signaling theory is useful for describing behavior when two parties (individuals or organizations) have access to different information. Typically, one party, the sender, must choose whether and how to communicate (or signal) that information, and the other party, the receiver, must choose how to interpret the signal. Accordingly, signaling theory holds a prominent position in a variety of management literatures, including strategic management, entrepreneurship, and human resource management. While the use of signaling theory has gained momentum in recent years, its central tenets have become blurred as it has been applied to organizational concerns. The authors, therefore, provide a concise synthesis of the theory and its key concepts, review its use in the management literature, and put forward directions for future research that will encourage scholars to use signaling theory in new ways and to develop more complex formulations and nuanced variations of the theory.","container-title":"Journal of Management","DOI":"10.1177/0149206310388419","ISSN":"0149-2063, 1557-1211","issue":"1","journalAbbreviation":"Journal of Management","language":"en","page":"39-67","source":"DOI.org (Crossref)","title":"Signaling Theory: A Review and Assessment","title-short":"Signaling Theory","volume":"37","author":[{"family":"Connelly","given":"Brian L."},{"family":"Certo","given":"S. Trevis"},{"family":"Ireland","given":"R. Duane"},{"family":"Reutzel","given":"Christopher R."}],"issued":{"date-parts":[["2011",1]]}}}],"schema":"https://github.com/citation-style-language/schema/raw/master/csl-citation.json"} </w:instrText>
      </w:r>
      <w:r w:rsidRPr="00063811">
        <w:fldChar w:fldCharType="separate"/>
      </w:r>
      <w:r w:rsidRPr="00063811">
        <w:t>(Connelly et al., 2011)</w:t>
      </w:r>
      <w:r w:rsidRPr="00063811">
        <w:fldChar w:fldCharType="end"/>
      </w:r>
      <w:r w:rsidRPr="00063811">
        <w:t xml:space="preserve">. By effectively leveraging signals, firms can influence stakeholder perceptions, reduce uncertainty, and enhance trust in their market positioning. Thus, any transactions that occur will be more informed and ideally beneficial to the firm providing the signals </w:t>
      </w:r>
      <w:r w:rsidRPr="00063811">
        <w:fldChar w:fldCharType="begin"/>
      </w:r>
      <w:r w:rsidRPr="00063811">
        <w:instrText xml:space="preserve"> ADDIN ZOTERO_ITEM CSL_CITATION {"citationID":"LqMhNbfu","properties":{"formattedCitation":"(Spence, 2002)","plainCitation":"(Spence, 2002)","noteIndex":0},"citationItems":[{"id":825,"uris":["http://zotero.org/users/13148740/items/FXMTG8R8"],"itemData":{"id":825,"type":"article-journal","container-title":"American Economic Review","DOI":"10.1257/00028280260136200","ISSN":"0002-8282","issue":"3","journalAbbreviation":"American Economic Review","language":"en","page":"434-459","source":"DOI.org (Crossref)","title":"Signaling in Retrospect and the Informational Structure of Markets","volume":"92","author":[{"family":"Spence","given":"Michael"}],"issued":{"date-parts":[["2002",5,1]]}}}],"schema":"https://github.com/citation-style-language/schema/raw/master/csl-citation.json"} </w:instrText>
      </w:r>
      <w:r w:rsidRPr="00063811">
        <w:fldChar w:fldCharType="separate"/>
      </w:r>
      <w:r w:rsidRPr="00063811">
        <w:t>(Spence, 2002)</w:t>
      </w:r>
      <w:r w:rsidRPr="00063811">
        <w:fldChar w:fldCharType="end"/>
      </w:r>
      <w:r w:rsidRPr="00063811">
        <w:t>.</w:t>
      </w:r>
    </w:p>
    <w:p w14:paraId="453EE865" w14:textId="081661F7" w:rsidR="00CA2B15" w:rsidRPr="00063811" w:rsidRDefault="004554F0" w:rsidP="00F256FD">
      <w:pPr>
        <w:spacing w:line="480" w:lineRule="auto"/>
        <w:ind w:firstLine="720"/>
      </w:pPr>
      <w:r w:rsidRPr="00063811">
        <w:t>In the context of ESG, signaling theory has been increasingly applied to understand how and why firms use ESG disclosures to communicate with stakeholders</w:t>
      </w:r>
      <w:r w:rsidR="00F74E08" w:rsidRPr="00063811">
        <w:t xml:space="preserve"> </w:t>
      </w:r>
      <w:r w:rsidR="00F74E08" w:rsidRPr="00063811">
        <w:fldChar w:fldCharType="begin"/>
      </w:r>
      <w:r w:rsidR="00F74E08" w:rsidRPr="00063811">
        <w:instrText xml:space="preserve"> ADDIN ZOTERO_ITEM CSL_CITATION {"citationID":"LpUc3Vxw","properties":{"formattedCitation":"(Mervelskemper &amp; Streit, 2017; Xie et al., 2019)","plainCitation":"(Mervelskemper &amp; Streit, 2017; Xie et al., 2019)","noteIndex":0},"citationItems":[{"id":827,"uris":["http://zotero.org/users/13148740/items/IA2YDNIM"],"itemData":{"id":827,"type":"article-journal","abstract":"Abstract\n            This paper studies the effectiveness of a firm's strategy to report on its ESG activities with regard to the extent and direction in which the firm's ESG performance is valued by capital market investors. It is the first to disentangle the moderating effects of different types of ESG reporting on market valuation of ESG performance and to analyze whether following the current integrated reporting trend is worth the effort. Results indicate that ESG performance is valued more strongly and in the (desired) positive direction when firms publish an ESG report, irrespective of its type (stand‐alone or integrated). Furthermore, integrated reporting is associated with superior outcomes compared with a stand‐alone report for composite ESG and corporate governance performance. Our findings are important for corporate managers, as they help to understand market valuation of ESG performance in dependence on the reporting type and provide guidance for formulating and evaluating the reporting strategy. Copyright © 2016 John Wiley &amp; Sons, Ltd and ERP Environment","container-title":"Business Strategy and the Environment","DOI":"10.1002/bse.1935","ISSN":"0964-4733, 1099-0836","issue":"4","journalAbbreviation":"Bus Strat Env","language":"en","license":"http://onlinelibrary.wiley.com/termsAndConditions#vor","page":"536-549","source":"DOI.org (Crossref)","title":"Enhancing Market Valuation of ESG Performance: Is Integrated Reporting Keeping its Promise?","title-short":"Enhancing Market Valuation of ESG Performance","volume":"26","author":[{"family":"Mervelskemper","given":"Laura"},{"family":"Streit","given":"Daniel"}],"issued":{"date-parts":[["2017",5]]}}},{"id":829,"uris":["http://zotero.org/users/13148740/items/QV8R7ZCK"],"itemData":{"id":829,"type":"article-journal","abstract":"Abstract\n            This study investigated the relationship between corporate efficiency and corporate sustainability to determine whether firms concerned about environmental, social, and governance (ESG) issues can also be efficient and profitable. We applied data envelopment analysis to estimate corporate efficiency and investigated the nonlinear relationship between corporate efficiency and ESG disclosure. Evidence shows that corporate transparency regarding ESG information has a positive association with corporate efficiency at the moderate disclosure level, rather than at the high or low disclosure level. Governance information disclosure has the strongest positive linkage with corporate efficiency, followed by social and environmental information disclosure. Moreover, we explored the relationship between particular ESG activities and corporate financial performance (CFP), including corporate efficiency, return on assets, and market value. We found that most of the ESG activities reveal a nonnegative relationship with CFP. These findings may provide evidence about voluntary corporate social responsibility strategy choices for enhancing corporate sustainability.","container-title":"Business Strategy and the Environment","DOI":"10.1002/bse.2224","ISSN":"0964-4733, 1099-0836","issue":"2","journalAbbreviation":"Bus Strat Env","language":"en","page":"286-300","source":"DOI.org (Crossref)","title":"Do environmental, social, and governance activities improve corporate financial performance?","volume":"28","author":[{"family":"Xie","given":"Jun"},{"family":"Nozawa","given":"Wataru"},{"family":"Yagi","given":"Michiyuki"},{"family":"Fujii","given":"Hidemichi"},{"family":"Managi","given":"Shunsuke"}],"issued":{"date-parts":[["2019",2]]}}}],"schema":"https://github.com/citation-style-language/schema/raw/master/csl-citation.json"} </w:instrText>
      </w:r>
      <w:r w:rsidR="00F74E08" w:rsidRPr="00063811">
        <w:fldChar w:fldCharType="separate"/>
      </w:r>
      <w:r w:rsidR="00F74E08" w:rsidRPr="00063811">
        <w:t>(Mervelskemper &amp; Streit, 2017; Xie et al., 2019)</w:t>
      </w:r>
      <w:r w:rsidR="00F74E08" w:rsidRPr="00063811">
        <w:fldChar w:fldCharType="end"/>
      </w:r>
      <w:r w:rsidRPr="00063811">
        <w:t xml:space="preserve">. </w:t>
      </w:r>
      <w:proofErr w:type="spellStart"/>
      <w:r w:rsidRPr="00063811">
        <w:t>Mervelskemper</w:t>
      </w:r>
      <w:proofErr w:type="spellEnd"/>
      <w:r w:rsidRPr="00063811">
        <w:t xml:space="preserve"> and Streit </w:t>
      </w:r>
      <w:r w:rsidR="00145C2E" w:rsidRPr="00063811">
        <w:fldChar w:fldCharType="begin"/>
      </w:r>
      <w:r w:rsidR="00145C2E" w:rsidRPr="00063811">
        <w:instrText xml:space="preserve"> ADDIN ZOTERO_ITEM CSL_CITATION {"citationID":"4IS8Ljcw","properties":{"formattedCitation":"(2017)","plainCitation":"(2017)","noteIndex":0},"citationItems":[{"id":827,"uris":["http://zotero.org/users/13148740/items/IA2YDNIM"],"itemData":{"id":827,"type":"article-journal","abstract":"Abstract\n            This paper studies the effectiveness of a firm's strategy to report on its ESG activities with regard to the extent and direction in which the firm's ESG performance is valued by capital market investors. It is the first to disentangle the moderating effects of different types of ESG reporting on market valuation of ESG performance and to analyze whether following the current integrated reporting trend is worth the effort. Results indicate that ESG performance is valued more strongly and in the (desired) positive direction when firms publish an ESG report, irrespective of its type (stand‐alone or integrated). Furthermore, integrated reporting is associated with superior outcomes compared with a stand‐alone report for composite ESG and corporate governance performance. Our findings are important for corporate managers, as they help to understand market valuation of ESG performance in dependence on the reporting type and provide guidance for formulating and evaluating the reporting strategy. Copyright © 2016 John Wiley &amp; Sons, Ltd and ERP Environment","container-title":"Business Strategy and the Environment","DOI":"10.1002/bse.1935","ISSN":"0964-4733, 1099-0836","issue":"4","journalAbbreviation":"Bus Strat Env","language":"en","license":"http://onlinelibrary.wiley.com/termsAndConditions#vor","page":"536-549","source":"DOI.org (Crossref)","title":"Enhancing Market Valuation of ESG Performance: Is Integrated Reporting Keeping its Promise?","title-short":"Enhancing Market Valuation of ESG Performance","volume":"26","author":[{"family":"Mervelskemper","given":"Laura"},{"family":"Streit","given":"Daniel"}],"issued":{"date-parts":[["2017",5]]}},"suppress-author":true}],"schema":"https://github.com/citation-style-language/schema/raw/master/csl-citation.json"} </w:instrText>
      </w:r>
      <w:r w:rsidR="00145C2E" w:rsidRPr="00063811">
        <w:fldChar w:fldCharType="separate"/>
      </w:r>
      <w:r w:rsidR="00145C2E" w:rsidRPr="00063811">
        <w:t>(2017)</w:t>
      </w:r>
      <w:r w:rsidR="00145C2E" w:rsidRPr="00063811">
        <w:fldChar w:fldCharType="end"/>
      </w:r>
      <w:r w:rsidRPr="00063811">
        <w:t xml:space="preserve"> find that capital market investors assign greater value to ESG performance when firms integrate financial and ESG disclosures into a single report, resulting in superior market valuation effects. Similarly, Xie et al. </w:t>
      </w:r>
      <w:r w:rsidR="00F74E08" w:rsidRPr="00063811">
        <w:fldChar w:fldCharType="begin"/>
      </w:r>
      <w:r w:rsidR="00F74E08" w:rsidRPr="00063811">
        <w:instrText xml:space="preserve"> ADDIN ZOTERO_ITEM CSL_CITATION {"citationID":"E8x66oDD","properties":{"formattedCitation":"(2019)","plainCitation":"(2019)","noteIndex":0},"citationItems":[{"id":829,"uris":["http://zotero.org/users/13148740/items/QV8R7ZCK"],"itemData":{"id":829,"type":"article-journal","abstract":"Abstract\n            This study investigated the relationship between corporate efficiency and corporate sustainability to determine whether firms concerned about environmental, social, and governance (ESG) issues can also be efficient and profitable. We applied data envelopment analysis to estimate corporate efficiency and investigated the nonlinear relationship between corporate efficiency and ESG disclosure. Evidence shows that corporate transparency regarding ESG information has a positive association with corporate efficiency at the moderate disclosure level, rather than at the high or low disclosure level. Governance information disclosure has the strongest positive linkage with corporate efficiency, followed by social and environmental information disclosure. Moreover, we explored the relationship between particular ESG activities and corporate financial performance (CFP), including corporate efficiency, return on assets, and market value. We found that most of the ESG activities reveal a nonnegative relationship with CFP. These findings may provide evidence about voluntary corporate social responsibility strategy choices for enhancing corporate sustainability.","container-title":"Business Strategy and the Environment","DOI":"10.1002/bse.2224","ISSN":"0964-4733, 1099-0836","issue":"2","journalAbbreviation":"Bus Strat Env","language":"en","page":"286-300","source":"DOI.org (Crossref)","title":"Do environmental, social, and governance activities improve corporate financial performance?","volume":"28","author":[{"family":"Xie","given":"Jun"},{"family":"Nozawa","given":"Wataru"},{"family":"Yagi","given":"Michiyuki"},{"family":"Fujii","given":"Hidemichi"},{"family":"Managi","given":"Shunsuke"}],"issued":{"date-parts":[["2019",2]]}},"suppress-author":true}],"schema":"https://github.com/citation-style-language/schema/raw/master/csl-citation.json"} </w:instrText>
      </w:r>
      <w:r w:rsidR="00F74E08" w:rsidRPr="00063811">
        <w:fldChar w:fldCharType="separate"/>
      </w:r>
      <w:r w:rsidR="00F74E08" w:rsidRPr="00063811">
        <w:t>(2019)</w:t>
      </w:r>
      <w:r w:rsidR="00F74E08" w:rsidRPr="00063811">
        <w:fldChar w:fldCharType="end"/>
      </w:r>
      <w:r w:rsidRPr="00063811">
        <w:t xml:space="preserve"> demonstrate that firms providing a moderate level of ESG disclosure do not suffer adverse market performance. A key tenet of signaling theory is its role in conveying unobservable but materially significant firm attributes to stakeholders </w:t>
      </w:r>
      <w:r w:rsidRPr="00063811">
        <w:fldChar w:fldCharType="begin"/>
      </w:r>
      <w:r w:rsidRPr="00063811">
        <w:instrText xml:space="preserve"> ADDIN ZOTERO_ITEM CSL_CITATION {"citationID":"vYTMWw9I","properties":{"formattedCitation":"(Connelly et al., 2011)","plainCitation":"(Connelly et al., 2011)","noteIndex":0},"citationItems":[{"id":826,"uris":["http://zotero.org/users/13148740/items/ENPCKBRV"],"itemData":{"id":826,"type":"article-journal","abstract":"Signaling theory is useful for describing behavior when two parties (individuals or organizations) have access to different information. Typically, one party, the sender, must choose whether and how to communicate (or signal) that information, and the other party, the receiver, must choose how to interpret the signal. Accordingly, signaling theory holds a prominent position in a variety of management literatures, including strategic management, entrepreneurship, and human resource management. While the use of signaling theory has gained momentum in recent years, its central tenets have become blurred as it has been applied to organizational concerns. The authors, therefore, provide a concise synthesis of the theory and its key concepts, review its use in the management literature, and put forward directions for future research that will encourage scholars to use signaling theory in new ways and to develop more complex formulations and nuanced variations of the theory.","container-title":"Journal of Management","DOI":"10.1177/0149206310388419","ISSN":"0149-2063, 1557-1211","issue":"1","journalAbbreviation":"Journal of Management","language":"en","page":"39-67","source":"DOI.org (Crossref)","title":"Signaling Theory: A Review and Assessment","title-short":"Signaling Theory","volume":"37","author":[{"family":"Connelly","given":"Brian L."},{"family":"Certo","given":"S. Trevis"},{"family":"Ireland","given":"R. Duane"},{"family":"Reutzel","given":"Christopher R."}],"issued":{"date-parts":[["2011",1]]}}}],"schema":"https://github.com/citation-style-language/schema/raw/master/csl-citation.json"} </w:instrText>
      </w:r>
      <w:r w:rsidRPr="00063811">
        <w:fldChar w:fldCharType="separate"/>
      </w:r>
      <w:r w:rsidRPr="00063811">
        <w:t>(Connelly et al., 2011)</w:t>
      </w:r>
      <w:r w:rsidRPr="00063811">
        <w:fldChar w:fldCharType="end"/>
      </w:r>
      <w:r w:rsidRPr="00063811">
        <w:t xml:space="preserve">. However, routine </w:t>
      </w:r>
      <w:r w:rsidRPr="00063811">
        <w:lastRenderedPageBreak/>
        <w:t>disclosures, such as annual ESG reports, may diminish signaling effectiveness if they fail to introduce new, unobservable information</w:t>
      </w:r>
      <w:r w:rsidR="00F74E08" w:rsidRPr="00063811">
        <w:t xml:space="preserve"> </w:t>
      </w:r>
      <w:r w:rsidR="00F74E08" w:rsidRPr="00063811">
        <w:fldChar w:fldCharType="begin"/>
      </w:r>
      <w:r w:rsidR="00F74E08" w:rsidRPr="00063811">
        <w:instrText xml:space="preserve"> ADDIN ZOTERO_ITEM CSL_CITATION {"citationID":"28bEineG","properties":{"formattedCitation":"(Connelly et al., 2011; Xie et al., 2019)","plainCitation":"(Connelly et al., 2011; Xie et al., 2019)","noteIndex":0},"citationItems":[{"id":826,"uris":["http://zotero.org/users/13148740/items/ENPCKBRV"],"itemData":{"id":826,"type":"article-journal","abstract":"Signaling theory is useful for describing behavior when two parties (individuals or organizations) have access to different information. Typically, one party, the sender, must choose whether and how to communicate (or signal) that information, and the other party, the receiver, must choose how to interpret the signal. Accordingly, signaling theory holds a prominent position in a variety of management literatures, including strategic management, entrepreneurship, and human resource management. While the use of signaling theory has gained momentum in recent years, its central tenets have become blurred as it has been applied to organizational concerns. The authors, therefore, provide a concise synthesis of the theory and its key concepts, review its use in the management literature, and put forward directions for future research that will encourage scholars to use signaling theory in new ways and to develop more complex formulations and nuanced variations of the theory.","container-title":"Journal of Management","DOI":"10.1177/0149206310388419","ISSN":"0149-2063, 1557-1211","issue":"1","journalAbbreviation":"Journal of Management","language":"en","page":"39-67","source":"DOI.org (Crossref)","title":"Signaling Theory: A Review and Assessment","title-short":"Signaling Theory","volume":"37","author":[{"family":"Connelly","given":"Brian L."},{"family":"Certo","given":"S. Trevis"},{"family":"Ireland","given":"R. Duane"},{"family":"Reutzel","given":"Christopher R."}],"issued":{"date-parts":[["2011",1]]}}},{"id":829,"uris":["http://zotero.org/users/13148740/items/QV8R7ZCK"],"itemData":{"id":829,"type":"article-journal","abstract":"Abstract\n            This study investigated the relationship between corporate efficiency and corporate sustainability to determine whether firms concerned about environmental, social, and governance (ESG) issues can also be efficient and profitable. We applied data envelopment analysis to estimate corporate efficiency and investigated the nonlinear relationship between corporate efficiency and ESG disclosure. Evidence shows that corporate transparency regarding ESG information has a positive association with corporate efficiency at the moderate disclosure level, rather than at the high or low disclosure level. Governance information disclosure has the strongest positive linkage with corporate efficiency, followed by social and environmental information disclosure. Moreover, we explored the relationship between particular ESG activities and corporate financial performance (CFP), including corporate efficiency, return on assets, and market value. We found that most of the ESG activities reveal a nonnegative relationship with CFP. These findings may provide evidence about voluntary corporate social responsibility strategy choices for enhancing corporate sustainability.","container-title":"Business Strategy and the Environment","DOI":"10.1002/bse.2224","ISSN":"0964-4733, 1099-0836","issue":"2","journalAbbreviation":"Bus Strat Env","language":"en","page":"286-300","source":"DOI.org (Crossref)","title":"Do environmental, social, and governance activities improve corporate financial performance?","volume":"28","author":[{"family":"Xie","given":"Jun"},{"family":"Nozawa","given":"Wataru"},{"family":"Yagi","given":"Michiyuki"},{"family":"Fujii","given":"Hidemichi"},{"family":"Managi","given":"Shunsuke"}],"issued":{"date-parts":[["2019",2]]}}}],"schema":"https://github.com/citation-style-language/schema/raw/master/csl-citation.json"} </w:instrText>
      </w:r>
      <w:r w:rsidR="00F74E08" w:rsidRPr="00063811">
        <w:fldChar w:fldCharType="separate"/>
      </w:r>
      <w:r w:rsidR="00F74E08" w:rsidRPr="00063811">
        <w:t>(Connelly et al., 2011; Xie et al., 2019)</w:t>
      </w:r>
      <w:r w:rsidR="00F74E08" w:rsidRPr="00063811">
        <w:fldChar w:fldCharType="end"/>
      </w:r>
      <w:r w:rsidRPr="00063811">
        <w:t>. Expanding on this notion, research suggests that firms with no prior history of ESG disclosures experience significantly higher market valuations upon their first ESG report, highlighting the importance of both signal novelty and quality</w:t>
      </w:r>
      <w:r w:rsidR="00F74E08" w:rsidRPr="00063811">
        <w:t xml:space="preserve"> </w:t>
      </w:r>
      <w:r w:rsidR="00F74E08" w:rsidRPr="00063811">
        <w:fldChar w:fldCharType="begin"/>
      </w:r>
      <w:r w:rsidR="00F74E08" w:rsidRPr="00063811">
        <w:instrText xml:space="preserve"> ADDIN ZOTERO_ITEM CSL_CITATION {"citationID":"uyn5rn5V","properties":{"formattedCitation":"(K. T. Wang &amp; Li, 2016)","plainCitation":"(K. T. Wang &amp; Li, 2016)","noteIndex":0},"citationItems":[{"id":832,"uris":["http://zotero.org/users/13148740/items/CE5XTPVA"],"itemData":{"id":832,"type":"article-journal","container-title":"Journal of Business Ethics","DOI":"10.1007/s10551-015-2775-1","ISSN":"0167-4544, 1573-0697","issue":"4","journalAbbreviation":"J Bus Ethics","language":"en","page":"661-682","source":"DOI.org (Crossref)","title":"Market Reactions to the First-Time Disclosure of Corporate Social Responsibility Reports: Evidence from China","title-short":"Market Reactions to the First-Time Disclosure of Corporate Social Responsibility Reports","volume":"138","author":[{"family":"Wang","given":"Kun Tracy"},{"family":"Li","given":"Dejia"}],"issued":{"date-parts":[["2016",11]]}}}],"schema":"https://github.com/citation-style-language/schema/raw/master/csl-citation.json"} </w:instrText>
      </w:r>
      <w:r w:rsidR="00F74E08" w:rsidRPr="00063811">
        <w:fldChar w:fldCharType="separate"/>
      </w:r>
      <w:r w:rsidR="00F74E08" w:rsidRPr="00063811">
        <w:t>(K. T. Wang &amp; Li, 2016)</w:t>
      </w:r>
      <w:r w:rsidR="00F74E08" w:rsidRPr="00063811">
        <w:fldChar w:fldCharType="end"/>
      </w:r>
      <w:r w:rsidRPr="00063811">
        <w:t xml:space="preserve">. </w:t>
      </w:r>
    </w:p>
    <w:p w14:paraId="5EA00B09" w14:textId="41BA35D9" w:rsidR="00F70BAC" w:rsidRPr="00063811" w:rsidRDefault="00F70BAC" w:rsidP="006760A7">
      <w:pPr>
        <w:pStyle w:val="Heading3"/>
      </w:pPr>
      <w:r w:rsidRPr="00063811">
        <w:t>Critical Mass Theory</w:t>
      </w:r>
    </w:p>
    <w:p w14:paraId="003A1D59" w14:textId="77777777" w:rsidR="00BC1034" w:rsidRPr="00063811" w:rsidRDefault="00E170F1" w:rsidP="00F256FD">
      <w:pPr>
        <w:spacing w:line="480" w:lineRule="auto"/>
      </w:pPr>
      <w:r w:rsidRPr="00063811">
        <w:tab/>
      </w:r>
      <w:r w:rsidR="00EF1D46" w:rsidRPr="00063811">
        <w:t xml:space="preserve">Critical Mass Theory, originally developed by </w:t>
      </w:r>
      <w:proofErr w:type="spellStart"/>
      <w:r w:rsidR="00EF1D46" w:rsidRPr="00063811">
        <w:t>Granovetter</w:t>
      </w:r>
      <w:proofErr w:type="spellEnd"/>
      <w:r w:rsidR="00EF1D46" w:rsidRPr="00063811">
        <w:t xml:space="preserve"> </w:t>
      </w:r>
      <w:r w:rsidR="00EF1D46" w:rsidRPr="00063811">
        <w:fldChar w:fldCharType="begin"/>
      </w:r>
      <w:r w:rsidR="00EF1D46" w:rsidRPr="00063811">
        <w:instrText xml:space="preserve"> ADDIN ZOTERO_ITEM CSL_CITATION {"citationID":"zGqwvWqE","properties":{"formattedCitation":"(1978)","plainCitation":"(1978)","noteIndex":0},"citationItems":[{"id":833,"uris":["http://zotero.org/users/13148740/items/24RY33LK"],"itemData":{"id":833,"type":"article-journal","abstract":"Models of collective behavior are developed for situations where actors have two alternatives and the costs and/or benefits of each depend on how many other actors choose which alternative. The key concept is that of \"threshold\": the number or proportion of others who must make one decision before a given actor does so; this is the point where net benefits begin to exceed net costs for that particular actor. Beginning with a frequency distribution of thresholds, the models allow calculation of the ultimate or \"equilibrium\" number making each decision. The stability of equilibrium results against various possible changes in threshold distributions is considered. Stress is placed on the importance of exact distributions distributions for outcomes. Groups with similar average preferences may generate very different results; hence it is hazardous to infer individual dispositions from aggregate outcomes or to assume that behavior was directed by ultimately agreed-upon norms. Suggested applications are to riot behavior, innovation and rumor diffusion, strikes, voting, and migration. Issues of measurement, falsification, and verification are discussed.","container-title":"American Journal of Sociology","DOI":"10.1086/226707","ISSN":"0002-9602","issue":"6","note":"publisher: The University of Chicago Press","page":"1420-1443","title":"Threshold Models of Collective Behavior","volume":"83","author":[{"family":"Granovetter","given":"Mark"}],"issued":{"date-parts":[["1978",5,1]]}},"suppress-author":true}],"schema":"https://github.com/citation-style-language/schema/raw/master/csl-citation.json"} </w:instrText>
      </w:r>
      <w:r w:rsidR="00EF1D46" w:rsidRPr="00063811">
        <w:fldChar w:fldCharType="separate"/>
      </w:r>
      <w:r w:rsidR="00EF1D46" w:rsidRPr="00063811">
        <w:t>(1978)</w:t>
      </w:r>
      <w:r w:rsidR="00EF1D46" w:rsidRPr="00063811">
        <w:fldChar w:fldCharType="end"/>
      </w:r>
      <w:r w:rsidR="00EF1D46" w:rsidRPr="00063811">
        <w:t xml:space="preserve"> and Olson </w:t>
      </w:r>
      <w:r w:rsidR="00EF1D46" w:rsidRPr="00063811">
        <w:fldChar w:fldCharType="begin"/>
      </w:r>
      <w:r w:rsidR="00EF1D46" w:rsidRPr="00063811">
        <w:instrText xml:space="preserve"> ADDIN ZOTERO_ITEM CSL_CITATION {"citationID":"YcCZLcts","properties":{"formattedCitation":"(1965)","plainCitation":"(1965)","noteIndex":0},"citationItems":[{"id":835,"uris":["http://zotero.org/users/13148740/items/DVBDCB3U"],"itemData":{"id":835,"type":"book","event-place":"Cambridge, MA","ISBN":"978-0-674-53751-4","publisher":"Harvard University Press","publisher-place":"Cambridge, MA","title":"The Logic of Collective Action: Public Goods and the Theory of Groups","author":[{"family":"Olson","given":"Mancur"}],"issued":{"date-parts":[["1965"]]}},"suppress-author":true}],"schema":"https://github.com/citation-style-language/schema/raw/master/csl-citation.json"} </w:instrText>
      </w:r>
      <w:r w:rsidR="00EF1D46" w:rsidRPr="00063811">
        <w:fldChar w:fldCharType="separate"/>
      </w:r>
      <w:r w:rsidR="00EF1D46" w:rsidRPr="00063811">
        <w:t>(1965)</w:t>
      </w:r>
      <w:r w:rsidR="00EF1D46" w:rsidRPr="00063811">
        <w:fldChar w:fldCharType="end"/>
      </w:r>
      <w:r w:rsidR="00EF1D46" w:rsidRPr="00063811">
        <w:t xml:space="preserve">, asserts that a minimum representation from a group is necessary for these individuals to influence group dynamics and decision-making effectively. </w:t>
      </w:r>
      <w:proofErr w:type="spellStart"/>
      <w:r w:rsidR="00EF1D46" w:rsidRPr="00063811">
        <w:t>Granovetter’s</w:t>
      </w:r>
      <w:proofErr w:type="spellEnd"/>
      <w:r w:rsidR="00EF1D46" w:rsidRPr="00063811">
        <w:t xml:space="preserve"> </w:t>
      </w:r>
      <w:r w:rsidR="00F74E08" w:rsidRPr="00063811">
        <w:fldChar w:fldCharType="begin"/>
      </w:r>
      <w:r w:rsidR="00F74E08" w:rsidRPr="00063811">
        <w:instrText xml:space="preserve"> ADDIN ZOTERO_ITEM CSL_CITATION {"citationID":"qXGgTmLH","properties":{"formattedCitation":"(1978)","plainCitation":"(1978)","noteIndex":0},"citationItems":[{"id":833,"uris":["http://zotero.org/users/13148740/items/24RY33LK"],"itemData":{"id":833,"type":"article-journal","abstract":"Models of collective behavior are developed for situations where actors have two alternatives and the costs and/or benefits of each depend on how many other actors choose which alternative. The key concept is that of \"threshold\": the number or proportion of others who must make one decision before a given actor does so; this is the point where net benefits begin to exceed net costs for that particular actor. Beginning with a frequency distribution of thresholds, the models allow calculation of the ultimate or \"equilibrium\" number making each decision. The stability of equilibrium results against various possible changes in threshold distributions is considered. Stress is placed on the importance of exact distributions distributions for outcomes. Groups with similar average preferences may generate very different results; hence it is hazardous to infer individual dispositions from aggregate outcomes or to assume that behavior was directed by ultimately agreed-upon norms. Suggested applications are to riot behavior, innovation and rumor diffusion, strikes, voting, and migration. Issues of measurement, falsification, and verification are discussed.","container-title":"American Journal of Sociology","DOI":"10.1086/226707","ISSN":"0002-9602","issue":"6","note":"publisher: The University of Chicago Press","page":"1420-1443","title":"Threshold Models of Collective Behavior","volume":"83","author":[{"family":"Granovetter","given":"Mark"}],"issued":{"date-parts":[["1978",5,1]]}},"suppress-author":true}],"schema":"https://github.com/citation-style-language/schema/raw/master/csl-citation.json"} </w:instrText>
      </w:r>
      <w:r w:rsidR="00F74E08" w:rsidRPr="00063811">
        <w:fldChar w:fldCharType="separate"/>
      </w:r>
      <w:r w:rsidR="00F74E08" w:rsidRPr="00063811">
        <w:t>(1978)</w:t>
      </w:r>
      <w:r w:rsidR="00F74E08" w:rsidRPr="00063811">
        <w:fldChar w:fldCharType="end"/>
      </w:r>
      <w:r w:rsidR="00EF1D46" w:rsidRPr="00063811">
        <w:t xml:space="preserve"> threshold model of collective behavior highlights how individuals' participation in collective action depends on the number of others already engaged, which aligns with the notion that minorities within a group may require a critical mass to drive meaningful change. Kanter </w:t>
      </w:r>
      <w:r w:rsidR="00EF1D46" w:rsidRPr="00063811">
        <w:fldChar w:fldCharType="begin"/>
      </w:r>
      <w:r w:rsidR="00EF1D46" w:rsidRPr="00063811">
        <w:instrText xml:space="preserve"> ADDIN ZOTERO_ITEM CSL_CITATION {"citationID":"MSRPhFda","properties":{"formattedCitation":"(1977)","plainCitation":"(1977)","noteIndex":0},"citationItems":[{"id":837,"uris":["http://zotero.org/users/13148740/items/3NWDBBCC"],"itemData":{"id":837,"type":"book","event-place":"New York","ISBN":"978-0-465-04454-2","publisher":"Basic Books","publisher-place":"New York","title":"Men and Women of the Corporation","author":[{"family":"Kanter","given":"Rosabeth Moss"}],"issued":{"date-parts":[["1977"]]}},"suppress-author":true}],"schema":"https://github.com/citation-style-language/schema/raw/master/csl-citation.json"} </w:instrText>
      </w:r>
      <w:r w:rsidR="00EF1D46" w:rsidRPr="00063811">
        <w:fldChar w:fldCharType="separate"/>
      </w:r>
      <w:r w:rsidR="00EF1D46" w:rsidRPr="00063811">
        <w:t>(1977)</w:t>
      </w:r>
      <w:r w:rsidR="00EF1D46" w:rsidRPr="00063811">
        <w:fldChar w:fldCharType="end"/>
      </w:r>
      <w:r w:rsidR="00EF1D46" w:rsidRPr="00063811">
        <w:t xml:space="preserve"> expanded this concept in the corporate context, arguing that when women are significantly underrepresented on boards, they are often seen as tokens with limited influence. She suggested that when a critical mass</w:t>
      </w:r>
      <w:r w:rsidR="00F74E08" w:rsidRPr="00063811">
        <w:t xml:space="preserve"> </w:t>
      </w:r>
      <w:r w:rsidR="00EF1D46" w:rsidRPr="00063811">
        <w:t>typically three or more women</w:t>
      </w:r>
      <w:r w:rsidR="00F74E08" w:rsidRPr="00063811">
        <w:t xml:space="preserve"> </w:t>
      </w:r>
      <w:r w:rsidR="00EF1D46" w:rsidRPr="00063811">
        <w:t xml:space="preserve">is reached can they shift boardroom dynamics and be perceived as individuals rather than representatives of their gender. </w:t>
      </w:r>
    </w:p>
    <w:p w14:paraId="2BCD5112" w14:textId="4734E29F" w:rsidR="00BC1034" w:rsidRPr="00063811" w:rsidRDefault="00F35C94" w:rsidP="00F256FD">
      <w:pPr>
        <w:spacing w:line="480" w:lineRule="auto"/>
        <w:ind w:firstLine="720"/>
      </w:pPr>
      <w:r w:rsidRPr="00063811">
        <w:t xml:space="preserve">Konrad et al. </w:t>
      </w:r>
      <w:r w:rsidRPr="00063811">
        <w:fldChar w:fldCharType="begin"/>
      </w:r>
      <w:r w:rsidRPr="00063811">
        <w:instrText xml:space="preserve"> ADDIN ZOTERO_ITEM CSL_CITATION {"citationID":"xnoMi0Vx","properties":{"formattedCitation":"(2008)","plainCitation":"(2008)","noteIndex":0},"citationItems":[{"id":836,"uris":["http://zotero.org/users/13148740/items/HY5USZWT"],"itemData":{"id":836,"type":"article-journal","container-title":"Organizational Dynamics","DOI":"10.1016/j.orgdyn.2008.02.005","ISSN":"00902616","issue":"2","journalAbbreviation":"Organizational Dynamics","language":"en","license":"https://www.elsevier.com/tdm/userlicense/1.0/","page":"145-164","source":"DOI.org (Crossref)","title":"Critical Mass: The Impact of Three or More Women on Corporate Boards","title-short":"Critical Mass","volume":"37","author":[{"family":"Konrad","given":"Alison M."},{"family":"Kramer","given":"Vicki"},{"family":"Erkut","given":"Sumru"}],"issued":{"date-parts":[["2008",4]]}},"suppress-author":true}],"schema":"https://github.com/citation-style-language/schema/raw/master/csl-citation.json"} </w:instrText>
      </w:r>
      <w:r w:rsidRPr="00063811">
        <w:fldChar w:fldCharType="separate"/>
      </w:r>
      <w:r w:rsidRPr="00063811">
        <w:t>(2008)</w:t>
      </w:r>
      <w:r w:rsidRPr="00063811">
        <w:fldChar w:fldCharType="end"/>
      </w:r>
      <w:r w:rsidRPr="00063811">
        <w:t xml:space="preserve"> empirically supported the concept of critical mass, demonstrating that boards with three or more women exhibited improved governance, decision-making, and overall effectiveness. Their findings suggest that reaching this threshold enables women to contribute more freely, mitigating tokenism and fostering a more inclusive boardroom dynamic. Building on this, </w:t>
      </w:r>
      <w:proofErr w:type="spellStart"/>
      <w:r w:rsidRPr="00063811">
        <w:t>Yarram</w:t>
      </w:r>
      <w:proofErr w:type="spellEnd"/>
      <w:r w:rsidRPr="00063811">
        <w:t xml:space="preserve"> and Adapa </w:t>
      </w:r>
      <w:r w:rsidRPr="00063811">
        <w:fldChar w:fldCharType="begin"/>
      </w:r>
      <w:r w:rsidRPr="00063811">
        <w:instrText xml:space="preserve"> ADDIN ZOTERO_ITEM CSL_CITATION {"citationID":"r9uharpj","properties":{"formattedCitation":"(2021)","plainCitation":"(2021)","noteIndex":0},"citationItems":[{"id":841,"uris":["http://zotero.org/users/13148740/items/AD9SRRC2"],"itemData":{"id":841,"type":"article-journal","container-title":"Journal of Cleaner Production","DOI":"10.1016/j.jclepro.2020.123319","ISSN":"09596526","journalAbbreviation":"Journal of Cleaner Production","language":"en","page":"123319","source":"DOI.org (Crossref)","title":"Board gender diversity and corporate social responsibility: Is there a case for critical mass?","title-short":"Board gender diversity and corporate social responsibility","volume":"278","author":[{"family":"Yarram","given":"Subba Reddy"},{"family":"Adapa","given":"Sujana"}],"issued":{"date-parts":[["2021",1]]}},"suppress-author":true}],"schema":"https://github.com/citation-style-language/schema/raw/master/csl-citation.json"} </w:instrText>
      </w:r>
      <w:r w:rsidRPr="00063811">
        <w:fldChar w:fldCharType="separate"/>
      </w:r>
      <w:r w:rsidRPr="00063811">
        <w:t>(2021)</w:t>
      </w:r>
      <w:r w:rsidRPr="00063811">
        <w:fldChar w:fldCharType="end"/>
      </w:r>
      <w:r w:rsidRPr="00063811">
        <w:t xml:space="preserve"> provided further evidence for both token theory and critical mass theory in their study of ASX 300 companies. Their research indicates that minimal female representation on boards has no significant impact on corporate social responsibility </w:t>
      </w:r>
      <w:r w:rsidRPr="00063811">
        <w:lastRenderedPageBreak/>
        <w:t xml:space="preserve">(CSR), likely due to the challenges of being a lone voice in a male-dominated setting. However, when companies achieve a more balanced gender composition, CSR performance significantly improves. </w:t>
      </w:r>
      <w:proofErr w:type="spellStart"/>
      <w:r w:rsidRPr="00063811">
        <w:t>Yarram</w:t>
      </w:r>
      <w:proofErr w:type="spellEnd"/>
      <w:r w:rsidRPr="00063811">
        <w:t xml:space="preserve"> and Adapa tested thresholds of one, two, and three female directors, finding that boards with three or more women were positively and significantly associated with Total CSR, with an effect size of 5.771 points and a probability value of 0.05.</w:t>
      </w:r>
    </w:p>
    <w:p w14:paraId="3BF0DB8D" w14:textId="77777777" w:rsidR="00AF7A89" w:rsidRPr="00063811" w:rsidRDefault="00AF7A89" w:rsidP="006760A7">
      <w:pPr>
        <w:pStyle w:val="Heading2"/>
      </w:pPr>
      <w:bookmarkStart w:id="11" w:name="_Toc193977936"/>
      <w:r w:rsidRPr="00063811">
        <w:t>European Union ESG Legislation</w:t>
      </w:r>
      <w:bookmarkEnd w:id="11"/>
    </w:p>
    <w:p w14:paraId="4BFD7AE8" w14:textId="597059A5" w:rsidR="00A64BE5" w:rsidRPr="00063811" w:rsidRDefault="00A64BE5" w:rsidP="00F256FD">
      <w:pPr>
        <w:spacing w:line="480" w:lineRule="auto"/>
        <w:ind w:firstLine="720"/>
      </w:pPr>
      <w:r w:rsidRPr="00063811">
        <w:t>The European Union’s efforts to enhance ESG disclosures have progressed through a series of directives aimed at improving transparency and accountability. The first major step was the 2014 Non-Financial Reporting Directive (NFRD), which required large public-interest entities to disclose information on environmental issues, social matters, human rights, anti-corruption practices, and diversity policies</w:t>
      </w:r>
      <w:r w:rsidR="00145C2E" w:rsidRPr="00063811">
        <w:t xml:space="preserve"> </w:t>
      </w:r>
      <w:r w:rsidR="00145C2E" w:rsidRPr="00063811">
        <w:fldChar w:fldCharType="begin"/>
      </w:r>
      <w:r w:rsidR="00145C2E" w:rsidRPr="00063811">
        <w:instrText xml:space="preserve"> ADDIN ZOTERO_ITEM CSL_CITATION {"citationID":"RbZ5T87i","properties":{"formattedCitation":"(Arif et al., 2022; Lombardi et al., 2022; Matuszak &amp; R\\uc0\\u243{}\\uc0\\u380{}a\\uc0\\u324{}ska, 2021)","plainCitation":"(Arif et al., 2022; Lombardi et al., 2022; Matuszak &amp; Różańska, 2021)","noteIndex":0},"citationItems":[{"id":716,"uris":["http://zotero.org/users/13148740/items/HHPJWI4B"],"itemData":{"id":716,"type":"article-journal","abstract":"Purpose\n              Motivated by the enactment of non-financial reporting regulations by the European Parliament, this paper aims to investigate the impact of European Union (EU) directive 2014/95/EU on the quantity of environmental, social and governance (ESG) disclosures by the S&amp;P Europe 350 index firms. This study also investigates whether the implementation of the non-financial information (NFI) reporting regulations influences the association between ESG disclosures and firms’ earnings risk.\n            \n            \n              Design/methodology/approach\n              To measure the impact of mandatory regulations on the quantity of ESG disclosures, this study estimates the average treatment effects using a propensity weighted sample. Then this study uses the difference-in-differences method to estimate the differences in the association between ESG disclosures and earning risk before and after implementation of the EU directive.\n            \n            \n              Findings\n              The results show a significant positive impact of the EU directive on the quantity of ESG disclosures for the sample European public-interest entities, which indicates that the mandatory NFI reporting requirements could boost the availability of increasingly demanded ESG related information. The enhanced association between the ESG disclosures and firms’ earnings risk during the post-directive period reveals that mandating NFI reporting also increases the quality of ESG disclosures.\n            \n            \n              Originality/value\n              Using the legitimacy and decision-usefulness theories, this study provides novel evidence concerning the impact of the EU directive on the quantity and quality of ESG disclosures.","container-title":"Meditari Accountancy Research","DOI":"10.1108/MEDAR-11-2020-1086","ISSN":"2049-372X, 2049-372X","issue":"3","journalAbbreviation":"MEDAR","language":"en","license":"https://www.emerald.com/insight/site-policies","page":"495-523","source":"DOI.org (Crossref)","title":"Regulating non-financial reporting: evidence from European firms’ environmental, social and governance disclosures and earnings risk","title-short":"Regulating non-financial reporting","volume":"30","author":[{"family":"Arif","given":"Muhammad"},{"family":"Gan","given":"Christohper"},{"family":"Nadeem","given":"Muhammad"}],"issued":{"date-parts":[["2022",5,26]]}}},{"id":715,"uris":["http://zotero.org/users/13148740/items/4JNT6SYP"],"itemData":{"id":715,"type":"article-journal","abstract":"Purpose\n              This paper aims to examine the European Union (EU) 95/2014 Directive’s impact on large public companies. It chose Italy as a pivotal country that made non-financial information assurance mandatory, going beyond the EU Directive’s original requirements. Specifically, it investigates how the UE Directive fosters institutionalisation of the non-financial reporting (NFR) process in organisations.\n            \n            \n              Design/methodology/approach\n              Two large public companies in Italy are used as case studies. Data are gathered from annual and integrated reports, institutional websites and semi-structured interviews with the managers and employees involved in different organisational positions. The authors adopted the neo-institutional theory as a theoretical lens to identify the organisations’ response to the (external) institutional pressures influencing corporate reporting practices.\n            \n            \n              Findings\n              The findings demonstrate how the EU Directive fostered changes to large public companies’ reporting practices and external pressures contributed to influencing changes to internal organisational practices in terms of new internal processes, procedures and structures. These changes are motivated by the companies’ need to guarantee reliable information to be produced in their non-financial reports.\n            \n            \n              Practical implications\n              This paper helps academics and policymakers to advance NFR practices by understanding regulatory factors that can foster changes in the internal reporting process and responsibility within organisations.\n            \n            \n              Originality/value\n              The findings provide some empirical insights to foster reflections on the EU Directive’s effectiveness in changing reporting practices. This paper contributes to enriching the literature on institutional theory in shaping mandatory non-financial disclosure by identifying the institutional pressures influencing the effectiveness of regulations to change NFR practices.","container-title":"Meditari Accountancy Research","DOI":"10.1108/MEDAR-06-2019-0507","ISSN":"2049-372X, 2049-372X","issue":"6","journalAbbreviation":"MEDAR","language":"en","license":"https://www.emerald.com/insight/site-policies","page":"1419-1448","source":"DOI.org (Crossref)","title":"The impact of the EU Directive on non-financial information: Novel features of the Italian case","title-short":"The impact of the EU Directive on non-financial information","volume":"30","author":[{"family":"Lombardi","given":"Rosa"},{"family":"Cosentino","given":"Antonietta"},{"family":"Sura","given":"Alessandro"},{"family":"Galeotti","given":"Michele"}],"issued":{"date-parts":[["2022",11,23]]}}},{"id":717,"uris":["http://zotero.org/users/13148740/items/R2AP4FGW"],"itemData":{"id":717,"type":"article-journal","abstract":"Purpose\n              This study aims to investigate the differences in the extent of non-financial disclosure (NFD) across companies listed on the Warsaw Stock Exchange over the period surrounding the implementation of the Directive 2014/95/EU.\n            \n            \n              Design/methodology/approach\n              The sample comprising 134 selected companies. Content analysis and a disclosure index were used to measure the level of NFD. Non-financial reporting practices in the two years before (2015) and one year after (2017) the implementation of the Directive were compared.\n            \n            \n              Findings\n              The results highlight that there is already a high level of compliance with the European Union’s regulation. The extent of the NFD across different thematic aspects in reporting media increased significantly between 2015 and 2017 in particular in human rights and anti-corruption. The Directive had the largest impact on those firms with previously low levels of NFD and led to more homogeneity of NFD across different industries.\n            \n            \n              Originality/value\n              The study contributes to the understanding of the impact of the Directive on the NFD practices by European Union companies. The research has important implications for policymakers because it revealed that mandatory regulations form a crucial instrument in improving the harmonization of NFD. The research suggests that, due to the Directive, stakeholders should be provided with more comprehensive information that they need in their decision-making process.","container-title":"Sustainability Accounting, Management and Policy Journal","DOI":"10.1108/SAMPJ-02-2020-0042","ISSN":"2040-8021, 2040-8021","issue":"5","journalAbbreviation":"SAMPJ","language":"en","license":"https://www.emerald.com/insight/site-policies","page":"1052-1076","source":"DOI.org (Crossref)","title":"Towards 2014/95/EU directive compliance: the case of Poland","title-short":"Towards 2014/95/EU directive compliance","volume":"12","author":[{"family":"Matuszak","given":"Łukasz"},{"family":"Różańska","given":"Ewa"}],"issued":{"date-parts":[["2021",8,26]]}}}],"schema":"https://github.com/citation-style-language/schema/raw/master/csl-citation.json"} </w:instrText>
      </w:r>
      <w:r w:rsidR="00145C2E" w:rsidRPr="00063811">
        <w:fldChar w:fldCharType="separate"/>
      </w:r>
      <w:r w:rsidR="00145C2E" w:rsidRPr="00063811">
        <w:t>(Arif et al., 2022; Lombardi et al., 2022; Matuszak &amp; Różańska, 2021)</w:t>
      </w:r>
      <w:r w:rsidR="00145C2E" w:rsidRPr="00063811">
        <w:fldChar w:fldCharType="end"/>
      </w:r>
      <w:r w:rsidRPr="00063811">
        <w:t xml:space="preserve">. Empirical research shows that this mandate substantially increased the volume of non-financial disclosures, particularly among firms with little to no prior ESG reporting </w:t>
      </w:r>
      <w:r w:rsidR="00145C2E" w:rsidRPr="00063811">
        <w:fldChar w:fldCharType="begin"/>
      </w:r>
      <w:r w:rsidR="00145C2E" w:rsidRPr="00063811">
        <w:instrText xml:space="preserve"> ADDIN ZOTERO_ITEM CSL_CITATION {"citationID":"Shr77prb","properties":{"formattedCitation":"(Aluchna et al., 2023; \\uc0\\u268{}ufar &amp; Belak, 2024; Cuomo et al., 2024)","plainCitation":"(Aluchna et al., 2023; Čufar &amp; Belak, 2024; Cuomo et al., 2024)","noteIndex":0},"citationItems":[{"id":719,"uris":["http://zotero.org/users/13148740/items/MF7NCWIK"],"itemData":{"id":719,"type":"article-journal","abstract":"Purpose\n              Non-financial reporting (NFR) is viewed as a major step towards organisational transparency and accountability. While the number of non-financial reports published every year has been growing exponentially over the last two decades, their quality and effectiveness in managing environmental, social and governance (ESG) performance have been questioned. Addressing these concerns, several jurisdictions, including EU Member States, introduced mandatory NFR regimes. However, the evidence on whether such regulation truly translates into enhanced ESG performance remains scarce. This paper aims to fill this gap in the literature by investigating the impact of the EU’s Directive 2014/95/EU (Non-financial Reporting Directive, NFRD) on the ESG scores of Polish companies.\n            \n            \n              Design/methodology/approach\n              Drawing upon institutional and strategic perspectives on legitimacy theory, the authors test the relationship between the introduction of the NFRD and the ESG scores derived from the Refinitiv database, using a sample of all those companies listed on the Warsaw Stock Exchange whose disclosure allows for measuring ESG performance (yielding 171 firm-year observations from 43 companies).\n            \n            \n              Findings\n              This study’s findings show an improvement of ESG performance following the introduction of the NFRD. The difference-in-differences approach indicates that the improvement is larger for companies that are subject to the legislation when it comes to overall ESG performance, particularly for environmental and social performance. Nonetheless, to the best of the authors’ knowledge, no significant effect is found for performance in the governance dimension.\n            \n            \n              Originality/value\n              This study investigates the role of transnational mandatory reporting regulation in the first years of its enactment. The evidence offers insights into the effects of disclosure legislation in the context of an underdeveloped institutional environment.","container-title":"Meditari Accountancy Research","DOI":"10.1108/MEDAR-12-2021-1530","ISSN":"2049-372X, 2049-372X","issue":"7","journalAbbreviation":"MEDAR","language":"en","license":"https://www.emerald.com/insight/site-policies","page":"1-25","source":"DOI.org (Crossref)","title":"From talk to action: the effects of the non-financial reporting directive on ESG performance","title-short":"From talk to action","volume":"31","author":[{"family":"Aluchna","given":"Maria"},{"family":"Roszkowska-Menkes","given":"Maria"},{"family":"Kamiński","given":"Bogumił"}],"issued":{"date-parts":[["2023",12,18]]}}},{"id":727,"uris":["http://zotero.org/users/13148740/items/E3BQAXUS"],"itemData":{"id":727,"type":"paper-conference","abstract":"In an area where transparency and accountability are two crucial corporate governance factors, the Non-Financial Reporting Directive (NFRD) and the Corporate Sustainability Reporting Directive (CSRD) present key legislative acts to foster these principles. Both directives determine that selected companies must include and publish non-financial information in their annual business reports (such as environmental and social matters, human rights, etc.) alongside financial ones. NFRD and CSRD have been implemented for companies to report more comprehensive information about their operations, informing all interested individuals and groups about the information they need for their decision-making, thereby reducing risk, extending the scope of information, and providing a comprehensive view of the company's management. Both directives determine how companies report on their social and environmental impact and signal a shift towards sustainable CSR business practices. This paper aims to determine the methodology and develop a research model to evaluate the effect of NFRD and CSRD on non-financial information reporting in practice.","container-title":"Challenges in the Turbulent Economic Environment and Organizations’ Sustainable Development","DOI":"10.18690/um.epf.5.2024.18","event-title":"8th FEB International  Scientific Conference","ISBN":"978-961-286-867-3","page":"185-194","publisher":"University of Maribor Press","source":"DOI.org (Crossref)","title":"Beyond Financials: Understanding the Implications of NFRD and CSRD on Non-financial Reporting","title-short":"Beyond Financials","URL":"https://press.um.si/index.php/ump/catalog/book/870","author":[{"family":"Čufar","given":"Matic"},{"family":"Belak","given":"Jernej"}],"accessed":{"date-parts":[["2025",2,22]]},"issued":{"date-parts":[["2024",5,20]]}}},{"id":725,"uris":["http://zotero.org/users/13148740/items/CZKP658J"],"itemData":{"id":725,"type":"article-journal","container-title":"The European Journal of Finance","DOI":"10.1080/1351847X.2022.2113812","ISSN":"1351-847X, 1466-4364","issue":"7","journalAbbreviation":"The European Journal of Finance","language":"en","page":"726-752","source":"DOI.org (Crossref)","title":"The effects of the EU non-financial reporting directive on corporate social responsibility","volume":"30","author":[{"family":"Cuomo","given":"Francesca"},{"family":"Gaia","given":"Silvia"},{"family":"Girardone","given":"Claudia"},{"family":"Piserà","given":"Stefano"}],"issued":{"date-parts":[["2024",5,2]]}}}],"schema":"https://github.com/citation-style-language/schema/raw/master/csl-citation.json"} </w:instrText>
      </w:r>
      <w:r w:rsidR="00145C2E" w:rsidRPr="00063811">
        <w:fldChar w:fldCharType="separate"/>
      </w:r>
      <w:r w:rsidR="00145C2E" w:rsidRPr="00063811">
        <w:t>(Aluchna et al., 2023; Čufar &amp; Belak, 2024; Cuomo et al., 2024)</w:t>
      </w:r>
      <w:r w:rsidR="00145C2E" w:rsidRPr="00063811">
        <w:fldChar w:fldCharType="end"/>
      </w:r>
      <w:r w:rsidRPr="00063811">
        <w:t>. However, the lack of standardized frameworks and the variability of national regulations led to inconsistent compliance across EU member states</w:t>
      </w:r>
      <w:r w:rsidR="00145C2E" w:rsidRPr="00063811">
        <w:t xml:space="preserve"> </w:t>
      </w:r>
      <w:r w:rsidR="00145C2E" w:rsidRPr="00063811">
        <w:fldChar w:fldCharType="begin"/>
      </w:r>
      <w:r w:rsidR="00145C2E" w:rsidRPr="00063811">
        <w:instrText xml:space="preserve"> ADDIN ZOTERO_ITEM CSL_CITATION {"citationID":"9Jq9Ox37","properties":{"formattedCitation":"(Cicchiello et al., 2023; Hao et al., 2023)","plainCitation":"(Cicchiello et al., 2023; Hao et al., 2023)","noteIndex":0},"citationItems":[{"id":79,"uris":["http://zotero.org/users/13148740/items/ZHS8R9S2"],"itemData":{"id":79,"type":"article-journal","abstract":"Abstract\n            The aim of this article is to analyse the effect of non‐financial reporting regulation on firms' Environmental, Social, and Governance (ESG) performance, commitment and effectiveness. Specifically, we explore the implications of the European Non‐Financial Reporting Directive (NFRD) mandating disclosure on non‐financial and diversity information by certain large companies. To identify the effect of the EU disclosure regulation on firms' ESG scores, we performed a differences‐in‐differences estimation using a sample of EU firms as the treated group and a sample of US firms as the control group in the period 2015–2020. Overall, our findings suggest that regulatory efforts to increase the transparency of the social and environmental impacts of firms' activities on society are effective at improving disclosure commitment and effectiveness. Hence, regulation supports the adoption of ESG strategies to the benefit of the whole society. The study provides a fresh comparison between regulating or not the ESG information market, drawing suggestions for future policy.","container-title":"Corporate Social Responsibility and Environmental Management","DOI":"10.1002/csr.2408","ISSN":"1535-3958, 1535-3966","issue":"3","journalAbbreviation":"Corp Soc Responsibility Env","language":"en","page":"1121-1128","source":"DOI.org (Crossref)","title":"Non‐financial disclosure regulation and environmental, social, and governance","title-short":"Non‐financial disclosure regulation and environmental, social, and governance ( &lt;span style=\"font-variant","volume":"30","author":[{"family":"Cicchiello","given":"Antonella Francesca"},{"family":"Marrazza","given":"Ferdinando"},{"family":"Perdichizzi","given":"Salvatore"}],"issued":{"date-parts":[["2023",5]]}}},{"id":731,"uris":["http://zotero.org/users/13148740/items/XFFGQDNX"],"itemData":{"id":731,"type":"article-journal","container-title":"Journal of Accounting and Management Information Systems","DOI":"10.24818/jamis.2023.04002","ISSN":"15834387, 25596004","issue":"4","journalAbbreviation":"JAMIS","source":"DOI.org (Crossref)","title":"Effects on corporate stakeholders and limitations of the implementation of the Non-Financial Reporting Directive (2014/95/EU)","URL":"http://online-cig.ase.ro/jcig/art/22_4_2.pdf","volume":"22","author":[{"family":"Hao","given":"NingShan"},{"family":"Dragomir","given":"Voicu D."},{"family":"Radu","given":"Oana Marina"}],"accessed":{"date-parts":[["2025",2,22]]},"issued":{"date-parts":[["2023",12,30]]}}}],"schema":"https://github.com/citation-style-language/schema/raw/master/csl-citation.json"} </w:instrText>
      </w:r>
      <w:r w:rsidR="00145C2E" w:rsidRPr="00063811">
        <w:fldChar w:fldCharType="separate"/>
      </w:r>
      <w:r w:rsidR="00145C2E" w:rsidRPr="00063811">
        <w:t>(Cicchiello et al., 2023; Hao et al., 2023)</w:t>
      </w:r>
      <w:r w:rsidR="00145C2E" w:rsidRPr="00063811">
        <w:fldChar w:fldCharType="end"/>
      </w:r>
      <w:r w:rsidRPr="00063811">
        <w:t>.</w:t>
      </w:r>
    </w:p>
    <w:p w14:paraId="5660FAC2" w14:textId="1908EB48" w:rsidR="00A64BE5" w:rsidRPr="00063811" w:rsidRDefault="00A64BE5" w:rsidP="00F256FD">
      <w:pPr>
        <w:spacing w:line="480" w:lineRule="auto"/>
        <w:ind w:firstLine="720"/>
      </w:pPr>
      <w:r w:rsidRPr="00063811">
        <w:t xml:space="preserve">To address these inconsistencies, the European Commission introduced the Corporate Sustainability Reporting Directive (CSRD). This directive expands reporting obligations to include small and medium-sized enterprises and prescribes the use of European Sustainability Reporting Standards, thereby seeking to standardize ESG disclosures across the region </w:t>
      </w:r>
      <w:r w:rsidR="00145C2E" w:rsidRPr="00063811">
        <w:fldChar w:fldCharType="begin"/>
      </w:r>
      <w:r w:rsidR="00DB1CC6" w:rsidRPr="00063811">
        <w:instrText xml:space="preserve"> ADDIN ZOTERO_ITEM CSL_CITATION {"citationID":"1OvMoCDJ","properties":{"formattedCitation":"(Celli et al., 2024)","plainCitation":"(Celli et al., 2024)","noteIndex":0},"citationItems":[{"id":733,"uris":["http://zotero.org/users/13148740/items/HKB2VMNE"],"itemData":{"id":733,"type":"article-journal","abstract":"The aim of this paper is to outline the salient points of CSRD (2022/2464/EU Directive) and reflect on its application for smaller enterprises, which typically have fewer resources than their listed counterparts. For these small entities the challenge of sustainability turns out to be more impactful and complex, potentially constituting an &amp;ldquo;information tsunami&amp;rdquo; for which they may find themselves completely unprepared. The theoretical framework underpinning this paper is overload theory. This theory, also linked to the economic and accounting background, is deeply rooted in the international academic literature as a &amp;ldquo;hot topic&amp;rdquo;, which suggests that processes may lead to increased cognitive overload due to excessive information volume. To test our hypothesis about the potentially overwhelming burden of environmental, social and governance (ESG) reporting for small-medium enterprises (SMEs), we decided to observe how Italian ones use and manage the Sustainability Reporting (SR) as a voluntary tool. For this purpose, we carried out an empirical study related to a descriptive statistic based on a sample of 72 innovative Italian SMEs. To apply the utmost scientific rigor to our judgments, in accordance with the extensive literature reviewed, including in the field of accounting, we have based our empirical study on the established methodological technique of Content Analysis.","container-title":"International Journal of Business and Management","DOI":"10.5539/ijbm.v19n4p44","ISSN":"1833-8119, 1833-3850","issue":"4","journalAbbreviation":"IJBM","license":"https://creativecommons.org/licenses/by/4.0","page":"44","source":"DOI.org (Crossref)","title":"Corporate Sustainability Reporting Directive (CSRD) and His Future Application Scenario for Italian SMEs","volume":"19","author":[{"family":"Celli","given":"Massimiliano"},{"family":"Arduini","given":"Simona"},{"family":"Beck","given":"Tommaso"}],"issued":{"date-parts":[["2024",6,7]]}}}],"schema":"https://github.com/citation-style-language/schema/raw/master/csl-citation.json"} </w:instrText>
      </w:r>
      <w:r w:rsidR="00145C2E" w:rsidRPr="00063811">
        <w:fldChar w:fldCharType="separate"/>
      </w:r>
      <w:r w:rsidR="00DB1CC6" w:rsidRPr="00063811">
        <w:t>(Celli et al., 2024)</w:t>
      </w:r>
      <w:r w:rsidR="00145C2E" w:rsidRPr="00063811">
        <w:fldChar w:fldCharType="end"/>
      </w:r>
      <w:r w:rsidRPr="00063811">
        <w:t xml:space="preserve">. Preliminary evidence suggests that the CSRD will improve the comparability and reliability of ESG data </w:t>
      </w:r>
      <w:r w:rsidR="00DB1CC6" w:rsidRPr="00063811">
        <w:fldChar w:fldCharType="begin"/>
      </w:r>
      <w:r w:rsidR="00DB1CC6" w:rsidRPr="00063811">
        <w:instrText xml:space="preserve"> ADDIN ZOTERO_ITEM CSL_CITATION {"citationID":"EPdP6uH9","properties":{"formattedCitation":"(Aluchna et al., 2023; Cicchiello et al., 2023)","plainCitation":"(Aluchna et al., 2023; Cicchiello et al., 2023)","noteIndex":0},"citationItems":[{"id":719,"uris":["http://zotero.org/users/13148740/items/MF7NCWIK"],"itemData":{"id":719,"type":"article-journal","abstract":"Purpose\n              Non-financial reporting (NFR) is viewed as a major step towards organisational transparency and accountability. While the number of non-financial reports published every year has been growing exponentially over the last two decades, their quality and effectiveness in managing environmental, social and governance (ESG) performance have been questioned. Addressing these concerns, several jurisdictions, including EU Member States, introduced mandatory NFR regimes. However, the evidence on whether such regulation truly translates into enhanced ESG performance remains scarce. This paper aims to fill this gap in the literature by investigating the impact of the EU’s Directive 2014/95/EU (Non-financial Reporting Directive, NFRD) on the ESG scores of Polish companies.\n            \n            \n              Design/methodology/approach\n              Drawing upon institutional and strategic perspectives on legitimacy theory, the authors test the relationship between the introduction of the NFRD and the ESG scores derived from the Refinitiv database, using a sample of all those companies listed on the Warsaw Stock Exchange whose disclosure allows for measuring ESG performance (yielding 171 firm-year observations from 43 companies).\n            \n            \n              Findings\n              This study’s findings show an improvement of ESG performance following the introduction of the NFRD. The difference-in-differences approach indicates that the improvement is larger for companies that are subject to the legislation when it comes to overall ESG performance, particularly for environmental and social performance. Nonetheless, to the best of the authors’ knowledge, no significant effect is found for performance in the governance dimension.\n            \n            \n              Originality/value\n              This study investigates the role of transnational mandatory reporting regulation in the first years of its enactment. The evidence offers insights into the effects of disclosure legislation in the context of an underdeveloped institutional environment.","container-title":"Meditari Accountancy Research","DOI":"10.1108/MEDAR-12-2021-1530","ISSN":"2049-372X, 2049-372X","issue":"7","journalAbbreviation":"MEDAR","language":"en","license":"https://www.emerald.com/insight/site-policies","page":"1-25","source":"DOI.org (Crossref)","title":"From talk to action: the effects of the non-financial reporting directive on ESG performance","title-short":"From talk to action","volume":"31","author":[{"family":"Aluchna","given":"Maria"},{"family":"Roszkowska-Menkes","given":"Maria"},{"family":"Kamiński","given":"Bogumił"}],"issued":{"date-parts":[["2023",12,18]]}}},{"id":79,"uris":["http://zotero.org/users/13148740/items/ZHS8R9S2"],"itemData":{"id":79,"type":"article-journal","abstract":"Abstract\n            The aim of this article is to analyse the effect of non‐financial reporting regulation on firms' Environmental, Social, and Governance (ESG) performance, commitment and effectiveness. Specifically, we explore the implications of the European Non‐Financial Reporting Directive (NFRD) mandating disclosure on non‐financial and diversity information by certain large companies. To identify the effect of the EU disclosure regulation on firms' ESG scores, we performed a differences‐in‐differences estimation using a sample of EU firms as the treated group and a sample of US firms as the control group in the period 2015–2020. Overall, our findings suggest that regulatory efforts to increase the transparency of the social and environmental impacts of firms' activities on society are effective at improving disclosure commitment and effectiveness. Hence, regulation supports the adoption of ESG strategies to the benefit of the whole society. The study provides a fresh comparison between regulating or not the ESG information market, drawing suggestions for future policy.","container-title":"Corporate Social Responsibility and Environmental Management","DOI":"10.1002/csr.2408","ISSN":"1535-3958, 1535-3966","issue":"3","journalAbbreviation":"Corp Soc Responsibility Env","language":"en","page":"1121-1128","source":"DOI.org (Crossref)","title":"Non‐financial disclosure regulation and environmental, social, and governance","title-short":"Non‐financial disclosure regulation and environmental, social, and governance ( &lt;span style=\"font-variant","volume":"30","author":[{"family":"Cicchiello","given":"Antonella Francesca"},{"family":"Marrazza","given":"Ferdinando"},{"family":"Perdichizzi","given":"Salvatore"}],"issued":{"date-parts":[["2023",5]]}}}],"schema":"https://github.com/citation-style-language/schema/raw/master/csl-citation.json"} </w:instrText>
      </w:r>
      <w:r w:rsidR="00DB1CC6" w:rsidRPr="00063811">
        <w:fldChar w:fldCharType="separate"/>
      </w:r>
      <w:r w:rsidR="00DB1CC6" w:rsidRPr="00063811">
        <w:t>(Aluchna et al., 2023; Cicchiello et al., 2023)</w:t>
      </w:r>
      <w:r w:rsidR="00DB1CC6" w:rsidRPr="00063811">
        <w:fldChar w:fldCharType="end"/>
      </w:r>
      <w:r w:rsidRPr="00063811">
        <w:t xml:space="preserve">, although there are concerns </w:t>
      </w:r>
      <w:r w:rsidRPr="00063811">
        <w:lastRenderedPageBreak/>
        <w:t>about whether smaller firms have sufficient resources and expertise to comply with the stricter requirements</w:t>
      </w:r>
      <w:r w:rsidR="00DB1CC6" w:rsidRPr="00063811">
        <w:t xml:space="preserve"> </w:t>
      </w:r>
      <w:r w:rsidR="00DB1CC6" w:rsidRPr="00063811">
        <w:fldChar w:fldCharType="begin"/>
      </w:r>
      <w:r w:rsidR="00DB1CC6" w:rsidRPr="00063811">
        <w:instrText xml:space="preserve"> ADDIN ZOTERO_ITEM CSL_CITATION {"citationID":"zuEkJY3m","properties":{"formattedCitation":"(Ferrer et al., 2020; Lee et al., 2024)","plainCitation":"(Ferrer et al., 2020; Lee et al., 2024)","noteIndex":0},"citationItems":[{"id":738,"uris":["http://zotero.org/users/13148740/items/B6E896VS"],"itemData":{"id":738,"type":"article-journal","abstract":"Abstract\n            This study aims to analyze whether the adoption of Directive 2014/95/EU on sustainability disclosure has contributed to more truthful reporting to financial analysts in terms of risks and firms' performance. Financial analysts, as requesters of sustainability reports, are expected to have produced more accurate forecasts as a result of this legal reform. To investigate this, we have examined analysts' earnings per share (EPS) forecasts for 434 companies, 241 of which are classified as low sustainability companies, from 2008 to 2017. To detect a possible increase in EPS forecast accuracy after the enforcement of the directive, we perform an analysis based on panel regression specifications. The results show that EPS forecast accuracy has increased due to the higher levels of both sustainability disclosure and reporting quality after the enforcement of Directive 2014/95/EU.","container-title":"Business Strategy and the Environment","DOI":"10.1002/bse.2549","ISSN":"0964-4733, 1099-0836","issue":"8","journalAbbreviation":"Bus Strat Env","language":"en","page":"2939-2952","source":"DOI.org (Crossref)","title":"Sustainability disclosure and financial analysts' accuracy: The European case","title-short":"Sustainability disclosure and financial analysts' accuracy","volume":"29","author":[{"family":"Ferrer","given":"Elena"},{"family":"López‐Arceiz","given":"Francisco J."},{"family":"Del Rio","given":"Cristina"}],"issued":{"date-parts":[["2020",12]]}}},{"id":737,"uris":["http://zotero.org/users/13148740/items/98D79NR2"],"itemData":{"id":737,"type":"article-journal","abstract":"Abstract\n            We investigate the primary and secondary market reactions of US corporate bonds to the mandatory Environmental, Social, and Governance (ESG) Disclosure Act of 2021 (hereafter, the ESG Disclosure Act). We compare ESG bonds with non‐ESG bonds through a yield spread analysis for the primary market and a bond event study for the secondary market, assessing the impact on a sustainable premium (“sustainium”) following the enactment. Sustainium disappears from the primary market after the ESG Disclosure Act. Abnormal corporate bond returns in the secondary market are negative, and the impact on the sustainium is not economically different from zero. We also find that long‐term corporate bonds are more vulnerable to the ESG Disclosure Act. These findings indicate that investors should assess ESG bonds according to long‐term horizons if the sustainium is expected to persist.","container-title":"Asia-Pacific Journal of Financial Studies","DOI":"10.1111/ajfs.12484","ISSN":"2041-9945, 2041-6156","issue":"5","journalAbbreviation":"Asia-Pac J of Fin Stud","language":"en","page":"596-625","source":"DOI.org (Crossref)","title":"Corporate Bond Market Reaction to the Mandatory ESG Disclosure Act: Is Sustainium Sustainable?*","title-short":"Corporate Bond Market Reaction to the Mandatory ESG Disclosure Act","volume":"53","author":[{"family":"Lee","given":"Jung Hwa"},{"family":"Choi","given":"Daewoung"},{"family":"Choi","given":"Hoyong"},{"family":"Han","given":"Seung Hun"}],"issued":{"date-parts":[["2024",10]]}}}],"schema":"https://github.com/citation-style-language/schema/raw/master/csl-citation.json"} </w:instrText>
      </w:r>
      <w:r w:rsidR="00DB1CC6" w:rsidRPr="00063811">
        <w:fldChar w:fldCharType="separate"/>
      </w:r>
      <w:r w:rsidR="00DB1CC6" w:rsidRPr="00063811">
        <w:t>(Ferrer et al., 2020; Lee et al., 2024)</w:t>
      </w:r>
      <w:r w:rsidR="00DB1CC6" w:rsidRPr="00063811">
        <w:fldChar w:fldCharType="end"/>
      </w:r>
      <w:r w:rsidRPr="00063811">
        <w:t>.</w:t>
      </w:r>
    </w:p>
    <w:p w14:paraId="6180D491" w14:textId="3CE5606B" w:rsidR="00A64BE5" w:rsidRPr="00063811" w:rsidRDefault="00A64BE5" w:rsidP="00F256FD">
      <w:pPr>
        <w:spacing w:line="480" w:lineRule="auto"/>
        <w:ind w:firstLine="720"/>
      </w:pPr>
      <w:r w:rsidRPr="00063811">
        <w:t>Overall, the EU’s transition from the NFRD to the CSRD reflects a broader trend toward more centralized ESG oversight. At the same time, it raises questions about how to balance the desire for comprehensive ESG disclosures with the administrative and financial burdens placed on organizations, particularly those with limited resources</w:t>
      </w:r>
      <w:r w:rsidR="00DB1CC6" w:rsidRPr="00063811">
        <w:t xml:space="preserve"> </w:t>
      </w:r>
      <w:r w:rsidR="00DB1CC6" w:rsidRPr="00063811">
        <w:fldChar w:fldCharType="begin"/>
      </w:r>
      <w:r w:rsidR="00DB1CC6" w:rsidRPr="00063811">
        <w:instrText xml:space="preserve"> ADDIN ZOTERO_ITEM CSL_CITATION {"citationID":"m6PQ60fZ","properties":{"formattedCitation":"(Radu et al., 2023; Venturelli et al., 2022)","plainCitation":"(Radu et al., 2023; Venturelli et al., 2022)","noteIndex":0},"citationItems":[{"id":739,"uris":["http://zotero.org/users/13148740/items/KXNQV54I"],"itemData":{"id":739,"type":"article-journal","abstract":"The relationship between non-financial reporting quality (NFRQ) and various company-level factors has been studied extensively, considering the mandatory requirements applicable under the Non-Financial Reporting Directive 2014/95/EU (NFRD) of the European Union. The purpose of this research is to systematize the results of previous published studies on the relationship between NFRQ and company size, financial performance, corporate governance, market performance, and sustainability performance, under a mandatory regime. Our study contributes to the literature by proposing a taxonomy of company-level factors grouped into five categories. We analyze the post-2017 period, focusing on the application of NFRD in the European Union. By applying systematic inclusion and exclusion criteria to a population of 618 articles from Scopus, we obtain a sample of fifteen articles that are subject to an in-depth analysis of correlation matrices. The systematic review resorts to the vote counting methodology to assess the existence and strength of relationships between the NFRQ and company-level factors, based on correlation coefficients. The summarized results indicate that company size, corporate governance, and sustainability performance are positive factors of NFRQ. Regarding corporate governance, we find that board independence, board size, foreign ownership, gender diversity, corporate governance quality, the existence of a sustainability committee, and sustainability-linked remuneration positively influence NFRQ. Our findings emphasize the need to explicitly consider the role of corporate governance and sustainability performance in improving NFRQ while transitioning to improved corporate sustainability reporting under the new Corporate Sustainability Reporting Directive 2022/2464 (CSRD). Our study has implications for academics who seek to engage in empirical research on various factors with positive or negative influence on sustainability reporting, throughout the transition from the NFRD to the CSRD. Policymakers may find our study useful in addressing specific areas of sustainability reporting that have a negative impact on corporate transparency, while practitioners may obtain valuable information on the challenges of transitioning to sustainability reporting and the implementation of mandatory assurance.","container-title":"Sustainability","DOI":"10.3390/su152316265","ISSN":"2071-1050","issue":"23","journalAbbreviation":"Sustainability","language":"en","license":"https://creativecommons.org/licenses/by/4.0/","page":"16265","source":"DOI.org (Crossref)","title":"Company-Level Factors of Non-Financial Reporting Quality under a Mandatory Regime: A Systematic Review of Empirical Evidence in the European Union","title-short":"Company-Level Factors of Non-Financial Reporting Quality under a Mandatory Regime","volume":"15","author":[{"family":"Radu","given":"Oana Marina"},{"family":"Dragomir","given":"Voicu D."},{"family":"Hao","given":"Ningshan"}],"issued":{"date-parts":[["2023",11,24]]}}},{"id":741,"uris":["http://zotero.org/users/13148740/items/KC4UYN2M"],"itemData":{"id":741,"type":"article-journal","container-title":"Journal of Applied Accounting Research","DOI":"10.1108/JAAR-02-2022-265","ISSN":"0967-5426","issue":"1","journalAbbreviation":"JAAR","language":"en","license":"https://www.emerald.com/insight/site-policies","page":"1-7","source":"DOI.org (Crossref)","title":"Guest editorial Rethinking non-financial reporting in Europe: challenges and opportunities in revising Directive 2014/95/EU","title-short":"Guest editorial Rethinking non-financial reporting in Europe","volume":"23","author":[{"family":"Venturelli","given":"Andrea"},{"family":"Fasan","given":"Marco"},{"family":"Pizzi","given":"Simone"}],"issued":{"date-parts":[["2022",2,1]]}}}],"schema":"https://github.com/citation-style-language/schema/raw/master/csl-citation.json"} </w:instrText>
      </w:r>
      <w:r w:rsidR="00DB1CC6" w:rsidRPr="00063811">
        <w:fldChar w:fldCharType="separate"/>
      </w:r>
      <w:r w:rsidR="00DB1CC6" w:rsidRPr="00063811">
        <w:t>(Radu et al., 2023; Venturelli et al., 2022)</w:t>
      </w:r>
      <w:r w:rsidR="00DB1CC6" w:rsidRPr="00063811">
        <w:fldChar w:fldCharType="end"/>
      </w:r>
      <w:r w:rsidRPr="00063811">
        <w:t>. This tension underscores the ongoing debate about ensuring both robustness and feasibility in ESG reporting standards throughout Europe.</w:t>
      </w:r>
    </w:p>
    <w:p w14:paraId="09E15A35" w14:textId="6F865054" w:rsidR="0045724A" w:rsidRPr="00063811" w:rsidRDefault="004C253E" w:rsidP="006760A7">
      <w:pPr>
        <w:pStyle w:val="Heading2"/>
      </w:pPr>
      <w:bookmarkStart w:id="12" w:name="_Toc193977937"/>
      <w:r w:rsidRPr="00063811">
        <w:t>United States ESG Legislation</w:t>
      </w:r>
      <w:bookmarkEnd w:id="12"/>
    </w:p>
    <w:p w14:paraId="31D074DC" w14:textId="55E39144" w:rsidR="002164D0" w:rsidRPr="00063811" w:rsidRDefault="00CA18E6" w:rsidP="00F256FD">
      <w:pPr>
        <w:spacing w:line="480" w:lineRule="auto"/>
        <w:ind w:firstLine="720"/>
        <w:jc w:val="both"/>
      </w:pPr>
      <w:r w:rsidRPr="00063811">
        <w:t xml:space="preserve">In analyzing the recent history of ESG regulation in the United States, a complex and often contradictory landscape emerges, characterized by significant tensions between federal and state-level initiatives. </w:t>
      </w:r>
    </w:p>
    <w:p w14:paraId="6A71E7F5" w14:textId="249D43C1" w:rsidR="005753DD" w:rsidRPr="00063811" w:rsidRDefault="005753DD" w:rsidP="006760A7">
      <w:pPr>
        <w:pStyle w:val="Heading3"/>
      </w:pPr>
      <w:r w:rsidRPr="00063811">
        <w:t xml:space="preserve">Anti-ESG </w:t>
      </w:r>
      <w:r w:rsidR="00C96098" w:rsidRPr="00063811">
        <w:t>Context</w:t>
      </w:r>
    </w:p>
    <w:p w14:paraId="31C2BA8F" w14:textId="0FABD453" w:rsidR="004C253E" w:rsidRPr="00063811" w:rsidRDefault="004C253E" w:rsidP="00F256FD">
      <w:pPr>
        <w:spacing w:line="480" w:lineRule="auto"/>
        <w:ind w:firstLine="720"/>
      </w:pPr>
      <w:r w:rsidRPr="00063811">
        <w:t xml:space="preserve">Anti-ESG efforts within federal and state congresses perceive ESG integration in financial markets as a threat to the federal and state economies </w:t>
      </w:r>
      <w:r w:rsidR="001F008D" w:rsidRPr="00063811">
        <w:fldChar w:fldCharType="begin"/>
      </w:r>
      <w:r w:rsidR="001F008D" w:rsidRPr="00063811">
        <w:instrText xml:space="preserve"> ADDIN ZOTERO_ITEM CSL_CITATION {"citationID":"7AzlJYN2","properties":{"formattedCitation":"(Jordan et al., 2023)","plainCitation":"(Jordan et al., 2023)","noteIndex":0},"citationItems":[{"id":856,"uris":["http://zotero.org/users/13148740/items/KPTASV2Y"],"itemData":{"id":856,"type":"article-journal","container-title":"U.S. House Committee on the Judiciary","title":"Letter to Michael R. Bloomberg and Mary L. Schapiro regarding potential antitrust violations by GFANZ and NZAM","URL":"https://judiciary.house.gov/sites/evo-subsites/republicans-judiciary.house.gov/files/evo-media-document/2023-07-06-jdj-tm-db-to-bloomberg-schapiro-gfanz.pdf","author":[{"family":"Jordan","given":"J."},{"family":"Massie","given":"T."},{"family":"Bishop","given":"D."}],"issued":{"date-parts":[["2023",7,6]]}}}],"schema":"https://github.com/citation-style-language/schema/raw/master/csl-citation.json"} </w:instrText>
      </w:r>
      <w:r w:rsidR="001F008D" w:rsidRPr="00063811">
        <w:fldChar w:fldCharType="separate"/>
      </w:r>
      <w:r w:rsidR="001F008D" w:rsidRPr="00063811">
        <w:t>(Jordan et al., 2023)</w:t>
      </w:r>
      <w:r w:rsidR="001F008D" w:rsidRPr="00063811">
        <w:fldChar w:fldCharType="end"/>
      </w:r>
      <w:r w:rsidRPr="00063811">
        <w:t>. At face value this seems counter to growing body of research which has examined the impact of ESG on firm financial performance in resource-intensive industries</w:t>
      </w:r>
      <w:r w:rsidR="001F008D" w:rsidRPr="00063811">
        <w:t xml:space="preserve"> </w:t>
      </w:r>
      <w:r w:rsidR="001F008D" w:rsidRPr="00063811">
        <w:fldChar w:fldCharType="begin"/>
      </w:r>
      <w:r w:rsidR="001F008D" w:rsidRPr="00063811">
        <w:instrText xml:space="preserve"> ADDIN ZOTERO_ITEM CSL_CITATION {"citationID":"R40AiZA8","properties":{"unsorted":true,"formattedCitation":"(Naeem et al., 2022; Alvarez-Perez &amp; Fuentes, 2024)","plainCitation":"(Naeem et al., 2022; Alvarez-Perez &amp; Fuentes, 2024)","noteIndex":0},"citationItems":[{"id":844,"uris":["http://zotero.org/users/13148740/items/HYGBWVL9"],"itemData":{"id":844,"type":"article-journal","container-title":"Borsa Istanbul Review","DOI":"10.1016/j.bir.2022.11.014","ISSN":"22148450","journalAbbreviation":"Borsa Istanbul Review","language":"en","page":"S128-S140","source":"DOI.org (Crossref)","title":"Does ESG performance affect the financial performance of environmentally sensitive industries? A comparison between emerging and developed markets","title-short":"Does ESG performance affect the financial performance of environmentally sensitive industries?","volume":"22","author":[{"family":"Naeem","given":"Nasruzzaman"},{"family":"Cankaya","given":"Serkan"},{"family":"Bildik","given":"Recep"}],"issued":{"date-parts":[["2022",12]]}}},{"id":845,"uris":["http://zotero.org/users/13148740/items/R9W8XAKG"],"itemData":{"id":845,"type":"article-journal","abstract":"Purpose\n              This study aims to analyze the relationship between environmental, social and governance (ESG) ratings and corporate bond credit spreads within the oil and gas (O&amp;G) industry. Given the sector’s significant environmental impact and the current energy transition, it is crucial to understand how ESG disclosure affects financial performance, particularly in terms of debt market dynamics. This research aims to provide empirical evidence on whether ESG efforts by O&amp;G companies influence their cost of borrowing.\n            \n            \n              Design/methodology/approach\n              This study employs a quantitative approach using secondary data from Refinitiv for the period 2018–2022. To address potential endogeneity issues, we utilize two-stage-least-squares regressions. The analysis focuses on corporate bond spreads as the dependent variable and ESG as the key independent variable.\n            \n            \n              Findings\n              Our findings indicate a negative association between ESG disclosure and corporate bond spreads. Specifically, companies with higher ESG ratings tend to experience lower credit spreads, suggesting that improved ESG practices may lead to reduced borrowing costs. Additionally, the results show that non-state-owned companies (SOC) benefit more from ESG in terms of financial performance compared to state-owned counterparts.\n            \n            \n              Research limitations/implications\n              The study is limited by its reliance on secondary data from Refinitiv, which may not capture all nuances of ESG practices and financial performance. Additionally, the analysis is confined to the O&amp;G industry, potentially limiting the generalizability of the findings to other sectors. Future research could expand the scope to include other industries and incorporate primary data to provide a more comprehensive understanding of the ESG–financial performance relationship.\n            \n            \n              Practical implications\n              The study’s findings suggest that O&amp;G companies can potentially reduce their borrowing costs by improving their ESG ratings. This insight is valuable for corporate managers and investors, as it highlights the financial benefits of sustainable practices. Additionally, policymakers could use these findings to encourage better ESG disclosure and practices within the industry, ultimately promoting a more sustainable energy sector.\n            \n            \n              Social implications\n              By demonstrating the financial advantages of ESG disclosure, this study underscores the broader social benefits of sustainable business practices. Improved ESG ratings not only contribute to environmental and social well-being but also enhance a company’s financial performance. This dual benefit can motivate more companies to adopt sustainable practices, leading to positive societal impacts such as reduced environmental damage and improved community relations.\n            \n            \n              Originality/value\n              This study contributes to the existing literature by providing empirical evidence on the relationship between ESG ratings and corporate bond credit spreads specifically within the O&amp;G industry. By highlighting the differential impact of ESG disclosure on state-owned versus non-SOC, the research offers unique insights that can inform corporate strategies in the context of sustainability and financial performance.\n            \n          , \n            \n              Propósito\n              \n                Analizar la relación entre las calificaciones-ESG y los diferenciales de bonos corporativos en la industria del petróleo\n                y\n                gas (PyG). Dada la significativa huella ambiental del sector\n                y\n                la transición energética, es crucial comprender cómo la divulgación-ESG afecta el desempeño financiero en términos de dinámicas del mercado de deuda.\n              \n            \n            \n              Diseño/metodología/enfoque\n              Se emplea un enfoque cuantitativo utilizando datos secundarios de Refinitiv para 2018–2022. Para abordar problemas de endogeneidad, utilizamos regresiones en dos-etapas. El análisis se centra en los diferenciales de los bonos corporativos (variable dependiente) y las calificaciones ESG (variable independiente).\n            \n            \n              Resultados\n              Nuestros resultados indican una asociación negativa entre ESG y los diferenciales de de bonos corporativos en la industria PyG. Las empresas con mejores calificaciones ESG tienden a experimentar diferenciales de crédito más bajos, sugiriendo que las prácticas ESG pueden llevar a una reducción en los costos de endeudamiento. Además, los resultados muestran que las empresas no estatales se benefician más de la divulgación ESG en términos de desempeño financiero en comparación con sus contrapartes estatales.\n            \n            \n              Originalidad/valor\n              \n                Se proporciona evidencia empírica sobre la relación entre las calificaciones-ESG y los diferenciales de bonos corporativos. El uso de regresiones en dos etapas para abordar los problemas de endogeneidad añade robustez a los hallazgos. Al resaltar el impacto diferencial de la divulgación-ESG en las empresas estatales versus no estatales, la investigación ofrece perspectivas únicas que pueden informar estrategias corporativas de sostenibilidad\n                y\n                desempeño financiero.","container-title":"Academia Revista Latinoamericana de Administración","DOI":"10.1108/ARLA-07-2024-0135","ISSN":"1012-8255","issue":"4","journalAbbreviation":"ARLA","language":"en","license":"https://www.emerald.com/insight/site-policies","page":"634-653","source":"DOI.org (Crossref)","title":"ESG disclosure and financial performance in debt market: evidence from the oil and gas industry","title-short":"ESG disclosure and financial performance in debt market","volume":"37","author":[{"family":"Alvarez-Perez","given":"Hugo"},{"family":"Fuentes","given":"Rolando"}],"issued":{"date-parts":[["2024",12,3]]}}}],"schema":"https://github.com/citation-style-language/schema/raw/master/csl-citation.json"} </w:instrText>
      </w:r>
      <w:r w:rsidR="001F008D" w:rsidRPr="00063811">
        <w:fldChar w:fldCharType="separate"/>
      </w:r>
      <w:r w:rsidR="001F008D" w:rsidRPr="00063811">
        <w:t>(Naeem et al., 2022; Alvarez-Perez &amp; Fuentes, 2024)</w:t>
      </w:r>
      <w:r w:rsidR="001F008D" w:rsidRPr="00063811">
        <w:fldChar w:fldCharType="end"/>
      </w:r>
      <w:r w:rsidRPr="00063811">
        <w:t xml:space="preserve">. For instance, Alvarez-Perez and Fuentes </w:t>
      </w:r>
      <w:r w:rsidR="001F008D" w:rsidRPr="00063811">
        <w:fldChar w:fldCharType="begin"/>
      </w:r>
      <w:r w:rsidR="001F008D" w:rsidRPr="00063811">
        <w:instrText xml:space="preserve"> ADDIN ZOTERO_ITEM CSL_CITATION {"citationID":"jGzKPhLj","properties":{"formattedCitation":"(2024)","plainCitation":"(2024)","noteIndex":0},"citationItems":[{"id":845,"uris":["http://zotero.org/users/13148740/items/R9W8XAKG"],"itemData":{"id":845,"type":"article-journal","abstract":"Purpose\n              This study aims to analyze the relationship between environmental, social and governance (ESG) ratings and corporate bond credit spreads within the oil and gas (O&amp;G) industry. Given the sector’s significant environmental impact and the current energy transition, it is crucial to understand how ESG disclosure affects financial performance, particularly in terms of debt market dynamics. This research aims to provide empirical evidence on whether ESG efforts by O&amp;G companies influence their cost of borrowing.\n            \n            \n              Design/methodology/approach\n              This study employs a quantitative approach using secondary data from Refinitiv for the period 2018–2022. To address potential endogeneity issues, we utilize two-stage-least-squares regressions. The analysis focuses on corporate bond spreads as the dependent variable and ESG as the key independent variable.\n            \n            \n              Findings\n              Our findings indicate a negative association between ESG disclosure and corporate bond spreads. Specifically, companies with higher ESG ratings tend to experience lower credit spreads, suggesting that improved ESG practices may lead to reduced borrowing costs. Additionally, the results show that non-state-owned companies (SOC) benefit more from ESG in terms of financial performance compared to state-owned counterparts.\n            \n            \n              Research limitations/implications\n              The study is limited by its reliance on secondary data from Refinitiv, which may not capture all nuances of ESG practices and financial performance. Additionally, the analysis is confined to the O&amp;G industry, potentially limiting the generalizability of the findings to other sectors. Future research could expand the scope to include other industries and incorporate primary data to provide a more comprehensive understanding of the ESG–financial performance relationship.\n            \n            \n              Practical implications\n              The study’s findings suggest that O&amp;G companies can potentially reduce their borrowing costs by improving their ESG ratings. This insight is valuable for corporate managers and investors, as it highlights the financial benefits of sustainable practices. Additionally, policymakers could use these findings to encourage better ESG disclosure and practices within the industry, ultimately promoting a more sustainable energy sector.\n            \n            \n              Social implications\n              By demonstrating the financial advantages of ESG disclosure, this study underscores the broader social benefits of sustainable business practices. Improved ESG ratings not only contribute to environmental and social well-being but also enhance a company’s financial performance. This dual benefit can motivate more companies to adopt sustainable practices, leading to positive societal impacts such as reduced environmental damage and improved community relations.\n            \n            \n              Originality/value\n              This study contributes to the existing literature by providing empirical evidence on the relationship between ESG ratings and corporate bond credit spreads specifically within the O&amp;G industry. By highlighting the differential impact of ESG disclosure on state-owned versus non-SOC, the research offers unique insights that can inform corporate strategies in the context of sustainability and financial performance.\n            \n          , \n            \n              Propósito\n              \n                Analizar la relación entre las calificaciones-ESG y los diferenciales de bonos corporativos en la industria del petróleo\n                y\n                gas (PyG). Dada la significativa huella ambiental del sector\n                y\n                la transición energética, es crucial comprender cómo la divulgación-ESG afecta el desempeño financiero en términos de dinámicas del mercado de deuda.\n              \n            \n            \n              Diseño/metodología/enfoque\n              Se emplea un enfoque cuantitativo utilizando datos secundarios de Refinitiv para 2018–2022. Para abordar problemas de endogeneidad, utilizamos regresiones en dos-etapas. El análisis se centra en los diferenciales de los bonos corporativos (variable dependiente) y las calificaciones ESG (variable independiente).\n            \n            \n              Resultados\n              Nuestros resultados indican una asociación negativa entre ESG y los diferenciales de de bonos corporativos en la industria PyG. Las empresas con mejores calificaciones ESG tienden a experimentar diferenciales de crédito más bajos, sugiriendo que las prácticas ESG pueden llevar a una reducción en los costos de endeudamiento. Además, los resultados muestran que las empresas no estatales se benefician más de la divulgación ESG en términos de desempeño financiero en comparación con sus contrapartes estatales.\n            \n            \n              Originalidad/valor\n              \n                Se proporciona evidencia empírica sobre la relación entre las calificaciones-ESG y los diferenciales de bonos corporativos. El uso de regresiones en dos etapas para abordar los problemas de endogeneidad añade robustez a los hallazgos. Al resaltar el impacto diferencial de la divulgación-ESG en las empresas estatales versus no estatales, la investigación ofrece perspectivas únicas que pueden informar estrategias corporativas de sostenibilidad\n                y\n                desempeño financiero.","container-title":"Academia Revista Latinoamericana de Administración","DOI":"10.1108/ARLA-07-2024-0135","ISSN":"1012-8255","issue":"4","journalAbbreviation":"ARLA","language":"en","license":"https://www.emerald.com/insight/site-policies","page":"634-653","source":"DOI.org (Crossref)","title":"ESG disclosure and financial performance in debt market: evidence from the oil and gas industry","title-short":"ESG disclosure and financial performance in debt market","volume":"37","author":[{"family":"Alvarez-Perez","given":"Hugo"},{"family":"Fuentes","given":"Rolando"}],"issued":{"date-parts":[["2024",12,3]]}},"suppress-author":true}],"schema":"https://github.com/citation-style-language/schema/raw/master/csl-citation.json"} </w:instrText>
      </w:r>
      <w:r w:rsidR="001F008D" w:rsidRPr="00063811">
        <w:fldChar w:fldCharType="separate"/>
      </w:r>
      <w:r w:rsidR="001F008D" w:rsidRPr="00063811">
        <w:t>(2024)</w:t>
      </w:r>
      <w:r w:rsidR="001F008D" w:rsidRPr="00063811">
        <w:fldChar w:fldCharType="end"/>
      </w:r>
      <w:r w:rsidRPr="00063811">
        <w:t xml:space="preserve"> found that ESG disclosures by oil and gas firms signal environmental stewardship and regulatory compliance, ultimately reducing the cost of debt by mitigating lenders' concerns over investment risks in the event of an environmental crisis. This finding aligns with earlier work by Naeem et al. </w:t>
      </w:r>
      <w:r w:rsidR="001F008D" w:rsidRPr="00063811">
        <w:fldChar w:fldCharType="begin"/>
      </w:r>
      <w:r w:rsidR="001F008D" w:rsidRPr="00063811">
        <w:instrText xml:space="preserve"> ADDIN ZOTERO_ITEM CSL_CITATION {"citationID":"sTKC6oUx","properties":{"formattedCitation":"(2022)","plainCitation":"(2022)","noteIndex":0},"citationItems":[{"id":844,"uris":["http://zotero.org/users/13148740/items/HYGBWVL9"],"itemData":{"id":844,"type":"article-journal","container-title":"Borsa Istanbul Review","DOI":"10.1016/j.bir.2022.11.014","ISSN":"22148450","journalAbbreviation":"Borsa Istanbul Review","language":"en","page":"S128-S140","source":"DOI.org (Crossref)","title":"Does ESG performance affect the financial performance of environmentally sensitive industries? A comparison between emerging and developed markets","title-short":"Does ESG performance affect the financial performance of environmentally sensitive industries?","volume":"22","author":[{"family":"Naeem","given":"Nasruzzaman"},{"family":"Cankaya","given":"Serkan"},{"family":"Bildik","given":"Recep"}],"issued":{"date-parts":[["2022",12]]}},"suppress-author":true}],"schema":"https://github.com/citation-style-language/schema/raw/master/csl-citation.json"} </w:instrText>
      </w:r>
      <w:r w:rsidR="001F008D" w:rsidRPr="00063811">
        <w:fldChar w:fldCharType="separate"/>
      </w:r>
      <w:r w:rsidR="001F008D" w:rsidRPr="00063811">
        <w:t>(2022)</w:t>
      </w:r>
      <w:r w:rsidR="001F008D" w:rsidRPr="00063811">
        <w:fldChar w:fldCharType="end"/>
      </w:r>
      <w:r w:rsidRPr="00063811">
        <w:t xml:space="preserve">, which demonstrated that environmentally sensitive firms with higher ESG scores tend to be more </w:t>
      </w:r>
      <w:r w:rsidRPr="00063811">
        <w:lastRenderedPageBreak/>
        <w:t>profitable and command higher market valuations. Conversely, firms with poor environmental performance face higher credit spreads</w:t>
      </w:r>
      <w:r w:rsidR="001F008D" w:rsidRPr="00063811">
        <w:t xml:space="preserve"> </w:t>
      </w:r>
      <w:r w:rsidR="001F008D" w:rsidRPr="00063811">
        <w:fldChar w:fldCharType="begin"/>
      </w:r>
      <w:r w:rsidR="001F008D" w:rsidRPr="00063811">
        <w:instrText xml:space="preserve"> ADDIN ZOTERO_ITEM CSL_CITATION {"citationID":"wHS8NgsE","properties":{"formattedCitation":"(Zhang et al., 2022)","plainCitation":"(Zhang et al., 2022)","noteIndex":0},"citationItems":[{"id":849,"uris":["http://zotero.org/users/13148740/items/WHVUJ75Z"],"itemData":{"id":849,"type":"article-journal","container-title":"Economic Analysis and Policy","DOI":"10.1016/j.eap.2022.01.018","ISSN":"03135926","journalAbbreviation":"Economic Analysis and Policy","language":"en","page":"105-121","source":"DOI.org (Crossref)","title":"Is government regulation a push for corporate environmental performance? Evidence from China","title-short":"Is government regulation a push for corporate environmental performance?","volume":"74","author":[{"family":"Zhang","given":"Weike"},{"family":"Luo","given":"Qian"},{"family":"Liu","given":"Shiyuan"}],"issued":{"date-parts":[["2022",6]]}}}],"schema":"https://github.com/citation-style-language/schema/raw/master/csl-citation.json"} </w:instrText>
      </w:r>
      <w:r w:rsidR="001F008D" w:rsidRPr="00063811">
        <w:fldChar w:fldCharType="separate"/>
      </w:r>
      <w:r w:rsidR="001F008D" w:rsidRPr="00063811">
        <w:t>(Zhang et al., 2022)</w:t>
      </w:r>
      <w:r w:rsidR="001F008D" w:rsidRPr="00063811">
        <w:fldChar w:fldCharType="end"/>
      </w:r>
      <w:r w:rsidRPr="00063811">
        <w:t>.</w:t>
      </w:r>
    </w:p>
    <w:p w14:paraId="55163B53" w14:textId="571E7000" w:rsidR="004C253E" w:rsidRPr="00063811" w:rsidRDefault="004C253E" w:rsidP="00F256FD">
      <w:pPr>
        <w:spacing w:line="480" w:lineRule="auto"/>
        <w:ind w:firstLine="720"/>
        <w:rPr>
          <w:b/>
          <w:bCs/>
          <w:i/>
          <w:iCs/>
        </w:rPr>
      </w:pPr>
      <w:r w:rsidRPr="00063811">
        <w:t>Despite these potential long-term financial benefits of ESG integration, anti-ESG legislation continues to proliferate at both federal and state levels. Laws such as Oklahoma's Energy Discrimination Elimination Act</w:t>
      </w:r>
      <w:r w:rsidR="00DB1CC6" w:rsidRPr="00063811">
        <w:t xml:space="preserve"> </w:t>
      </w:r>
      <w:r w:rsidRPr="00063811">
        <w:t>and Utah's Executive Order Review Process Amendments</w:t>
      </w:r>
      <w:r w:rsidR="00EC6BF0" w:rsidRPr="00063811">
        <w:t xml:space="preserve"> a</w:t>
      </w:r>
      <w:r w:rsidRPr="00063811">
        <w:t>re frequently presented as necessary responses to what legislators view as federal overreach and challenges to state autonomy</w:t>
      </w:r>
      <w:r w:rsidR="00EC6BF0" w:rsidRPr="00063811">
        <w:t xml:space="preserve"> </w:t>
      </w:r>
      <w:r w:rsidR="00EC6BF0" w:rsidRPr="00063811">
        <w:fldChar w:fldCharType="begin"/>
      </w:r>
      <w:r w:rsidR="00EC6BF0" w:rsidRPr="00063811">
        <w:instrText xml:space="preserve"> ADDIN ZOTERO_ITEM CSL_CITATION {"citationID":"HiSuCO1Y","properties":{"unsorted":true,"formattedCitation":"(Executive Order Review Process Amendments, 2021; Energy Discrimination Elimination Act of 2022, 2022)","plainCitation":"(Executive Order Review Process Amendments, 2021; Energy Discrimination Elimination Act of 2022, 2022)","noteIndex":0},"citationItems":[{"id":975,"uris":["http://zotero.org/users/13148740/items/MQQV9GLS"],"itemData":{"id":975,"type":"bill","note":"publisher-place: Utah\ncontainer-title: Utah Code Ann. § 63C-4a-204\npublisher: Utah State Legislature","title":"Executive Order Review Process Amendments","URL":"https://legiscan.com/ut/text/hb0415/2021","issued":{"date-parts":[["2021"]]}}},{"id":961,"uris":["http://zotero.org/users/13148740/items/4AJX8IHZ"],"itemData":{"id":961,"type":"bill","note":"publisher-place: Oklahoma\ncontainer-title: H.B. 2034, 2022 Regular Session\npublisher: Oklahoma Legislature","title":"Energy Discrimination Elimination Act of 2022","URL":"https://legiscan.com/ok/text/hb2034/2022","issued":{"date-parts":[["2022"]]}}}],"schema":"https://github.com/citation-style-language/schema/raw/master/csl-citation.json"} </w:instrText>
      </w:r>
      <w:r w:rsidR="00EC6BF0" w:rsidRPr="00063811">
        <w:fldChar w:fldCharType="separate"/>
      </w:r>
      <w:r w:rsidR="00EC6BF0" w:rsidRPr="00063811">
        <w:t>(Executive Order Review Process Amendments, 2021; Energy Discrimination Elimination Act, 2022)</w:t>
      </w:r>
      <w:r w:rsidR="00EC6BF0" w:rsidRPr="00063811">
        <w:fldChar w:fldCharType="end"/>
      </w:r>
      <w:r w:rsidRPr="00063811">
        <w:t xml:space="preserve">. These initiatives reflect a political narrative in which ESG policies are construed as threats to state-controlled economic policies, particularly in resource-dependent regions. The short-term economic incentives behind these legislative actions are evident in research by Tang et al. </w:t>
      </w:r>
      <w:r w:rsidR="00EC6BF0" w:rsidRPr="00063811">
        <w:fldChar w:fldCharType="begin"/>
      </w:r>
      <w:r w:rsidR="00EC6BF0" w:rsidRPr="00063811">
        <w:instrText xml:space="preserve"> ADDIN ZOTERO_ITEM CSL_CITATION {"citationID":"F1FXfQeq","properties":{"formattedCitation":"(2024)","plainCitation":"(2024)","noteIndex":0},"citationItems":[{"id":850,"uris":["http://zotero.org/users/13148740/items/PL6SWIL8"],"itemData":{"id":850,"type":"article-journal","container-title":"Finance Research Letters","DOI":"10.1016/j.frl.2024.105530","ISSN":"15446123","journalAbbreviation":"Finance Research Letters","language":"en","page":"105530","source":"DOI.org (Crossref)","title":"Value creation or political trick? An event study on anti-ESG regulations","title-short":"Value creation or political trick?","volume":"65","author":[{"family":"Tang","given":"Oupin"},{"family":"Shi","given":"Xiaomeng"},{"family":"Jiu","given":"Lili"}],"issued":{"date-parts":[["2024",7]]}},"suppress-author":true}],"schema":"https://github.com/citation-style-language/schema/raw/master/csl-citation.json"} </w:instrText>
      </w:r>
      <w:r w:rsidR="00EC6BF0" w:rsidRPr="00063811">
        <w:fldChar w:fldCharType="separate"/>
      </w:r>
      <w:r w:rsidR="00EC6BF0" w:rsidRPr="00063811">
        <w:t>(2024)</w:t>
      </w:r>
      <w:r w:rsidR="00EC6BF0" w:rsidRPr="00063811">
        <w:fldChar w:fldCharType="end"/>
      </w:r>
      <w:r w:rsidRPr="00063811">
        <w:t>, which found that when state governments passed anti-ESG legislation, environmentally sensitive firms experienced positive abnormal stock returns, with even greater gains for firms with a history of poor environmental performance. This suggests that the deregulatory stance of anti-ESG legislators prioritizes immediate economic gains over the longer-term benefits identified in broader ESG research.</w:t>
      </w:r>
    </w:p>
    <w:p w14:paraId="62AB1159" w14:textId="26062716" w:rsidR="005753DD" w:rsidRPr="00063811" w:rsidRDefault="005753DD" w:rsidP="006760A7">
      <w:pPr>
        <w:pStyle w:val="Heading3"/>
      </w:pPr>
      <w:r w:rsidRPr="00063811">
        <w:t>Anti-ESG Legislation</w:t>
      </w:r>
    </w:p>
    <w:p w14:paraId="7251EE14" w14:textId="2147DA50" w:rsidR="005753DD" w:rsidRPr="00063811" w:rsidRDefault="005753DD" w:rsidP="00F256FD">
      <w:pPr>
        <w:spacing w:line="480" w:lineRule="auto"/>
        <w:ind w:firstLine="720"/>
      </w:pPr>
      <w:r w:rsidRPr="00063811">
        <w:t>State-level anti-ESG legislation has proliferated in response to perceived economic and political threats posed by ESG, with lawmakers implementing various strategies to curtail its influence. Texas emerged as an early leader in this movement with the passage of Senate Bill 1</w:t>
      </w:r>
      <w:r w:rsidR="00EC6BF0" w:rsidRPr="00063811">
        <w:t>3</w:t>
      </w:r>
      <w:r w:rsidRPr="00063811">
        <w:t xml:space="preserve"> </w:t>
      </w:r>
      <w:r w:rsidR="00EC6BF0" w:rsidRPr="00063811">
        <w:fldChar w:fldCharType="begin"/>
      </w:r>
      <w:r w:rsidR="00EC6BF0" w:rsidRPr="00063811">
        <w:instrText xml:space="preserve"> ADDIN ZOTERO_ITEM CSL_CITATION {"citationID":"7ZBtqwq8","properties":{"formattedCitation":"(Texas SB 13, 2021)","plainCitation":"(Texas SB 13, 2021)","noteIndex":0},"citationItems":[{"id":810,"uris":["http://zotero.org/users/13148740/items/GTFUPVFH"],"itemData":{"id":810,"type":"bill","abstract":"Texas SB 13 restricts state investments and contracts with entities that boycott energy companies.","note":"publisher: Texas State Legislature","title":"Texas SB 13","URL":"https://legiscan.com/TX/bill/SB13/2021","author":[{"literal":"Texas Legislature"}],"issued":{"date-parts":[["2021",6,14]]}}}],"schema":"https://github.com/citation-style-language/schema/raw/master/csl-citation.json"} </w:instrText>
      </w:r>
      <w:r w:rsidR="00EC6BF0" w:rsidRPr="00063811">
        <w:fldChar w:fldCharType="separate"/>
      </w:r>
      <w:r w:rsidR="00EC6BF0" w:rsidRPr="00063811">
        <w:t>(Texas SB 13, 2021)</w:t>
      </w:r>
      <w:r w:rsidR="00EC6BF0" w:rsidRPr="00063811">
        <w:fldChar w:fldCharType="end"/>
      </w:r>
      <w:r w:rsidRPr="00063811">
        <w:t>, which mandated a blacklist of financial institutions that boycott the oil, gas, and firearms industries and prohibited state contracts with such entities. This approach reflects a broader effort to insulate key industries from ESG-related financial exclusions.</w:t>
      </w:r>
      <w:r w:rsidR="00EC6BF0" w:rsidRPr="00063811">
        <w:t xml:space="preserve"> </w:t>
      </w:r>
      <w:r w:rsidRPr="00063811">
        <w:rPr>
          <w:i/>
          <w:iCs/>
        </w:rPr>
        <w:t>House Bill 3</w:t>
      </w:r>
      <w:r w:rsidRPr="00063811">
        <w:t xml:space="preserve"> in Florida expanded restrictions further, prohibiting government entities from engaging </w:t>
      </w:r>
      <w:r w:rsidRPr="00063811">
        <w:lastRenderedPageBreak/>
        <w:t>with companies that incorporate ESG factors in decision-making while mandating the use of only pecuniary factors in investment assessments</w:t>
      </w:r>
      <w:r w:rsidR="00EC6BF0" w:rsidRPr="00063811">
        <w:t xml:space="preserve"> </w:t>
      </w:r>
      <w:r w:rsidR="00EC6BF0" w:rsidRPr="00063811">
        <w:fldChar w:fldCharType="begin"/>
      </w:r>
      <w:r w:rsidR="00EC6BF0" w:rsidRPr="00063811">
        <w:instrText xml:space="preserve"> ADDIN ZOTERO_ITEM CSL_CITATION {"citationID":"FUm2wvuV","properties":{"formattedCitation":"(Government and Corporate Activism Act, 2023)","plainCitation":"(Government and Corporate Activism Act, 2023)","noteIndex":0},"citationItems":[{"id":871,"uris":["http://zotero.org/users/13148740/items/UYU9XRDM"],"itemData":{"id":871,"type":"bill","note":"publisher-place: Florida\ncontainer-title: H.B. 003, 2023 Regular Session\npublisher: Florida Legislature","title":"Government and Corporate Activism Act","URL":"https://legiscan.com/fl/text/h0003/2023","issued":{"date-parts":[["2023"]]}}}],"schema":"https://github.com/citation-style-language/schema/raw/master/csl-citation.json"} </w:instrText>
      </w:r>
      <w:r w:rsidR="00EC6BF0" w:rsidRPr="00063811">
        <w:fldChar w:fldCharType="separate"/>
      </w:r>
      <w:r w:rsidR="00EC6BF0" w:rsidRPr="00063811">
        <w:t>(Government and Corporate Activism Act, 2023)</w:t>
      </w:r>
      <w:r w:rsidR="00EC6BF0" w:rsidRPr="00063811">
        <w:fldChar w:fldCharType="end"/>
      </w:r>
      <w:r w:rsidRPr="00063811">
        <w:t xml:space="preserve">. </w:t>
      </w:r>
    </w:p>
    <w:p w14:paraId="4C2766C8" w14:textId="7C52A77F" w:rsidR="005753DD" w:rsidRPr="00063811" w:rsidRDefault="005753DD" w:rsidP="00F256FD">
      <w:pPr>
        <w:spacing w:line="480" w:lineRule="auto"/>
        <w:ind w:firstLine="720"/>
      </w:pPr>
      <w:r w:rsidRPr="00063811">
        <w:t xml:space="preserve">Anti-ESG sentiment has also extended into the insurance sector, as evidenced by Texas' </w:t>
      </w:r>
      <w:r w:rsidRPr="00063811">
        <w:rPr>
          <w:i/>
          <w:iCs/>
        </w:rPr>
        <w:t>Senate Bill 833</w:t>
      </w:r>
      <w:r w:rsidRPr="00063811">
        <w:t xml:space="preserve"> and North Dakota’s </w:t>
      </w:r>
      <w:r w:rsidRPr="00063811">
        <w:rPr>
          <w:i/>
          <w:iCs/>
        </w:rPr>
        <w:t>House Bill 1429</w:t>
      </w:r>
      <w:r w:rsidRPr="00063811">
        <w:t>, which prohibit insurers from adjusting rates or denying coverage based on ESG factors unless they are financially material</w:t>
      </w:r>
      <w:r w:rsidR="0062191F" w:rsidRPr="00063811">
        <w:t xml:space="preserve"> </w:t>
      </w:r>
      <w:r w:rsidR="0062191F" w:rsidRPr="00063811">
        <w:fldChar w:fldCharType="begin"/>
      </w:r>
      <w:r w:rsidR="007663A0" w:rsidRPr="00063811">
        <w:instrText xml:space="preserve"> ADDIN ZOTERO_ITEM CSL_CITATION {"citationID":"xemtk2Se","properties":{"formattedCitation":"(House Bill 1429, 2023; Senate Bill 833, 2023)","plainCitation":"(House Bill 1429, 2023; Senate Bill 833, 2023)","noteIndex":0},"citationItems":[{"id":959,"uris":["http://zotero.org/users/13148740/items/KB5VL6V2"],"itemData":{"id":959,"type":"bill","note":"publisher-place: North Dakota\ncontainer-title: H.B. 1429, 68th Legislative Assembly\npublisher: North Dakota Legislative Assembly","title":"House Bill 1429","URL":"https://legiscan.com/nd/text/hb1429/2023","issued":{"date-parts":[["2023"]]}}},{"id":974,"uris":["http://zotero.org/users/13148740/items/395QE55L"],"itemData":{"id":974,"type":"bill","note":"publisher-place: Texas\ncontainer-title: 88th Legislature, Relating to consideration by insurers of certain prohibited criteria for ratemaking\npublisher: Texas Legislature","title":"Senate Bill 833","URL":"https://legiscan.com/tx/text/sb833/2023","issued":{"date-parts":[["2023"]]}}}],"schema":"https://github.com/citation-style-language/schema/raw/master/csl-citation.json"} </w:instrText>
      </w:r>
      <w:r w:rsidR="0062191F" w:rsidRPr="00063811">
        <w:fldChar w:fldCharType="separate"/>
      </w:r>
      <w:r w:rsidR="007663A0" w:rsidRPr="00063811">
        <w:t>(House Bill 1429, 2023; Senate Bill 833, 2023)</w:t>
      </w:r>
      <w:r w:rsidR="0062191F" w:rsidRPr="00063811">
        <w:fldChar w:fldCharType="end"/>
      </w:r>
      <w:r w:rsidRPr="00063811">
        <w:t>. These legislative efforts underscore the intensifying backlash against ESG investing in conservative-led states, reinforcing an economic paradigm that prioritizes short-term financial returns over long-term ESG risk-adjusted decisions that happen to align with sustainability considerations.</w:t>
      </w:r>
    </w:p>
    <w:p w14:paraId="1F9DA3D5" w14:textId="75C099AF" w:rsidR="00B25777" w:rsidRPr="00063811" w:rsidRDefault="00B25777" w:rsidP="00F256FD">
      <w:pPr>
        <w:spacing w:line="480" w:lineRule="auto"/>
        <w:ind w:firstLine="720"/>
      </w:pPr>
      <w:r w:rsidRPr="00063811">
        <w:t>A recurring theme among these laws is the establishment of a “sole fiduciary” framework that mandates state investment decisions be based exclusively on pecuniary factors. For example, legislation in states such as Arkansas , Indiana , Georgia , and New Hampshire explicitly prohibits the consideration of nonfinancial ESG criteria in pension and public fund management</w:t>
      </w:r>
      <w:r w:rsidR="007663A0" w:rsidRPr="00063811">
        <w:t xml:space="preserve"> </w:t>
      </w:r>
      <w:r w:rsidR="007663A0" w:rsidRPr="00063811">
        <w:fldChar w:fldCharType="begin"/>
      </w:r>
      <w:r w:rsidR="007663A0" w:rsidRPr="00063811">
        <w:instrText xml:space="preserve"> ADDIN ZOTERO_ITEM CSL_CITATION {"citationID":"ezVmsSdj","properties":{"unsorted":true,"formattedCitation":"(House Bill 457, 2023; Pension Investments, 2023; State Government Employee Retirement Protection Act, 2023; Public Retirement Systems Investment Authority Law, 2024)","plainCitation":"(House Bill 457, 2023; Pension Investments, 2023; State Government Employee Retirement Protection Act, 2023; Public Retirement Systems Investment Authority Law, 2024)","noteIndex":0},"citationItems":[{"id":957,"uris":["http://zotero.org/users/13148740/items/R36LHC2W"],"itemData":{"id":957,"type":"bill","note":"publisher-place: New Hampshire\ncontainer-title: H.B. 457, 2023 Regular Session\npublisher: New Hampshire General Court","title":"House Bill 457","URL":"https://legiscan.com/nh/text/hb457/2023","issued":{"date-parts":[["2023"]]}}},{"id":888,"uris":["http://zotero.org/users/13148740/items/6GMN56AA"],"itemData":{"id":888,"type":"bill","note":"publisher-place: Indiana\ncontainer-title: H.B. 1008, 123rd General Assembly, 1st Regular Session\npublisher: Indiana General Assembly","title":"Pension Investments","URL":"https://legiscan.com/in/text/hb1008/2023","issued":{"date-parts":[["2023"]]}}},{"id":860,"uris":["http://zotero.org/users/13148740/items/RIACX9W2"],"itemData":{"id":860,"type":"bill","note":"publisher-place: Arkansas\ncontainer-title: H.B. 1253, 94th General Assembly, Regular Session\npublisher: Arkansas General Assembly","title":"State Government Employee Retirement Protection Act","URL":"https://legiscan.com/ar/text/hb1253/2023","issued":{"date-parts":[["2023"]]}}},{"id":875,"uris":["http://zotero.org/users/13148740/items/KRSEWFHN"],"itemData":{"id":875,"type":"bill","note":"publisher-place: Georgia\ncontainer-title: H.B. 481, 2024 Regular Session\npublisher: Georgia General Assembly","title":"Public Retirement Systems Investment Authority Law","URL":"https://legiscan.com/ga/text/hb481/2023","issued":{"date-parts":[["2024"]]}}}],"schema":"https://github.com/citation-style-language/schema/raw/master/csl-citation.json"} </w:instrText>
      </w:r>
      <w:r w:rsidR="007663A0" w:rsidRPr="00063811">
        <w:fldChar w:fldCharType="separate"/>
      </w:r>
      <w:r w:rsidR="007663A0" w:rsidRPr="00063811">
        <w:t>(House Bill 457, 2023; Pension Investments, 2023; State Government Employee Retirement Protection Act, 2023; Public Retirement Systems Investment Authority Law, 2024)</w:t>
      </w:r>
      <w:r w:rsidR="007663A0" w:rsidRPr="00063811">
        <w:fldChar w:fldCharType="end"/>
      </w:r>
      <w:r w:rsidRPr="00063811">
        <w:t xml:space="preserve">. These bills are premised on the argument that ESG considerations introduce subjective, political, or ideological biases that could undermine the primary fiduciary duty to maximize financial returns for beneficiaries </w:t>
      </w:r>
      <w:r w:rsidR="00C11FEE" w:rsidRPr="00063811">
        <w:fldChar w:fldCharType="begin"/>
      </w:r>
      <w:r w:rsidR="00C11FEE" w:rsidRPr="00063811">
        <w:instrText xml:space="preserve"> ADDIN ZOTERO_ITEM CSL_CITATION {"citationID":"6Ciq0N3K","properties":{"formattedCitation":"(Anti-ESG Act, 2023; Tennessee Investment Act, 2023)","plainCitation":"(Anti-ESG Act, 2023; Tennessee Investment Act, 2023)","noteIndex":0},"citationItems":[{"id":857,"uris":["http://zotero.org/users/13148740/items/D4ILI633"],"itemData":{"id":857,"type":"bill","note":"publisher-place: Alabama\ncontainer-title: S.B. 261, 2023 Regular Session\npublisher: Alabama Legislature","title":"Anti-ESG Act","URL":"https://legiscan.com/al/text/sb261/2023","issued":{"date-parts":[["2023"]]}}},{"id":970,"uris":["http://zotero.org/users/13148740/items/YJRQRQIN"],"itemData":{"id":970,"type":"bill","note":"publisher-place: Tennessee\ncontainer-title: Tenn. Pub. Ch. No. 471\npublisher: Tennessee General Assembly","title":"Tennessee Investment Act","URL":"https://legiscan.com/tn/text/hb1286/id/2817571","issued":{"date-parts":[["2023"]]}}}],"schema":"https://github.com/citation-style-language/schema/raw/master/csl-citation.json"} </w:instrText>
      </w:r>
      <w:r w:rsidR="00C11FEE" w:rsidRPr="00063811">
        <w:fldChar w:fldCharType="separate"/>
      </w:r>
      <w:r w:rsidR="00C11FEE" w:rsidRPr="00063811">
        <w:t>(Anti-ESG Act, 2023; Tennessee Investment Act, 2023)</w:t>
      </w:r>
      <w:r w:rsidR="00C11FEE" w:rsidRPr="00063811">
        <w:fldChar w:fldCharType="end"/>
      </w:r>
      <w:r w:rsidRPr="00063811">
        <w:t>.</w:t>
      </w:r>
    </w:p>
    <w:p w14:paraId="7DA2D866" w14:textId="6CAC8813" w:rsidR="00B25777" w:rsidRPr="00063811" w:rsidRDefault="00B25777" w:rsidP="00F256FD">
      <w:pPr>
        <w:spacing w:line="480" w:lineRule="auto"/>
        <w:ind w:firstLine="720"/>
      </w:pPr>
      <w:r w:rsidRPr="00063811">
        <w:t xml:space="preserve">Another prominent category of anti–ESG legislation targets public contracting practices. Several states have enacted measures requiring that companies contracting with state or local governments certify they do not engage in “economic boycotts” of specific industries such as fossil fuels, firearms, timber, and agriculture. For instance, bills in Alabama, Arkansas, and Utah </w:t>
      </w:r>
      <w:r w:rsidRPr="00063811">
        <w:lastRenderedPageBreak/>
        <w:t>deploy certification mechanisms to ensure that state contracts are awarded only to firms that refrain from boycotting targeted industries</w:t>
      </w:r>
      <w:r w:rsidR="00C11FEE" w:rsidRPr="00063811">
        <w:t xml:space="preserve"> </w:t>
      </w:r>
      <w:r w:rsidR="00C11FEE" w:rsidRPr="00063811">
        <w:fldChar w:fldCharType="begin"/>
      </w:r>
      <w:r w:rsidR="00C11FEE" w:rsidRPr="00063811">
        <w:instrText xml:space="preserve"> ADDIN ZOTERO_ITEM CSL_CITATION {"citationID":"7OTRrsS2","properties":{"formattedCitation":"(Anti-ESG Act, 2023; Prohibition on Public Entities From Contracting With Companies That Boycott Energy, Fossil Fuel, Firearms, and Ammunition Industries Act, 2023; Public Contract Requirements, 2023)","plainCitation":"(Anti-ESG Act, 2023; Prohibition on Public Entities From Contracting With Companies That Boycott Energy, Fossil Fuel, Firearms, and Ammunition Industries Act, 2023; Public Contract Requirements, 2023)","noteIndex":0},"citationItems":[{"id":857,"uris":["http://zotero.org/users/13148740/items/D4ILI633"],"itemData":{"id":857,"type":"bill","note":"publisher-place: Alabama\ncontainer-title: S.B. 261, 2023 Regular Session\npublisher: Alabama Legislature","title":"Anti-ESG Act","URL":"https://legiscan.com/al/text/sb261/2023","issued":{"date-parts":[["2023"]]}}},{"id":863,"uris":["http://zotero.org/users/13148740/items/KWZRYKPS"],"itemData":{"id":863,"type":"bill","note":"publisher-place: Arkansas\ncontainer-title: S.B. 62, 94th General Assembly, Regular Session\npublisher: Arkansas General Assembly","title":"Prohibition on Public Entities From Contracting With Companies That Boycott Energy, Fossil Fuel, Firearms, and Ammunition Industries Act","URL":"https://legiscan.com/ar/text/sb62/2023","issued":{"date-parts":[["2023"]]}}},{"id":979,"uris":["http://zotero.org/users/13148740/items/Q847J8UU"],"itemData":{"id":979,"type":"bill","note":"publisher-place: Utah\ncontainer-title: S.B. 97, 2023 General Session\npublisher: Utah State Legislature","title":"Public Contract Requirements","URL":"https://legiscan.com/ut/text/sb0097/2023","issued":{"date-parts":[["2023"]]}}}],"schema":"https://github.com/citation-style-language/schema/raw/master/csl-citation.json"} </w:instrText>
      </w:r>
      <w:r w:rsidR="00C11FEE" w:rsidRPr="00063811">
        <w:fldChar w:fldCharType="separate"/>
      </w:r>
      <w:r w:rsidR="00C11FEE" w:rsidRPr="00063811">
        <w:t>(Anti-ESG Act, 2023; Prohibition on Public Entities From Contracting With Companies That Boycott Energy, Fossil Fuel, Firearms, and Ammunition Industries Act, 2023; Public Contract Requirements, 2023)</w:t>
      </w:r>
      <w:r w:rsidR="00C11FEE" w:rsidRPr="00063811">
        <w:fldChar w:fldCharType="end"/>
      </w:r>
      <w:r w:rsidRPr="00063811">
        <w:t xml:space="preserve">. This approach is framed as a defense of traditional economic sectors against what is perceived as discriminatory ESG‐based practices </w:t>
      </w:r>
      <w:r w:rsidR="00C11FEE" w:rsidRPr="00063811">
        <w:fldChar w:fldCharType="begin"/>
      </w:r>
      <w:r w:rsidR="00C11FEE" w:rsidRPr="00063811">
        <w:instrText xml:space="preserve"> ADDIN ZOTERO_ITEM CSL_CITATION {"citationID":"yGmZHoF0","properties":{"formattedCitation":"(An Act to Amend the Law Concerning Environmental, Social Justice, or Governance Scores, 2023; Idaho Code, 2023)","plainCitation":"(An Act to Amend the Law Concerning Environmental, Social Justice, or Governance Scores, 2023; Idaho Code, 2023)","noteIndex":0},"citationItems":[{"id":862,"uris":["http://zotero.org/users/13148740/items/AWR5TFLR"],"itemData":{"id":862,"type":"bill","note":"publisher-place: Arkansas\ncontainer-title: H.B. 1845, 94th General Assembly, Regular Session\npublisher: Arkansas General Assembly","title":"An Act to Amend the Law Concerning Environmental, Social Justice, or Governance Scores","URL":"https://legiscan.com/ar/text/hb1845/2023","issued":{"date-parts":[["2023"]]}}},{"id":878,"uris":["http://zotero.org/users/13148740/items/JFAQDS5P"],"itemData":{"id":878,"type":"bill","note":"publisher-place: Idaho\ncontainer-title: H.B. 191, 67th Legislature, 1st Regular Session\npublisher: Idaho Legislature","title":"Idaho Code","URL":"https://legiscan.com/id/text/h0191/2023","issued":{"date-parts":[["2023"]]}}}],"schema":"https://github.com/citation-style-language/schema/raw/master/csl-citation.json"} </w:instrText>
      </w:r>
      <w:r w:rsidR="00C11FEE" w:rsidRPr="00063811">
        <w:fldChar w:fldCharType="separate"/>
      </w:r>
      <w:r w:rsidR="00C11FEE" w:rsidRPr="00063811">
        <w:t>(An Act to Amend the Law Concerning Environmental, Social Justice, or Governance Scores, 2023; Idaho Code, 2023)</w:t>
      </w:r>
      <w:r w:rsidR="00C11FEE" w:rsidRPr="00063811">
        <w:fldChar w:fldCharType="end"/>
      </w:r>
      <w:r w:rsidRPr="00063811">
        <w:t>.</w:t>
      </w:r>
    </w:p>
    <w:p w14:paraId="6B54BFD5" w14:textId="631884F0" w:rsidR="00B25777" w:rsidRPr="00063811" w:rsidRDefault="00B25777" w:rsidP="00F256FD">
      <w:pPr>
        <w:spacing w:line="480" w:lineRule="auto"/>
        <w:ind w:firstLine="720"/>
      </w:pPr>
      <w:r w:rsidRPr="00063811">
        <w:t xml:space="preserve">Legislative actions also extend to the realm of financial services and lending. States such as Tennessee and New Hampshire have introduced statutes that expressly prohibit the use of “social credit scores” or any non–risk-based factors in banking and insurance decisions </w:t>
      </w:r>
      <w:r w:rsidR="00C11FEE" w:rsidRPr="00063811">
        <w:fldChar w:fldCharType="begin"/>
      </w:r>
      <w:r w:rsidR="00C11FEE" w:rsidRPr="00063811">
        <w:instrText xml:space="preserve"> ADDIN ZOTERO_ITEM CSL_CITATION {"citationID":"NtoMdGzC","properties":{"formattedCitation":"(Prohibiting Banks or Businesses From Using Social Credit Scores, 2022; Tennessee Investment Act, 2023)","plainCitation":"(Prohibiting Banks or Businesses From Using Social Credit Scores, 2022; Tennessee Investment Act, 2023)","noteIndex":0},"citationItems":[{"id":956,"uris":["http://zotero.org/users/13148740/items/ZL6N35R2"],"itemData":{"id":956,"type":"bill","note":"publisher-place: New Hampshire\ncontainer-title: H.B. 1469, 2022 Regular Session\npublisher: New Hampshire General Court","title":"Prohibiting Banks or Businesses From Using Social Credit Scores","URL":"https://legiscan.com/nh/text/hb1469/id/2462053","issued":{"date-parts":[["2022"]]}}},{"id":970,"uris":["http://zotero.org/users/13148740/items/YJRQRQIN"],"itemData":{"id":970,"type":"bill","note":"publisher-place: Tennessee\ncontainer-title: Tenn. Pub. Ch. No. 471\npublisher: Tennessee General Assembly","title":"Tennessee Investment Act","URL":"https://legiscan.com/tn/text/hb1286/id/2817571","issued":{"date-parts":[["2023"]]}}}],"schema":"https://github.com/citation-style-language/schema/raw/master/csl-citation.json"} </w:instrText>
      </w:r>
      <w:r w:rsidR="00C11FEE" w:rsidRPr="00063811">
        <w:fldChar w:fldCharType="separate"/>
      </w:r>
      <w:r w:rsidR="00C11FEE" w:rsidRPr="00063811">
        <w:t>(Prohibiting Banks or Businesses From Using Social Credit Scores, 2022; Tennessee Investment Act, 2023)</w:t>
      </w:r>
      <w:r w:rsidR="00C11FEE" w:rsidRPr="00063811">
        <w:fldChar w:fldCharType="end"/>
      </w:r>
      <w:r w:rsidR="00C11FEE" w:rsidRPr="00063811">
        <w:t>.</w:t>
      </w:r>
      <w:r w:rsidRPr="00063811">
        <w:t xml:space="preserve"> These provisions aim to prevent discrimination against customers based on their political, religious, or social attributes and to ensure that financial institutions operate within a strictly quantitative and risk-based framework. Similar measures can be seen in bills that restrict proxy voting practices in public pension funds, thereby ensuring that investment decisions are made exclusively for financial purposes</w:t>
      </w:r>
      <w:r w:rsidR="00C11FEE" w:rsidRPr="00063811">
        <w:t xml:space="preserve"> </w:t>
      </w:r>
      <w:r w:rsidR="00C11FEE" w:rsidRPr="00063811">
        <w:fldChar w:fldCharType="begin"/>
      </w:r>
      <w:r w:rsidR="00C11FEE" w:rsidRPr="00063811">
        <w:instrText xml:space="preserve"> ADDIN ZOTERO_ITEM CSL_CITATION {"citationID":"JqMszmxj","properties":{"formattedCitation":"(House Concurrent Resolution 110, 2023; West Virginia Investment Management Board and Board of Treasury Investments Shareholder Voting Requirements Act, 2023)","plainCitation":"(House Concurrent Resolution 110, 2023; West Virginia Investment Management Board and Board of Treasury Investments Shareholder Voting Requirements Act, 2023)","noteIndex":0},"citationItems":[{"id":892,"uris":["http://zotero.org/users/13148740/items/E4Q845WR"],"itemData":{"id":892,"type":"bill","note":"publisher-place: Louisiana\ncontainer-title: H.C.R. 110, 2023 Regular Session\npublisher: Louisiana Legislature","title":"House Concurrent Resolution 110","URL":"https://legiscan.com/la/text/hcr110/id/2812806","issued":{"date-parts":[["2023"]]}}},{"id":982,"uris":["http://zotero.org/users/13148740/items/U39J9HSF"],"itemData":{"id":982,"type":"bill","note":"publisher-place: West Virginia\ncontainer-title: W. Va. Code §§ 12-6-11a, 12-6C-13\npublisher: West Virginia Legislature","title":"West Virginia Investment Management Board and Board of Treasury Investments Shareholder Voting Requirements Act","URL":"https://legiscan.com/wv/text/hb2862/2023","issued":{"date-parts":[["2023"]]}}}],"schema":"https://github.com/citation-style-language/schema/raw/master/csl-citation.json"} </w:instrText>
      </w:r>
      <w:r w:rsidR="00C11FEE" w:rsidRPr="00063811">
        <w:fldChar w:fldCharType="separate"/>
      </w:r>
      <w:r w:rsidR="00C11FEE" w:rsidRPr="00063811">
        <w:t>(House Concurrent Resolution 110, 2023; West Virginia Investment Management Board and Board of Treasury Investments Shareholder Voting Requirements Act, 2023)</w:t>
      </w:r>
      <w:r w:rsidR="00C11FEE" w:rsidRPr="00063811">
        <w:fldChar w:fldCharType="end"/>
      </w:r>
      <w:r w:rsidRPr="00063811">
        <w:t>.</w:t>
      </w:r>
    </w:p>
    <w:p w14:paraId="2D50351B" w14:textId="56F948D2" w:rsidR="00B25777" w:rsidRPr="00063811" w:rsidRDefault="00B25777" w:rsidP="00F256FD">
      <w:pPr>
        <w:spacing w:line="480" w:lineRule="auto"/>
        <w:ind w:firstLine="720"/>
      </w:pPr>
      <w:r w:rsidRPr="00063811">
        <w:t xml:space="preserve">A further point of convergence is the broader political framing of these measures. Anti–ESG legislation is frequently presented as a necessary response to what legislators view as overreach by federal agencies and a challenge to state autonomy. Laws such as Oklahoma’s Energy Discrimination Elimination Act and Utah’s Executive Order Review Process Amendments underscore the intent to curtail federal mandates that incorporate ESG criteria into </w:t>
      </w:r>
      <w:r w:rsidRPr="00063811">
        <w:lastRenderedPageBreak/>
        <w:t>public investment and regulatory practices</w:t>
      </w:r>
      <w:r w:rsidR="00C11FEE" w:rsidRPr="00063811">
        <w:t xml:space="preserve"> </w:t>
      </w:r>
      <w:r w:rsidR="00C11FEE" w:rsidRPr="00063811">
        <w:fldChar w:fldCharType="begin"/>
      </w:r>
      <w:r w:rsidR="00C11FEE" w:rsidRPr="00063811">
        <w:instrText xml:space="preserve"> ADDIN ZOTERO_ITEM CSL_CITATION {"citationID":"72tEEHAN","properties":{"unsorted":true,"formattedCitation":"(Executive Order Review Process Amendments, 2021; Energy Discrimination Elimination Act of 2022, 2022)","plainCitation":"(Executive Order Review Process Amendments, 2021; Energy Discrimination Elimination Act of 2022, 2022)","noteIndex":0},"citationItems":[{"id":975,"uris":["http://zotero.org/users/13148740/items/MQQV9GLS"],"itemData":{"id":975,"type":"bill","note":"publisher-place: Utah\ncontainer-title: Utah Code Ann. § 63C-4a-204\npublisher: Utah State Legislature","title":"Executive Order Review Process Amendments","URL":"https://legiscan.com/ut/text/hb0415/2021","issued":{"date-parts":[["2021"]]}}},{"id":961,"uris":["http://zotero.org/users/13148740/items/4AJX8IHZ"],"itemData":{"id":961,"type":"bill","note":"publisher-place: Oklahoma\ncontainer-title: H.B. 2034, 2022 Regular Session\npublisher: Oklahoma Legislature","title":"Energy Discrimination Elimination Act of 2022","URL":"https://legiscan.com/ok/text/hb2034/2022","issued":{"date-parts":[["2022"]]}}}],"schema":"https://github.com/citation-style-language/schema/raw/master/csl-citation.json"} </w:instrText>
      </w:r>
      <w:r w:rsidR="00C11FEE" w:rsidRPr="00063811">
        <w:fldChar w:fldCharType="separate"/>
      </w:r>
      <w:r w:rsidR="00C11FEE" w:rsidRPr="00063811">
        <w:t>(Executive Order Review Process Amendments, 2021; Energy Discrimination Elimination Act of 2022, 2022)</w:t>
      </w:r>
      <w:r w:rsidR="00C11FEE" w:rsidRPr="00063811">
        <w:fldChar w:fldCharType="end"/>
      </w:r>
      <w:r w:rsidR="00C11FEE" w:rsidRPr="00063811">
        <w:t xml:space="preserve"> </w:t>
      </w:r>
      <w:r w:rsidRPr="00063811">
        <w:t>. These initiatives reflect a political narrative in which ESG policies are construed as threats to state-controlled economic policies, particularly in resource-dependent regions.</w:t>
      </w:r>
    </w:p>
    <w:p w14:paraId="0C0AD5A8" w14:textId="77777777" w:rsidR="004C253E" w:rsidRPr="00063811" w:rsidRDefault="004C253E" w:rsidP="006760A7">
      <w:pPr>
        <w:pStyle w:val="Heading3"/>
      </w:pPr>
      <w:r w:rsidRPr="00063811">
        <w:t>Structural Problems with Anti-ESG Legislation</w:t>
      </w:r>
    </w:p>
    <w:p w14:paraId="30EFBFB2" w14:textId="6FC3A88C" w:rsidR="004C253E" w:rsidRPr="00063811" w:rsidRDefault="004C253E" w:rsidP="00F256FD">
      <w:pPr>
        <w:spacing w:line="480" w:lineRule="auto"/>
        <w:ind w:firstLine="720"/>
      </w:pPr>
      <w:r w:rsidRPr="00063811">
        <w:t xml:space="preserve">A particularly concerning aspect of </w:t>
      </w:r>
      <w:r w:rsidR="00ED1939" w:rsidRPr="00063811">
        <w:t>some</w:t>
      </w:r>
      <w:r w:rsidRPr="00063811">
        <w:t xml:space="preserve"> laws involves the transfer of proxy voting authority from pension fund trustees to elected officials. This contradicts empirical evidence suggesting that participant/beneficiary trustees typically outperform politicians in governance roles. Studies by Hess </w:t>
      </w:r>
      <w:r w:rsidR="00ED1939" w:rsidRPr="00063811">
        <w:fldChar w:fldCharType="begin"/>
      </w:r>
      <w:r w:rsidR="00ED1939" w:rsidRPr="00063811">
        <w:instrText xml:space="preserve"> ADDIN ZOTERO_ITEM CSL_CITATION {"citationID":"NILsVJ4b","properties":{"formattedCitation":"(2016)","plainCitation":"(2016)","noteIndex":0},"citationItems":[{"id":49,"uris":["http://zotero.org/users/13148740/items/N9GCT48B"],"itemData":{"id":49,"type":"article-journal","container-title":"Energy Research &amp; Social Science","DOI":"10.1016/j.erss.2015.08.007","ISSN":"22146296","journalAbbreviation":"Energy Research &amp; Social Science","language":"en","page":"19-28","source":"DOI.org (Crossref)","title":"Red states, green laws: Ideology and renewable energy legislation in the United States","title-short":"Red states, green laws","volume":"11","author":[{"family":"Hess","given":"David J."},{"family":"Mai","given":"Quan D."},{"family":"Brown","given":"Kate Pride"}],"issued":{"date-parts":[["2016",1]]}},"suppress-author":true}],"schema":"https://github.com/citation-style-language/schema/raw/master/csl-citation.json"} </w:instrText>
      </w:r>
      <w:r w:rsidR="00ED1939" w:rsidRPr="00063811">
        <w:fldChar w:fldCharType="separate"/>
      </w:r>
      <w:r w:rsidR="00ED1939" w:rsidRPr="00063811">
        <w:t>(2016)</w:t>
      </w:r>
      <w:r w:rsidR="00ED1939" w:rsidRPr="00063811">
        <w:fldChar w:fldCharType="end"/>
      </w:r>
      <w:r w:rsidRPr="00063811">
        <w:t xml:space="preserve"> and Romano </w:t>
      </w:r>
      <w:r w:rsidR="00E977E0" w:rsidRPr="00063811">
        <w:fldChar w:fldCharType="begin"/>
      </w:r>
      <w:r w:rsidR="00E977E0" w:rsidRPr="00063811">
        <w:instrText xml:space="preserve"> ADDIN ZOTERO_ITEM CSL_CITATION {"citationID":"oROOQMSn","properties":{"formattedCitation":"(1993)","plainCitation":"(1993)","noteIndex":0},"citationItems":[{"id":855,"uris":["http://zotero.org/users/13148740/items/CNNCWH66"],"itemData":{"id":855,"type":"article-journal","abstract":"This article by Roberta Romano critically examines the role of public pension funds in corporate governance. It explores the effects of shareholder activism by institutional investors and questions whether such activism effectively enhances corporate performance or merely introduces political considerations into investment decisions.","container-title":"Columbia Law Review","journalAbbreviation":"Columbia Law Review","page":"795-827","title":"Public Pension Fund Activism in Corporate Governance Reconsidered","volume":"93","author":[{"family":"Romano","given":"Roberta"}],"issued":{"date-parts":[["1993"]]}},"suppress-author":true}],"schema":"https://github.com/citation-style-language/schema/raw/master/csl-citation.json"} </w:instrText>
      </w:r>
      <w:r w:rsidR="00E977E0" w:rsidRPr="00063811">
        <w:fldChar w:fldCharType="separate"/>
      </w:r>
      <w:r w:rsidR="00E977E0" w:rsidRPr="00063811">
        <w:t>(1993)</w:t>
      </w:r>
      <w:r w:rsidR="00E977E0" w:rsidRPr="00063811">
        <w:fldChar w:fldCharType="end"/>
      </w:r>
      <w:r w:rsidRPr="00063811">
        <w:t xml:space="preserve"> have demonstrated that pension funds with greater beneficiary representation tend to achieve better returns than those dominated by political appointees. This shift in governance structure may therefore compromise fund performance to the detriment of beneficiaries.</w:t>
      </w:r>
    </w:p>
    <w:p w14:paraId="35370EC9" w14:textId="0FD772DF" w:rsidR="00ED1939" w:rsidRPr="00063811" w:rsidRDefault="004C253E" w:rsidP="00F256FD">
      <w:pPr>
        <w:spacing w:line="480" w:lineRule="auto"/>
        <w:ind w:firstLine="720"/>
      </w:pPr>
      <w:r w:rsidRPr="00063811">
        <w:t xml:space="preserve">The economic consequences of anti-ESG legislation are beginning to emerge in several forms. Following Texas's implementation of anti-ESG laws, five large banks exited the Texas municipal bond market, resulting in an estimated $300-500 million in additional borrowing costs </w:t>
      </w:r>
      <w:r w:rsidR="00E977E0" w:rsidRPr="00063811">
        <w:fldChar w:fldCharType="begin"/>
      </w:r>
      <w:r w:rsidR="00E977E0" w:rsidRPr="00063811">
        <w:instrText xml:space="preserve"> ADDIN ZOTERO_ITEM CSL_CITATION {"citationID":"PUHvcGf3","properties":{"formattedCitation":"(Garrett &amp; Ivanov, 2022)","plainCitation":"(Garrett &amp; Ivanov, 2022)","noteIndex":0},"citationItems":[{"id":333,"uris":["http://zotero.org/users/13148740/items/WWUGGVKT"],"itemData":{"id":333,"type":"article-journal","container-title":"SSRN Electronic Journal","DOI":"10.2139/ssrn.4123366","ISSN":"1556-5068","journalAbbreviation":"SSRN Journal","language":"en","source":"DOI.org (Crossref)","title":"Gas, Guns, and Governments: Financial Costs of Anti-ESG Policies","title-short":"Gas, Guns, and Governments","URL":"https://www.ssrn.com/abstract=4123366","author":[{"family":"Garrett","given":"Daniel"},{"family":"Ivanov","given":"Ivan"}],"accessed":{"date-parts":[["2024",2,7]]},"issued":{"date-parts":[["2022"]]}}}],"schema":"https://github.com/citation-style-language/schema/raw/master/csl-citation.json"} </w:instrText>
      </w:r>
      <w:r w:rsidR="00E977E0" w:rsidRPr="00063811">
        <w:fldChar w:fldCharType="separate"/>
      </w:r>
      <w:r w:rsidR="00E977E0" w:rsidRPr="00063811">
        <w:t>(Garrett &amp; Ivanov, 2022)</w:t>
      </w:r>
      <w:r w:rsidR="00E977E0" w:rsidRPr="00063811">
        <w:fldChar w:fldCharType="end"/>
      </w:r>
      <w:r w:rsidRPr="00063811">
        <w:t xml:space="preserve">. A separate analysis by </w:t>
      </w:r>
      <w:proofErr w:type="spellStart"/>
      <w:r w:rsidRPr="00063811">
        <w:t>Econsult</w:t>
      </w:r>
      <w:proofErr w:type="spellEnd"/>
      <w:r w:rsidRPr="00063811">
        <w:t xml:space="preserve"> Solutions Inc. </w:t>
      </w:r>
      <w:r w:rsidR="002A4B0F" w:rsidRPr="00063811">
        <w:fldChar w:fldCharType="begin"/>
      </w:r>
      <w:r w:rsidR="002A4B0F" w:rsidRPr="00063811">
        <w:instrText xml:space="preserve"> ADDIN ZOTERO_ITEM CSL_CITATION {"citationID":"bRy4GZsk","properties":{"formattedCitation":"(2023)","plainCitation":"(2023)","noteIndex":0},"citationItems":[{"id":851,"uris":["http://zotero.org/users/13148740/items/X5E72BD2"],"itemData":{"id":851,"type":"report","abstract":"This fiscal impact statement provides an analysis of HB 1008, which establishes fiduciary requirements for investment managers of public pension funds in Indiana. The bill mandates fiduciaries to act solely in the financial interest of beneficiaries, imposes restrictions on ESG investments, and sets regulations on proxy voting. It outlines the expected decrease in investment returns, potential increases in employer contributions, and the administrative costs associated with compliance.","event-place":"Indianapolis, IN","publisher":"Legislative Services Agency, Office of Fiscal and Management Analysis","publisher-place":"Indianapolis, IN","title":"Fiscal Impact Statement for HB 1008","URL":"https://web.archive.org/web/20230214101631/https://d37sr56shkhro8.cloudfront.net/pdf-documents/123/2023/house/bills/HB1008/fiscal-notes/HB1008.02.COMH.FN001.pdf","author":[{"literal":"Legislative Services Agency"}],"issued":{"date-parts":[["2023",2,4]]}},"suppress-author":true}],"schema":"https://github.com/citation-style-language/schema/raw/master/csl-citation.json"} </w:instrText>
      </w:r>
      <w:r w:rsidR="002A4B0F" w:rsidRPr="00063811">
        <w:fldChar w:fldCharType="separate"/>
      </w:r>
      <w:r w:rsidR="002A4B0F" w:rsidRPr="00063811">
        <w:t>(2023)</w:t>
      </w:r>
      <w:r w:rsidR="002A4B0F" w:rsidRPr="00063811">
        <w:fldChar w:fldCharType="end"/>
      </w:r>
      <w:r w:rsidRPr="00063811">
        <w:t xml:space="preserve"> projected "up to $700 million in higher municipal borrowing costs in six other states" implementing similar legislation. In Indiana, a fiscal impact statement estimated that anti-ESG legislation "could lower pension fund returns by up to $7 billion over the next 10 years" </w:t>
      </w:r>
      <w:r w:rsidR="002A4B0F" w:rsidRPr="00063811">
        <w:fldChar w:fldCharType="begin"/>
      </w:r>
      <w:r w:rsidR="002A4B0F" w:rsidRPr="00063811">
        <w:instrText xml:space="preserve"> ADDIN ZOTERO_ITEM CSL_CITATION {"citationID":"3ZyRoErB","properties":{"formattedCitation":"(Legislative Services Agency, 2023)","plainCitation":"(Legislative Services Agency, 2023)","noteIndex":0},"citationItems":[{"id":851,"uris":["http://zotero.org/users/13148740/items/X5E72BD2"],"itemData":{"id":851,"type":"report","abstract":"This fiscal impact statement provides an analysis of HB 1008, which establishes fiduciary requirements for investment managers of public pension funds in Indiana. The bill mandates fiduciaries to act solely in the financial interest of beneficiaries, imposes restrictions on ESG investments, and sets regulations on proxy voting. It outlines the expected decrease in investment returns, potential increases in employer contributions, and the administrative costs associated with compliance.","event-place":"Indianapolis, IN","publisher":"Legislative Services Agency, Office of Fiscal and Management Analysis","publisher-place":"Indianapolis, IN","title":"Fiscal Impact Statement for HB 1008","URL":"https://web.archive.org/web/20230214101631/https://d37sr56shkhro8.cloudfront.net/pdf-documents/123/2023/house/bills/HB1008/fiscal-notes/HB1008.02.COMH.FN001.pdf","author":[{"literal":"Legislative Services Agency"}],"issued":{"date-parts":[["2023",2,4]]}}}],"schema":"https://github.com/citation-style-language/schema/raw/master/csl-citation.json"} </w:instrText>
      </w:r>
      <w:r w:rsidR="002A4B0F" w:rsidRPr="00063811">
        <w:fldChar w:fldCharType="separate"/>
      </w:r>
      <w:r w:rsidR="002A4B0F" w:rsidRPr="00063811">
        <w:t>(Legislative Services Agency, 2023)</w:t>
      </w:r>
      <w:r w:rsidR="002A4B0F" w:rsidRPr="00063811">
        <w:fldChar w:fldCharType="end"/>
      </w:r>
      <w:r w:rsidRPr="00063811">
        <w:t>. These concrete economic impacts suggest that anti-ESG laws may be imposing significant costs on taxpayers and beneficiaries while failing to achieve their stated objectives</w:t>
      </w:r>
      <w:r w:rsidR="00ED1939" w:rsidRPr="00063811">
        <w:t>.</w:t>
      </w:r>
    </w:p>
    <w:p w14:paraId="59857E9D" w14:textId="77777777" w:rsidR="00F9570A" w:rsidRDefault="00F9570A">
      <w:pPr>
        <w:spacing w:after="160" w:line="278" w:lineRule="auto"/>
        <w:rPr>
          <w:i/>
          <w:iCs/>
        </w:rPr>
      </w:pPr>
      <w:r>
        <w:br w:type="page"/>
      </w:r>
    </w:p>
    <w:p w14:paraId="6571E7BC" w14:textId="70A73412" w:rsidR="005753DD" w:rsidRPr="00063811" w:rsidRDefault="005753DD" w:rsidP="006760A7">
      <w:pPr>
        <w:pStyle w:val="Heading3"/>
      </w:pPr>
      <w:r w:rsidRPr="00063811">
        <w:lastRenderedPageBreak/>
        <w:t>Pro-ESG Legislation</w:t>
      </w:r>
    </w:p>
    <w:p w14:paraId="3FCE790F" w14:textId="45C610A1" w:rsidR="00FE3B0B" w:rsidRPr="00063811" w:rsidRDefault="00FE3B0B" w:rsidP="00F256FD">
      <w:pPr>
        <w:spacing w:line="480" w:lineRule="auto"/>
        <w:ind w:firstLine="720"/>
      </w:pPr>
      <w:r w:rsidRPr="00063811">
        <w:t>A prominent trend involves targeted divestment and climate risk disclosure. For example, California Senate Bill 1089 conditions the divestment of Turkish government securities on federal sanctions linked to historical human rights abuses, thereby intertwining geopolitical considerations with investment strategy</w:t>
      </w:r>
      <w:r w:rsidR="00F1774D" w:rsidRPr="00063811">
        <w:t xml:space="preserve"> </w:t>
      </w:r>
      <w:r w:rsidR="00F1774D" w:rsidRPr="00063811">
        <w:fldChar w:fldCharType="begin"/>
      </w:r>
      <w:r w:rsidR="00F1774D" w:rsidRPr="00063811">
        <w:instrText xml:space="preserve"> ADDIN ZOTERO_ITEM CSL_CITATION {"citationID":"AvQB2bbR","properties":{"formattedCitation":"(Public Employee Retirement Systems: Prohibited Investments: Turkey, 2022)","plainCitation":"(Public Employee Retirement Systems: Prohibited Investments: Turkey, 2022)","noteIndex":0},"citationItems":[{"id":912,"uris":["http://zotero.org/users/13148740/items/NUKZB7XX"],"itemData":{"id":912,"type":"bill","note":"publisher-place: California\ncontainer-title: S.B. 1089, Chapter 541\npublisher: California State Legislature","title":"Public employee retirement systems: prohibited investments: Turkey","URL":"https://legiscan.com/ca/text/sb1089/id/2607909","issued":{"date-parts":[["2022"]]}}}],"schema":"https://github.com/citation-style-language/schema/raw/master/csl-citation.json"} </w:instrText>
      </w:r>
      <w:r w:rsidR="00F1774D" w:rsidRPr="00063811">
        <w:fldChar w:fldCharType="separate"/>
      </w:r>
      <w:r w:rsidR="00F1774D" w:rsidRPr="00063811">
        <w:t>(Public Employee Retirement Systems: Prohibited Investments: Turkey, 2022)</w:t>
      </w:r>
      <w:r w:rsidR="00F1774D" w:rsidRPr="00063811">
        <w:fldChar w:fldCharType="end"/>
      </w:r>
      <w:r w:rsidRPr="00063811">
        <w:t xml:space="preserve">. Similarly, California’s SB 261 and SB 253 mandate comprehensive climate-related financial risk disclosures and greenhouse gas emissions reporting for large corporations, respectively, signaling a move toward enhanced transparency in environmental risk management </w:t>
      </w:r>
      <w:r w:rsidR="00F1774D" w:rsidRPr="00063811">
        <w:fldChar w:fldCharType="begin"/>
      </w:r>
      <w:r w:rsidR="00F1774D" w:rsidRPr="00063811">
        <w:instrText xml:space="preserve"> ADDIN ZOTERO_ITEM CSL_CITATION {"citationID":"P8AtdRn4","properties":{"formattedCitation":"(Climate Corporate Data Accountability Act, 2023; Senate Bill 261, 2023)","plainCitation":"(Climate Corporate Data Accountability Act, 2023; Senate Bill 261, 2023)","noteIndex":0},"citationItems":[{"id":752,"uris":["http://zotero.org/users/13148740/items/MU86ZI2D"],"itemData":{"id":752,"type":"bill","authority":"California State Legislature","number":"Senate Bill No. 253","title":"Climate Corporate Data Accountability Act","URL":"https://leginfo.legislature.ca.gov/faces/billNavClient.xhtml?bill_id=202320240SB253","issued":{"date-parts":[["2023"]]}}},{"id":867,"uris":["http://zotero.org/users/13148740/items/FIGVYEQE"],"itemData":{"id":867,"type":"bill","note":"publisher-place: California\ncontainer-title: 2023-2024 Regular Session\npublisher: California State Legislature","title":"Senate Bill 261","URL":"https://legiscan.com/ca/text/sb261/id/2670346","issued":{"date-parts":[["2023"]]}}}],"schema":"https://github.com/citation-style-language/schema/raw/master/csl-citation.json"} </w:instrText>
      </w:r>
      <w:r w:rsidR="00F1774D" w:rsidRPr="00063811">
        <w:fldChar w:fldCharType="separate"/>
      </w:r>
      <w:r w:rsidR="00F1774D" w:rsidRPr="00063811">
        <w:t>(Climate Corporate Data Accountability Act, 2023; Senate Bill 261, 2023)</w:t>
      </w:r>
      <w:r w:rsidR="00F1774D" w:rsidRPr="00063811">
        <w:fldChar w:fldCharType="end"/>
      </w:r>
      <w:r w:rsidRPr="00063811">
        <w:t>.</w:t>
      </w:r>
    </w:p>
    <w:p w14:paraId="6F070033" w14:textId="37DBA60F" w:rsidR="00FE3B0B" w:rsidRPr="00063811" w:rsidRDefault="00FE3B0B" w:rsidP="00F256FD">
      <w:pPr>
        <w:spacing w:line="480" w:lineRule="auto"/>
        <w:ind w:firstLine="720"/>
      </w:pPr>
      <w:r w:rsidRPr="00063811">
        <w:t>In the realm of social governance, legislative measures such as California Assembly Bill 979 and Senate Bill 655 focus on broadening board diversity by requiring representation from underrepresented communities and defining “diverse board member” in inclusive terms</w:t>
      </w:r>
      <w:r w:rsidR="00F1774D" w:rsidRPr="00063811">
        <w:t xml:space="preserve"> </w:t>
      </w:r>
      <w:r w:rsidR="00F1774D" w:rsidRPr="00063811">
        <w:fldChar w:fldCharType="begin"/>
      </w:r>
      <w:r w:rsidR="00F1774D" w:rsidRPr="00063811">
        <w:instrText xml:space="preserve"> ADDIN ZOTERO_ITEM CSL_CITATION {"citationID":"81HfGyGE","properties":{"formattedCitation":"(Assembly Bill 979, 2020; Senate Bill No. 655, Chapter 390, 2021)","plainCitation":"(Assembly Bill 979, 2020; Senate Bill No. 655, Chapter 390, 2021)","noteIndex":0},"citationItems":[{"id":864,"uris":["http://zotero.org/users/13148740/items/XWRAKIGA"],"itemData":{"id":864,"type":"bill","note":"publisher-place: California\ncontainer-title: Cal. Corp. Code §§ 301.3, 301.4, 2115.6\npublisher: California State Legislature","title":"Assembly Bill 979","URL":"https://legiscan.com/ca/text/ab979/id/2211047","issued":{"date-parts":[["2020"]]}}},{"id":865,"uris":["http://zotero.org/users/13148740/items/GU5NS8Z6"],"itemData":{"id":865,"type":"bill","note":"publisher-place: California\ncontainer-title: Cal. Ins. Code §§ 926-927.3\npublisher: California State Legislature","title":"Senate Bill No. 655, Chapter 390","URL":"https://legiscan.com/ca/text/sb655/id/2434862","issued":{"date-parts":[["2021"]]}}}],"schema":"https://github.com/citation-style-language/schema/raw/master/csl-citation.json"} </w:instrText>
      </w:r>
      <w:r w:rsidR="00F1774D" w:rsidRPr="00063811">
        <w:fldChar w:fldCharType="separate"/>
      </w:r>
      <w:r w:rsidR="00F1774D" w:rsidRPr="00063811">
        <w:t>(Assembly Bill 979, 2020; Senate Bill No. 655, Chapter 390, 2021)</w:t>
      </w:r>
      <w:r w:rsidR="00F1774D" w:rsidRPr="00063811">
        <w:fldChar w:fldCharType="end"/>
      </w:r>
      <w:r w:rsidRPr="00063811">
        <w:t>. Parallel efforts in Illinois</w:t>
      </w:r>
      <w:r w:rsidR="00F1774D" w:rsidRPr="00063811">
        <w:t xml:space="preserve"> </w:t>
      </w:r>
      <w:r w:rsidRPr="00063811">
        <w:t>through SB 1730 and SB0653 extend these principles by incorporating LGBTQ representation and aligning state investment practices with ESG criteria, thereby addressing systemic inequities in corporate leadership</w:t>
      </w:r>
      <w:r w:rsidR="00F1774D" w:rsidRPr="00063811">
        <w:t xml:space="preserve"> </w:t>
      </w:r>
      <w:r w:rsidR="00F1774D" w:rsidRPr="00063811">
        <w:fldChar w:fldCharType="begin"/>
      </w:r>
      <w:r w:rsidR="00F1774D" w:rsidRPr="00063811">
        <w:instrText xml:space="preserve"> ADDIN ZOTERO_ITEM CSL_CITATION {"citationID":"HqidJclX","properties":{"formattedCitation":"(Corporations LGBTQ Directors, 2021; Public Act 102-0297, 2021)","plainCitation":"(Corporations LGBTQ Directors, 2021; Public Act 102-0297, 2021)","noteIndex":0},"citationItems":[{"id":882,"uris":["http://zotero.org/users/13148740/items/AV72D5VW"],"itemData":{"id":882,"type":"bill","note":"publisher-place: Illinois\ncontainer-title: Ill. Public Act 102-0223\npublisher: Illinois General Assembly","title":"Corporations LGBTQ Directors","URL":"https://legiscan.com/il/text/sb1730/2021","issued":{"date-parts":[["2021"]]}}},{"id":883,"uris":["http://zotero.org/users/13148740/items/TX8URVDJ"],"itemData":{"id":883,"type":"bill","note":"publisher-place: Illinois\ncontainer-title: S.B. 0653, 102nd General Assembly\npublisher: Illinois General Assembly","title":"Public Act 102-0297","URL":"https://legiscan.com/il/text/sb0653/2021","issued":{"date-parts":[["2021"]]}}}],"schema":"https://github.com/citation-style-language/schema/raw/master/csl-citation.json"} </w:instrText>
      </w:r>
      <w:r w:rsidR="00F1774D" w:rsidRPr="00063811">
        <w:fldChar w:fldCharType="separate"/>
      </w:r>
      <w:r w:rsidR="00F1774D" w:rsidRPr="00063811">
        <w:t>(Corporations LGBTQ Directors, 2021; Public Act 102-0297, 2021)</w:t>
      </w:r>
      <w:r w:rsidR="00F1774D" w:rsidRPr="00063811">
        <w:fldChar w:fldCharType="end"/>
      </w:r>
      <w:r w:rsidRPr="00063811">
        <w:t>.</w:t>
      </w:r>
    </w:p>
    <w:p w14:paraId="7A9F96DD" w14:textId="0F1ABAA7" w:rsidR="00FE3B0B" w:rsidRPr="00063811" w:rsidRDefault="00FE3B0B" w:rsidP="00F256FD">
      <w:pPr>
        <w:spacing w:line="480" w:lineRule="auto"/>
        <w:ind w:firstLine="720"/>
      </w:pPr>
      <w:r w:rsidRPr="00063811">
        <w:t>Several states have also leveraged ESG policy to address environmental sustainability directly. Colorado’s SB 16 sets ambitious greenhouse gas reduction targets across multiple sectors, while Maine’s fossil fuel divestment legislation and offshore wind energy initiatives</w:t>
      </w:r>
      <w:r w:rsidR="00F1774D" w:rsidRPr="00063811">
        <w:t xml:space="preserve"> </w:t>
      </w:r>
      <w:r w:rsidRPr="00063811">
        <w:t>combine divestment with proactive renewable energy development</w:t>
      </w:r>
      <w:r w:rsidR="00F1774D" w:rsidRPr="00063811">
        <w:t xml:space="preserve"> </w:t>
      </w:r>
      <w:r w:rsidR="00F1774D" w:rsidRPr="00063811">
        <w:fldChar w:fldCharType="begin"/>
      </w:r>
      <w:r w:rsidR="00F1774D" w:rsidRPr="00063811">
        <w:instrText xml:space="preserve"> ADDIN ZOTERO_ITEM CSL_CITATION {"citationID":"r4S2c8Ac","properties":{"unsorted":true,"formattedCitation":"(An Act To Require the State To Divest Itself of Assets Invested in the Fossil Fuel Industry, 2021; An Act Regarding the Procurement of Energy from Offshore Wind Resources, 2023; Senate Bill 16, 2023)","plainCitation":"(An Act To Require the State To Divest Itself of Assets Invested in the Fossil Fuel Industry, 2021; An Act Regarding the Procurement of Energy from Offshore Wind Resources, 2023; Senate Bill 16, 2023)","noteIndex":0},"citationItems":[{"id":898,"uris":["http://zotero.org/users/13148740/items/AZ7PW8C5"],"itemData":{"id":898,"type":"bill","note":"publisher-place: Maine\ncontainer-title: Me. Pub. L. No. 2021, ch. 231\npublisher: Maine Legislature","title":"An Act To Require the State To Divest Itself of Assets Invested in the Fossil Fuel Industry","URL":"https://legiscan.com/me/text/ld99/2021","issued":{"date-parts":[["2021"]]}}},{"id":899,"uris":["http://zotero.org/users/13148740/items/75E8Z4T2"],"itemData":{"id":899,"type":"bill","note":"publisher-place: Maine\ncontainer-title: Me. Pub. L. No. 2023, ch. 481\npublisher: Maine Legislature","title":"An Act Regarding the Procurement of Energy from Offshore Wind Resources","URL":"https://legiscan.com/me/text/ld1895/2023","issued":{"date-parts":[["2023"]]}}},{"id":869,"uris":["http://zotero.org/users/13148740/items/988XGA8V"],"itemData":{"id":869,"type":"bill","note":"publisher-place: Colorado\ncontainer-title: S.B. 23-016, 74th General Assembly, Regular Session\npublisher: Colorado General Assembly","title":"Senate Bill 16","URL":"https://legiscan.com/co/text/sb016/2023","issued":{"date-parts":[["2023"]]}}}],"schema":"https://github.com/citation-style-language/schema/raw/master/csl-citation.json"} </w:instrText>
      </w:r>
      <w:r w:rsidR="00F1774D" w:rsidRPr="00063811">
        <w:fldChar w:fldCharType="separate"/>
      </w:r>
      <w:r w:rsidR="00F1774D" w:rsidRPr="00063811">
        <w:t>(An Act To Require the State To Divest Itself of Assets Invested in the Fossil Fuel Industry, 2021; An Act Regarding the Procurement of Energy from Offshore Wind Resources, 2023; Senate Bill 16, 2023)</w:t>
      </w:r>
      <w:r w:rsidR="00F1774D" w:rsidRPr="00063811">
        <w:fldChar w:fldCharType="end"/>
      </w:r>
      <w:r w:rsidRPr="00063811">
        <w:t xml:space="preserve">. These </w:t>
      </w:r>
      <w:r w:rsidRPr="00063811">
        <w:lastRenderedPageBreak/>
        <w:t>policies underscore an integrated strategy that uses state financial power to both mitigate climate risks and foster a transition to clean energy.</w:t>
      </w:r>
    </w:p>
    <w:p w14:paraId="576BA3AE" w14:textId="59D26150" w:rsidR="00FE3B0B" w:rsidRPr="00063811" w:rsidRDefault="00FE3B0B" w:rsidP="00F256FD">
      <w:pPr>
        <w:spacing w:line="480" w:lineRule="auto"/>
        <w:ind w:firstLine="720"/>
      </w:pPr>
      <w:r w:rsidRPr="00063811">
        <w:t>Further, the incorporation of ESG criteria into public investment and retirement systems is evident in Delaware’s HB 334 (2020), Maryland’s Climate Risk Fiduciary Duty measures (SB 566/HB 740, 2022), and Rhode Island’s Secure Choice Retirement Savings Program Act (2024)</w:t>
      </w:r>
      <w:r w:rsidR="00F1774D" w:rsidRPr="00063811">
        <w:t xml:space="preserve"> </w:t>
      </w:r>
      <w:r w:rsidR="00F1774D" w:rsidRPr="00063811">
        <w:fldChar w:fldCharType="begin"/>
      </w:r>
      <w:r w:rsidR="00F1774D" w:rsidRPr="00063811">
        <w:instrText xml:space="preserve"> ADDIN ZOTERO_ITEM CSL_CITATION {"citationID":"yf0Ncm9X","properties":{"unsorted":true,"formattedCitation":"(An Act To Amend Title 12 Of The Delaware Code Relating To Decedents Estates And Fiduciary Relations, 2020; State Retirement and Pension System - Investment Climate Risk - Fiduciary Duties, 2022; Rhode Island Secure Choice Retirement Savings Program Act, 2024)","plainCitation":"(An Act To Amend Title 12 Of The Delaware Code Relating To Decedents Estates And Fiduciary Relations, 2020; State Retirement and Pension System - Investment Climate Risk - Fiduciary Duties, 2022; Rhode Island Secure Choice Retirement Savings Program Act, 2024)","noteIndex":0},"citationItems":[{"id":870,"uris":["http://zotero.org/users/13148740/items/ESG8E7BM"],"itemData":{"id":870,"type":"bill","note":"publisher-place: Delaware\ncontainer-title: H.B. 334, 150th General Assembly, Regular Session\npublisher: Delaware General Assembly","title":"An Act To Amend Title 12 Of The Delaware Code Relating To Decedents Estates And Fiduciary Relations","URL":"https://legiscan.com/de/text/hb334/2019","issued":{"date-parts":[["2020"]]}}},{"id":900,"uris":["http://zotero.org/users/13148740/items/F3E65X7L"],"itemData":{"id":900,"type":"bill","note":"publisher-place: Maryland\ncontainer-title: Md. Code Ann., State Pers. &amp; Pens. § 21-116.1\npublisher: Maryland General Assembly","title":"State Retirement and Pension System - Investment Climate Risk - Fiduciary Duties","URL":"https://legiscan.com/md/text/hb740/2022","issued":{"date-parts":[["2022"]]}}},{"id":966,"uris":["http://zotero.org/users/13148740/items/AX2859MM"],"itemData":{"id":966,"type":"bill","note":"publisher-place: Rhode Island\ncontainer-title: R.I. Gen. Laws ch. 35-23\npublisher: Rhode Island General Assembly","title":"Rhode Island Secure Choice Retirement Savings Program Act","URL":"https://legiscan.com/ri/text/s2045/2024","issued":{"date-parts":[["2024"]]}}}],"schema":"https://github.com/citation-style-language/schema/raw/master/csl-citation.json"} </w:instrText>
      </w:r>
      <w:r w:rsidR="00F1774D" w:rsidRPr="00063811">
        <w:fldChar w:fldCharType="separate"/>
      </w:r>
      <w:r w:rsidR="00F1774D" w:rsidRPr="00063811">
        <w:t>(An Act To Amend Title 12 Of The Delaware Code Relating To Decedents Estates And Fiduciary Relations, 2020; State Retirement and Pension System - Investment Climate Risk - Fiduciary Duties, 2022; Rhode Island Secure Choice Retirement Savings Program Act, 2024)</w:t>
      </w:r>
      <w:r w:rsidR="00F1774D" w:rsidRPr="00063811">
        <w:fldChar w:fldCharType="end"/>
      </w:r>
      <w:r w:rsidRPr="00063811">
        <w:t>. These policies institutionalize ESG factors in fiduciary practices, ensuring that investment decisions account for sustainable outcomes while safeguarding financial returns.</w:t>
      </w:r>
    </w:p>
    <w:p w14:paraId="0CC526EB" w14:textId="3C35E3CD" w:rsidR="00F04869" w:rsidRPr="00063811" w:rsidRDefault="00FE3B0B" w:rsidP="00F256FD">
      <w:pPr>
        <w:spacing w:line="480" w:lineRule="auto"/>
        <w:ind w:firstLine="720"/>
      </w:pPr>
      <w:r w:rsidRPr="00063811">
        <w:t>Collectively, these legislative initiatives highlight several key themes: the growing emphasis on mandatory environmental risk disclosures, a commitment to rectifying social inequities through enhanced diversity requirements, and the strategic use of state investments to drive sustainable and equitable economic outcomes. Despite variations in design and implementation across states, the overall trend suggests an emerging national framework where ESG considerations are increasingly recognized as vital to both financial stability and broader societal well-being. This synthesis not only underscores the breadth of current ESG policies but also points to the need for continued research on harmonizing these disparate initiatives to establish more unified, long-term sustainability standards.</w:t>
      </w:r>
    </w:p>
    <w:p w14:paraId="4AAE3196" w14:textId="242B9C34" w:rsidR="00823832" w:rsidRPr="00063811" w:rsidRDefault="00F04869" w:rsidP="00F256FD">
      <w:pPr>
        <w:spacing w:line="480" w:lineRule="auto"/>
        <w:ind w:firstLine="720"/>
      </w:pPr>
      <w:r w:rsidRPr="00063811">
        <w:t xml:space="preserve">The emerging tensions between pro- and anti-ESG policies highlight the intricate and polarized nature of America’s ESG regulatory environment. Companies must navigate these differences by adapting their reporting practices to comply with evolving regulations while addressing investor demands for clearer ESG information </w:t>
      </w:r>
      <w:r w:rsidR="007461C4" w:rsidRPr="00063811">
        <w:fldChar w:fldCharType="begin"/>
      </w:r>
      <w:r w:rsidR="007461C4" w:rsidRPr="00063811">
        <w:instrText xml:space="preserve"> ADDIN ZOTERO_ITEM CSL_CITATION {"citationID":"N46sc8wl","properties":{"formattedCitation":"(Arun et al., 2022)","plainCitation":"(Arun et al., 2022)","noteIndex":0},"citationItems":[{"id":706,"uris":["http://zotero.org/users/13148740/items/CEZK7YJK"],"itemData":{"id":706,"type":"chapter","container-title":"Handbook of Banking and Finance in Emerging Markets","ISBN":"978-1-80088-090-0","note":"DOI: 10.4337/9781800880900.00025","page":"321-344","publisher":"Edward Elgar Publishing","source":"DOI.org (Crossref)","title":"ESG issues in emerging markets and the role of banks","URL":"https://www.elgaronline.com/view/book/9781800880900/book-part-9781800880900-25.xml","editor":[{"family":"Nguyen","given":"Duc"}],"author":[{"family":"Arun","given":"Thankom"},{"family":"Girardone","given":"Claudia"},{"family":"Piserà","given":"Stefano"}],"accessed":{"date-parts":[["2025",2,19]]},"issued":{"date-parts":[["2022",10,14]]}}}],"schema":"https://github.com/citation-style-language/schema/raw/master/csl-citation.json"} </w:instrText>
      </w:r>
      <w:r w:rsidR="007461C4" w:rsidRPr="00063811">
        <w:fldChar w:fldCharType="separate"/>
      </w:r>
      <w:r w:rsidR="007461C4" w:rsidRPr="00063811">
        <w:t>(Arun et al., 2022)</w:t>
      </w:r>
      <w:r w:rsidR="007461C4" w:rsidRPr="00063811">
        <w:fldChar w:fldCharType="end"/>
      </w:r>
      <w:r w:rsidRPr="00063811">
        <w:t xml:space="preserve">. As legislative </w:t>
      </w:r>
      <w:r w:rsidRPr="00063811">
        <w:lastRenderedPageBreak/>
        <w:t>debates continue, the trajectory of U.S. ESG policy will likely hinge on the delicate balance between market-driven sustainability expectations and efforts to shield specific industries from what some perceive as overly restrictive ESG criteria.</w:t>
      </w:r>
    </w:p>
    <w:p w14:paraId="04D23E11" w14:textId="011704E5" w:rsidR="00736ED1" w:rsidRPr="00063811" w:rsidRDefault="00327ED3" w:rsidP="006760A7">
      <w:pPr>
        <w:pStyle w:val="Heading2"/>
      </w:pPr>
      <w:bookmarkStart w:id="13" w:name="_Toc193977938"/>
      <w:r w:rsidRPr="00063811">
        <w:t xml:space="preserve">Firm </w:t>
      </w:r>
      <w:r w:rsidR="004820BE" w:rsidRPr="00063811">
        <w:t>Determinants of</w:t>
      </w:r>
      <w:r w:rsidR="0045724A" w:rsidRPr="00063811">
        <w:t xml:space="preserve"> ESG Performance</w:t>
      </w:r>
      <w:bookmarkEnd w:id="13"/>
    </w:p>
    <w:p w14:paraId="41939A66" w14:textId="2135546E" w:rsidR="00327ED3" w:rsidRPr="00063811" w:rsidRDefault="00327ED3" w:rsidP="00F256FD">
      <w:pPr>
        <w:spacing w:line="480" w:lineRule="auto"/>
        <w:ind w:firstLine="720"/>
        <w:contextualSpacing/>
        <w:rPr>
          <w:bCs/>
        </w:rPr>
      </w:pPr>
      <w:r w:rsidRPr="00063811">
        <w:rPr>
          <w:bCs/>
        </w:rPr>
        <w:t xml:space="preserve">Firm characteristics significantly influence corporate ESG outcomes. Understanding these determinants is essential to accurately assess ESG performance, as firm-specific traits influence strategic decisions, resource allocation, and reporting behaviors </w:t>
      </w:r>
      <w:r w:rsidR="00F1774D" w:rsidRPr="00063811">
        <w:rPr>
          <w:bCs/>
        </w:rPr>
        <w:fldChar w:fldCharType="begin"/>
      </w:r>
      <w:r w:rsidR="00714A98" w:rsidRPr="00063811">
        <w:rPr>
          <w:bCs/>
        </w:rPr>
        <w:instrText xml:space="preserve"> ADDIN ZOTERO_ITEM CSL_CITATION {"citationID":"GJIe60pD","properties":{"unsorted":true,"formattedCitation":"(Wald, 1999; Hendricks &amp; Singhal, 2001; Solakoglu &amp; Demir, 2016; Abideen, 2023)","plainCitation":"(Wald, 1999; Hendricks &amp; Singhal, 2001; Solakoglu &amp; Demir, 2016; Abideen, 2023)","noteIndex":0},"citationItems":[{"id":625,"uris":["http://zotero.org/users/13148740/items/BFDIUSVT"],"itemData":{"id":625,"type":"article-journal","abstract":"Abstract\n            In this empirical study I examine the factors correlated with capital structure in France, Germany, Japan, the United Kingdom, and the United States. Although mean leverage and many firm factors appear to be similar across countries, some significant differences remain. Specifically, differences appear in the correlation between long‐term debt/asset ratios and the firms' riskiness, profitability, size, and growth. These correlations may be explained by differences in tax policies and agency problems, including differences in bankruptcy costs, information asymmetries, and shareholder/creditor conflicts. The findings of this study suggest links between varying choices in capital structure across countries and legal and institutional differences.","container-title":"Journal of Financial Research","DOI":"10.1111/j.1475-6803.1999.tb00721.x","ISSN":"0270-2592, 1475-6803","issue":"2","journalAbbreviation":"J of Financial Research","language":"en","page":"161-187","source":"DOI.org (Crossref)","title":"HOW FIRM CHARACTERISTICS AFFECT CAPITAL STRUCTURE: AN INTERNATIONAL COMPARISON","title-short":"HOW FIRM CHARACTERISTICS AFFECT CAPITAL STRUCTURE","volume":"22","author":[{"family":"Wald","given":"John K."}],"issued":{"date-parts":[["1999",6]]}}},{"id":624,"uris":["http://zotero.org/users/13148740/items/DM8I35L7"],"itemData":{"id":624,"type":"article-journal","abstract":"Abstract\n            \n              \n              This paper uses a sample of quality award winners to empirically test hypotheses that relate changes in operating income associated with effective implementation of total quality management (TQM) to various firm characteristics. The characteristics examined are firm size, the degree of capital intensity, the degree of diversification, the timing of TQM implementation, and the maturity of the program. We find that smaller firms do significantly better than larger firms. Firms that have won awards from independent award (a proxy for more mature TQM implementation) do significantly better than just supplier award winners. The evidence weakly supports the hypotheses that less capital‐intensive firms do better than more capital‐intensive firms, and more focused firms do better than more diversified firms. Finally, we do not observe any significant differences between the performance of earlier and later implementers of effective TQM.\n              The key implications of these results are that many organizational characteristics moderate the benefits of TQM implementation. Although not all of these characteristics are controllable by managers, managers must set realistic expectations for the degree of benefits from TQM. The results for size and capital‐intensity validate the importance of TQM practices for smaller firms and environments that are more labor intensive. Investing to achieve a broader, deeper, and more mature TQM implementation (possibly by targeting an independent TQM award) should also result in higher benefits from TQM implementation. Furthermore, the results indicate that it is never too late to invest in TQM.","container-title":"Journal of Operations Management","DOI":"10.1016/S0272-6963(00)00049-8","ISSN":"0272-6963, 1873-1317","issue":"3","journalAbbreviation":"J of Ops Management","language":"en","license":"http://onlinelibrary.wiley.com/termsAndConditions#vor","page":"269-285","source":"DOI.org (Crossref)","title":"Firm characteristics, total quality management, and financial performance","volume":"19","author":[{"family":"Hendricks","given":"Kevin B"},{"family":"Singhal","given":"Vinod R"}],"issued":{"date-parts":[["2001",5]]}}},{"id":628,"uris":["http://zotero.org/users/13148740/items/5EVVKTEG"],"itemData":{"id":628,"type":"article-journal","abstract":"Purpose\n              – The purpose of this paper is to understand the effect of gender diversity on firm performance and evaluate how that relationship is influenced by some firm-specific factors for firms in an emerging market.\n            \n            \n              Design/methodology/approach\n              – The authors collected firm level financial data and firm level characteristics for the firms listed in BIST100 index of Borsa Istanbul for the period between 2002 and 2006. Due to endogeneity of gender diversity and firm performance, the authors utilize unbalanced panel data with 2SLS specification. To observe the sensitivity of results across measures of performance, three measures of performance, two accounting-based and one market-based, are utilized.\n            \n            \n              Findings\n              – Overall, the authors find some weak evidence that gender diversity impacts firm performance. In particular, the findings imply significant association between gender diversity and firm performance for firms that are targeting local markets, for firms in the financial sector and for firms that are family or block-owned. Moreover, findings are fragile with respect to the measures of diversity and performance selected.\n            \n            \n              Originality/value\n              – Although the relationship between gender diversity and firm performance are investigated several times in the past, there are not many studies that examines the role of firm-specific factors on that relationship. By revealing the factors that are important, this study provides an explanation why the existing literature leads to mixed results.","container-title":"Management Decision","DOI":"10.1108/MD-02-2015-0075","ISSN":"0025-1747","issue":"6","language":"en","license":"https://www.emerald.com/insight/site-policies","page":"1407-1419","source":"DOI.org (Crossref)","title":"The role of firm characteristics on the relationship between gender diversity and firm performance","volume":"54","author":[{"family":"Solakoglu","given":"Mehmet Nihat"},{"family":"Demir","given":"Nazmi"}],"issued":{"date-parts":[["2016",7,11]]}}},{"id":626,"uris":["http://zotero.org/users/13148740/items/FKEHQZCV"],"itemData":{"id":626,"type":"article-journal","abstract":"Purpose: The aim of this research is to investigate the association between financial leverage, firm liquidity, and firm size with the performance of companies in China. Design/Methodology/Approach: The study adopted a quantitative approach and gathered secondary data from 2010 to 2022 from firms listed on the China Stock Exchange via the wind database. Using a fixed effect model, we empirically tested our hypotheses. Findings: The study's outcomes indicate that firm liquidity and firm size significantly affect a company's performance in China. Moreover, the study claims that financial leverage also plays a significant role in influencing firm performance. Conclusion: In conclusion, findings indicate the importance for corporate managers, policymakers, and investors to consider factors such as financial liquidity and firm size when making decisions related to firm performance, particularly in an emerging stock market. Implications/Originality/Values: These findings have important implications for corporate managers, policymakers, and investors. Corporate managers, investors, and policymakers should focus on policies that promote financial stability and economic growth. Overall, this study provides valuable insights into the factors that influence firm performance in China.","container-title":"Journal of Accounting and Finance in Emerging Economies","DOI":"10.26710/jafee.v9i3.2649","ISSN":"2518-8488, 2519-0318","issue":"3","journalAbbreviation":"JAFEE","license":"https://creativecommons.org/licenses/by-nc/4.0","page":"141-150","source":"DOI.org (Crossref)","title":"Firm Performance in China: An Analysis of the Interplay between Financial Leverage, Firm Liquidity, and Firm Size","title-short":"Firm Performance in China","volume":"9","author":[{"family":"Abideen","given":"Zain Ul"}],"issued":{"date-parts":[["2023",9,30]]}}}],"schema":"https://github.com/citation-style-language/schema/raw/master/csl-citation.json"} </w:instrText>
      </w:r>
      <w:r w:rsidR="00F1774D" w:rsidRPr="00063811">
        <w:rPr>
          <w:bCs/>
        </w:rPr>
        <w:fldChar w:fldCharType="separate"/>
      </w:r>
      <w:r w:rsidR="00714A98" w:rsidRPr="00063811">
        <w:t>(Wald, 1999; Hendricks &amp; Singhal, 2001; Solakoglu &amp; Demir, 2016; Abideen, 2023)</w:t>
      </w:r>
      <w:r w:rsidR="00F1774D" w:rsidRPr="00063811">
        <w:rPr>
          <w:bCs/>
        </w:rPr>
        <w:fldChar w:fldCharType="end"/>
      </w:r>
      <w:r w:rsidRPr="00063811">
        <w:rPr>
          <w:bCs/>
        </w:rPr>
        <w:t>. Unaccounted firm characteristics can confound analyses, particularly when evaluating policy impacts or corporate strategies</w:t>
      </w:r>
      <w:r w:rsidR="00714A98" w:rsidRPr="00063811">
        <w:rPr>
          <w:bCs/>
        </w:rPr>
        <w:t xml:space="preserve"> </w:t>
      </w:r>
      <w:r w:rsidR="00714A98" w:rsidRPr="00063811">
        <w:rPr>
          <w:bCs/>
        </w:rPr>
        <w:fldChar w:fldCharType="begin"/>
      </w:r>
      <w:r w:rsidR="00714A98" w:rsidRPr="00063811">
        <w:rPr>
          <w:bCs/>
        </w:rPr>
        <w:instrText xml:space="preserve"> ADDIN ZOTERO_ITEM CSL_CITATION {"citationID":"gv7uikLC","properties":{"formattedCitation":"(Memon, 2024)","plainCitation":"(Memon, 2024)","noteIndex":0},"citationItems":[{"id":755,"uris":["http://zotero.org/users/13148740/items/8HWYHL6P"],"itemData":{"id":755,"type":"article-journal","abstract":"Although considerable research on control variables offers best practice recommendations, there are still shortcomings in their application. A significant proportion of quantitative studies lack rigor in how they apply control variables. Additionally, existing literature on control variables is primarily technical, with a noticeable lack of accessible guidance that could benefit both seasoned and novice researchers. In fact, there is a need for more elaboration in non-technical terms to enhance our understanding of using control variables effectively. The objectives of this editorial are twofold: First, we elaborate on five key issues related to control variables, including a clear, easy-to-understand explanation of what a control variable is, their advantages and complications, and the issues associated with under- or over-controlling variables. Second, we provide guidelines that are easy to follow for any researcher, whether experienced or novice. In doing so, we clarify several ambiguities and offer straightforward explanations of issues related to control variables. We hope that this effort will assist researchers—whether lecturers or students—by providing clear directions on the appropriate use of control variables.","container-title":"Journal of Applied Structural Equation Modeling","DOI":"10.47263/JASEM.8(2)01","ISSN":"2590-4221","issue":"2","journalAbbreviation":"JASEM","language":"en","page":"1-14","source":"DOI.org (Crossref)","title":"Control Variables: A Review and Proposed Guidelines","title-short":"Control Variables","volume":"8","author":[{"family":"Memon","given":"Mumtaz Ali"}],"issued":{"date-parts":[["2024",7,31]]}}}],"schema":"https://github.com/citation-style-language/schema/raw/master/csl-citation.json"} </w:instrText>
      </w:r>
      <w:r w:rsidR="00714A98" w:rsidRPr="00063811">
        <w:rPr>
          <w:bCs/>
        </w:rPr>
        <w:fldChar w:fldCharType="separate"/>
      </w:r>
      <w:r w:rsidR="00714A98" w:rsidRPr="00063811">
        <w:t>(Memon, 2024)</w:t>
      </w:r>
      <w:r w:rsidR="00714A98" w:rsidRPr="00063811">
        <w:rPr>
          <w:bCs/>
        </w:rPr>
        <w:fldChar w:fldCharType="end"/>
      </w:r>
      <w:r w:rsidRPr="00063811">
        <w:rPr>
          <w:bCs/>
        </w:rPr>
        <w:t>.</w:t>
      </w:r>
    </w:p>
    <w:p w14:paraId="5697193D" w14:textId="77777777" w:rsidR="00327ED3" w:rsidRPr="00063811" w:rsidRDefault="00327ED3" w:rsidP="008612B7">
      <w:pPr>
        <w:pStyle w:val="Heading3"/>
      </w:pPr>
      <w:r w:rsidRPr="00063811">
        <w:t>Firm Size and Age</w:t>
      </w:r>
    </w:p>
    <w:p w14:paraId="7DB01F5C" w14:textId="3D297FB8" w:rsidR="00327ED3" w:rsidRPr="00063811" w:rsidRDefault="00327ED3" w:rsidP="00F256FD">
      <w:pPr>
        <w:spacing w:line="480" w:lineRule="auto"/>
        <w:ind w:firstLine="720"/>
        <w:contextualSpacing/>
        <w:rPr>
          <w:bCs/>
        </w:rPr>
      </w:pPr>
      <w:r w:rsidRPr="00063811">
        <w:rPr>
          <w:bCs/>
        </w:rPr>
        <w:t xml:space="preserve">Among firm characteristics, size and age are consistently identified as critical determinants of ESG performance </w:t>
      </w:r>
      <w:r w:rsidR="00714A98" w:rsidRPr="00063811">
        <w:rPr>
          <w:bCs/>
        </w:rPr>
        <w:fldChar w:fldCharType="begin"/>
      </w:r>
      <w:r w:rsidR="00714A98" w:rsidRPr="00063811">
        <w:rPr>
          <w:bCs/>
        </w:rPr>
        <w:instrText xml:space="preserve"> ADDIN ZOTERO_ITEM CSL_CITATION {"citationID":"7a34F8Gb","properties":{"formattedCitation":"(Khaled et al., 2021; Lestari &amp; Adhariani, 2022)","plainCitation":"(Khaled et al., 2021; Lestari &amp; Adhariani, 2022)","noteIndex":0},"citationItems":[{"id":632,"uris":["http://zotero.org/users/13148740/items/58NDR2AB"],"itemData":{"id":632,"type":"article-journal","container-title":"Journal of Cleaner Production","DOI":"10.1016/j.jclepro.2021.127599","ISSN":"09596526","journalAbbreviation":"Journal of Cleaner Production","language":"en","page":"127599","source":"DOI.org (Crossref)","title":"The Sustainable Development Goals and corporate sustainability performance: Mapping, extent and determinants","title-short":"The Sustainable Development Goals and corporate sustainability performance","volume":"311","author":[{"family":"Khaled","given":"Raneem"},{"family":"Ali","given":"Heba"},{"family":"Mohamed","given":"Ehab K.A."}],"issued":{"date-parts":[["2021",8]]}}},{"id":633,"uris":["http://zotero.org/users/13148740/items/PWWZ2IE9"],"itemData":{"id":633,"type":"article-journal","abstract":"Abstract\n            The contribution of intellectual capital (IC) on financial performance have been found in previous studies but whether IC can also be utilised to improve non‐financial performance has been understudied; let alone the contributions in different economic conditions (normal and crisis periods). This study aims to provide empirical findings to answer these issues by defining non‐financial performance in terms of the environmental, social, and governance (ESG) performance and COVID‐19 pandemic to represent the crisis. Non‐financial companies listed on stock exchanges in the Southeast Asia countries that are member of ASEAN (Association of Southeast Asian Nations) were selected as the samples for the research period of 2016–2020. The results show that the IC has a positive association with financial performance but a negative relationship with ESG performance. With the COVID‐19 pandemic as the moderating variable, the results show that the pandemic period is not found to moderate the effect of the IC on financial performance and ESG performance. These results indicate that under normal conditions prior to the economic crisis caused by COVID‐19, companies in Southeast Asia prioritised the use of IC to improve financial performance. Meanwhile, during the COVID‐19 pandemic, companies in the region have not utilised IC to improve their financial and non‐financial performance. The findings that IC affect ESG performance negatively need a serious attention amid the increasing awareness of sustainability and the expected role of corporate in the achievement of the Sustainable Development Goals (SDGs).","container-title":"Business Strategy &amp; Development","DOI":"10.1002/bsd2.206","ISSN":"2572-3170, 2572-3170","issue":"4","journalAbbreviation":"Bus Strat Dev","language":"en","page":"390-404","source":"DOI.org (Crossref)","title":"Can intellectual capital contribute to financial and non‐financial performances during normal and crisis situations?","volume":"5","author":[{"family":"Lestari","given":"Novita Indri Garini"},{"family":"Adhariani","given":"Desi"}],"issued":{"date-parts":[["2022",12]]}}}],"schema":"https://github.com/citation-style-language/schema/raw/master/csl-citation.json"} </w:instrText>
      </w:r>
      <w:r w:rsidR="00714A98" w:rsidRPr="00063811">
        <w:rPr>
          <w:bCs/>
        </w:rPr>
        <w:fldChar w:fldCharType="separate"/>
      </w:r>
      <w:r w:rsidR="00714A98" w:rsidRPr="00063811">
        <w:t>(Khaled et al., 2021; Lestari &amp; Adhariani, 2022)</w:t>
      </w:r>
      <w:r w:rsidR="00714A98" w:rsidRPr="00063811">
        <w:rPr>
          <w:bCs/>
        </w:rPr>
        <w:fldChar w:fldCharType="end"/>
      </w:r>
      <w:r w:rsidRPr="00063811">
        <w:rPr>
          <w:bCs/>
        </w:rPr>
        <w:t xml:space="preserve">. Larger and more established firms typically possess greater resources, allowing substantial investment in sustainability practices and advanced technologies. Such financial flexibility often remains inaccessible to smaller or younger firms due to resource constraints </w:t>
      </w:r>
      <w:r w:rsidR="00714A98" w:rsidRPr="00063811">
        <w:rPr>
          <w:bCs/>
        </w:rPr>
        <w:fldChar w:fldCharType="begin"/>
      </w:r>
      <w:r w:rsidR="00714A98" w:rsidRPr="00063811">
        <w:rPr>
          <w:bCs/>
        </w:rPr>
        <w:instrText xml:space="preserve"> ADDIN ZOTERO_ITEM CSL_CITATION {"citationID":"CWasgBlm","properties":{"unsorted":true,"formattedCitation":"(Ahmad et al., 2021; Kim &amp; Li, 2021; Gholami et al., 2022)","plainCitation":"(Ahmad et al., 2021; Kim &amp; Li, 2021; Gholami et al., 2022)","noteIndex":0},"citationItems":[{"id":640,"uris":["http://zotero.org/users/13148740/items/28SNPP43"],"itemData":{"id":640,"type":"article-journal","container-title":"Cogent Business &amp; Management","DOI":"10.1080/23311975.2021.1900500","ISSN":"2331-1975","issue":"1","journalAbbreviation":"Cogent Business &amp; Management","language":"en","page":"1900500","source":"DOI.org (Crossref)","title":"Revisiting the impact of ESG on financial performance of FTSE350 UK firms: Static and dynamic panel data analysis","title-short":"Revisiting the impact of ESG on financial performance of FTSE350 UK firms","volume":"8","author":[{"family":"Ahmad","given":"Nisar"},{"family":"Mobarek","given":"Asma"},{"family":"Roni","given":"Naheed Nawazesh"}],"editor":[{"family":"Tan","given":"Albert W. K."}],"issued":{"date-parts":[["2021",1,1]]}}},{"id":638,"uris":["http://zotero.org/users/13148740/items/QALMRYBQ"],"itemData":{"id":638,"type":"article-journal","abstract":"This study examines the relationship between environmental, social, and governance (ESG) factors and corporate financial performance. Specifically, we study various individual ESG categories, both ESG strengths and concerns, and aggregate ESG factor and their impact on corporate financial performance including profitability and financial risk. We find a positive effect of ESG factors on corporate profitability, and the effect is more pronounced for larger firms. Among different ESG categories, corporate governance has the most significant impact, particularly for firms with weak governance. We also find that ESG variables generally have a positive influence on credit rating. In particular, the social factor has the most significant impact on credit rating, while environmental score surprisingly has a negative effect. Overall, this research provides a rationale for ESG integration in the context of investment management and portfolio construction to maximize value and minimize risk.","container-title":"Sustainability","DOI":"10.3390/su13073746","ISSN":"2071-1050","issue":"7","journalAbbreviation":"Sustainability","language":"en","license":"https://creativecommons.org/licenses/by/4.0/","page":"3746","source":"DOI.org (Crossref)","title":"Understanding the Impact of ESG Practices in Corporate Finance","volume":"13","author":[{"family":"Kim","given":"Sang"},{"family":"Li","given":"Zhichuan (Frank)"}],"issued":{"date-parts":[["2021",3,27]]}}},{"id":644,"uris":["http://zotero.org/users/13148740/items/FSQR9EKK"],"itemData":{"id":644,"type":"article-journal","abstract":"This study examines the association between a firm’s environmental, social and governance (ESG) performance and financial performance by examining the extent to which stakeholder and legitimacy theory help explain the effects on explanatory variables used in the study. Moreover, the study makes a novel contribution to existing ESG and performance-based studies by exploring the explanatory effects of ESG and firm performance over ten years. In addition, the study discusses the ESG-performance link of SMEs, thus advancing existing knowledge related to ESG in respect of SME performance. The study uses an extensive Australian sample from Bloomberg’s database from 2007 to 2017, while panel regression analysis is applied to investigate the relationship between a firm’s ESG performance and profitability. The robustness of the results is evaluated after incorporating several robustness checks to address methodological, endogeneity and causality issues related to a firm’s ESG performance disclosure. The empirical findings of this study suggest that improving a firm’s ESG performance is beneficial to all stakeholders of large firms in the long run but not for SME companies. The theoretical model suggests that listed SMEs do not disclose their ESG activities for various reasons, such as a lack of necessary resources. Specifically, the study extends scholarly understanding of existing theory and discusses the significance of the findings for future research.","container-title":"Sustainability","DOI":"10.3390/su14106019","ISSN":"2071-1050","issue":"10","journalAbbreviation":"Sustainability","language":"en","license":"https://creativecommons.org/licenses/by/4.0/","page":"6019","source":"DOI.org (Crossref)","title":"Environmental, Social, Governance &amp; Financial Performance Disclosure for Large Firms: Is This Different for SME Firms?","title-short":"Environmental, Social, Governance &amp; Financial Performance Disclosure for Large Firms","volume":"14","author":[{"family":"Gholami","given":"Amir"},{"family":"Murray","given":"Peter A."},{"family":"Sands","given":"John"}],"issued":{"date-parts":[["2022",5,16]]}}}],"schema":"https://github.com/citation-style-language/schema/raw/master/csl-citation.json"} </w:instrText>
      </w:r>
      <w:r w:rsidR="00714A98" w:rsidRPr="00063811">
        <w:rPr>
          <w:bCs/>
        </w:rPr>
        <w:fldChar w:fldCharType="separate"/>
      </w:r>
      <w:r w:rsidR="00714A98" w:rsidRPr="00063811">
        <w:t>(Ahmad et al., 2021; Kim &amp; Li, 2021; Gholami et al., 2022)</w:t>
      </w:r>
      <w:r w:rsidR="00714A98" w:rsidRPr="00063811">
        <w:rPr>
          <w:bCs/>
        </w:rPr>
        <w:fldChar w:fldCharType="end"/>
      </w:r>
      <w:r w:rsidRPr="00063811">
        <w:rPr>
          <w:bCs/>
        </w:rPr>
        <w:t>. Consequently, overlooking these characteristics may yield misleading conclusions regarding ESG performance determinants, highlighting the need to control for firm size and age in empirical ESG research.</w:t>
      </w:r>
    </w:p>
    <w:p w14:paraId="68B00355" w14:textId="77777777" w:rsidR="00327ED3" w:rsidRPr="00063811" w:rsidRDefault="00327ED3" w:rsidP="008612B7">
      <w:pPr>
        <w:pStyle w:val="Heading3"/>
      </w:pPr>
      <w:r w:rsidRPr="00063811">
        <w:t>Financial Characteristics: Leverage, Profitability, and Market Valuation</w:t>
      </w:r>
    </w:p>
    <w:p w14:paraId="437CB7E9" w14:textId="55649658" w:rsidR="00327ED3" w:rsidRPr="00063811" w:rsidRDefault="00327ED3" w:rsidP="00F256FD">
      <w:pPr>
        <w:spacing w:line="480" w:lineRule="auto"/>
        <w:ind w:firstLine="720"/>
        <w:contextualSpacing/>
        <w:rPr>
          <w:bCs/>
        </w:rPr>
      </w:pPr>
      <w:r w:rsidRPr="00063811">
        <w:rPr>
          <w:bCs/>
        </w:rPr>
        <w:t xml:space="preserve">Financial structure, particularly leverage, also plays a notable yet complex role in ESG performance. Khaled et al. </w:t>
      </w:r>
      <w:r w:rsidR="00714A98" w:rsidRPr="00063811">
        <w:rPr>
          <w:bCs/>
        </w:rPr>
        <w:fldChar w:fldCharType="begin"/>
      </w:r>
      <w:r w:rsidR="00714A98" w:rsidRPr="00063811">
        <w:rPr>
          <w:bCs/>
        </w:rPr>
        <w:instrText xml:space="preserve"> ADDIN ZOTERO_ITEM CSL_CITATION {"citationID":"xalsRyet","properties":{"formattedCitation":"(2021)","plainCitation":"(2021)","noteIndex":0},"citationItems":[{"id":632,"uris":["http://zotero.org/users/13148740/items/58NDR2AB"],"itemData":{"id":632,"type":"article-journal","container-title":"Journal of Cleaner Production","DOI":"10.1016/j.jclepro.2021.127599","ISSN":"09596526","journalAbbreviation":"Journal of Cleaner Production","language":"en","page":"127599","source":"DOI.org (Crossref)","title":"The Sustainable Development Goals and corporate sustainability performance: Mapping, extent and determinants","title-short":"The Sustainable Development Goals and corporate sustainability performance","volume":"311","author":[{"family":"Khaled","given":"Raneem"},{"family":"Ali","given":"Heba"},{"family":"Mohamed","given":"Ehab K.A."}],"issued":{"date-parts":[["2021",8]]}},"suppress-author":true}],"schema":"https://github.com/citation-style-language/schema/raw/master/csl-citation.json"} </w:instrText>
      </w:r>
      <w:r w:rsidR="00714A98" w:rsidRPr="00063811">
        <w:rPr>
          <w:bCs/>
        </w:rPr>
        <w:fldChar w:fldCharType="separate"/>
      </w:r>
      <w:r w:rsidR="00714A98" w:rsidRPr="00063811">
        <w:t>(2021)</w:t>
      </w:r>
      <w:r w:rsidR="00714A98" w:rsidRPr="00063811">
        <w:rPr>
          <w:bCs/>
        </w:rPr>
        <w:fldChar w:fldCharType="end"/>
      </w:r>
      <w:r w:rsidRPr="00063811">
        <w:rPr>
          <w:bCs/>
        </w:rPr>
        <w:t xml:space="preserve">, analyzing 1202 firms across emerging markets, identified a positive relationship between leverage and ESG outcomes, explained through agency theory. </w:t>
      </w:r>
      <w:r w:rsidRPr="00063811">
        <w:rPr>
          <w:bCs/>
        </w:rPr>
        <w:lastRenderedPageBreak/>
        <w:t xml:space="preserve">Firms with higher leverage may prioritize ESG reporting to demonstrate effective risk management to investors and creditors, thus reducing debt-associated risks and costs. However, this relationship may be context-dependent, particularly pronounced in emerging markets where agency costs are substantial, and transparency is critical </w:t>
      </w:r>
      <w:r w:rsidR="00484224" w:rsidRPr="00063811">
        <w:rPr>
          <w:bCs/>
        </w:rPr>
        <w:fldChar w:fldCharType="begin"/>
      </w:r>
      <w:r w:rsidR="00484224" w:rsidRPr="00063811">
        <w:rPr>
          <w:bCs/>
        </w:rPr>
        <w:instrText xml:space="preserve"> ADDIN ZOTERO_ITEM CSL_CITATION {"citationID":"EJwuH1ql","properties":{"formattedCitation":"(Chan et al., 2017)","plainCitation":"(Chan et al., 2017)","noteIndex":0},"citationItems":[{"id":759,"uris":["http://zotero.org/users/13148740/items/83SYNEBA"],"itemData":{"id":759,"type":"article-journal","container-title":"The North American Journal of Economics and Finance","DOI":"10.1016/j.najef.2016.10.009","ISSN":"10629408","journalAbbreviation":"The North American Journal of Economics and Finance","language":"en","page":"241-259","source":"DOI.org (Crossref)","title":"Do financial constraints matter when firms engage in CSR?","volume":"39","author":[{"family":"Chan","given":"Chia-Ying"},{"family":"Chou","given":"De-Wai"},{"family":"Lo","given":"Huai-Chun"}],"issued":{"date-parts":[["2017",1]]}}}],"schema":"https://github.com/citation-style-language/schema/raw/master/csl-citation.json"} </w:instrText>
      </w:r>
      <w:r w:rsidR="00484224" w:rsidRPr="00063811">
        <w:rPr>
          <w:bCs/>
        </w:rPr>
        <w:fldChar w:fldCharType="separate"/>
      </w:r>
      <w:r w:rsidR="00484224" w:rsidRPr="00063811">
        <w:t>(Chan et al., 2017)</w:t>
      </w:r>
      <w:r w:rsidR="00484224" w:rsidRPr="00063811">
        <w:rPr>
          <w:bCs/>
        </w:rPr>
        <w:fldChar w:fldCharType="end"/>
      </w:r>
      <w:r w:rsidRPr="00063811">
        <w:rPr>
          <w:bCs/>
        </w:rPr>
        <w:t>.</w:t>
      </w:r>
    </w:p>
    <w:p w14:paraId="22A82BEE" w14:textId="2161DFA6" w:rsidR="00327ED3" w:rsidRPr="00063811" w:rsidRDefault="00327ED3" w:rsidP="00F256FD">
      <w:pPr>
        <w:spacing w:line="480" w:lineRule="auto"/>
        <w:ind w:firstLine="720"/>
        <w:contextualSpacing/>
        <w:rPr>
          <w:bCs/>
        </w:rPr>
      </w:pPr>
      <w:r w:rsidRPr="00063811">
        <w:rPr>
          <w:bCs/>
        </w:rPr>
        <w:t xml:space="preserve">Profitability indicators, specifically </w:t>
      </w:r>
      <w:r w:rsidR="00833A39">
        <w:rPr>
          <w:bCs/>
        </w:rPr>
        <w:t>r</w:t>
      </w:r>
      <w:r w:rsidRPr="00063811">
        <w:rPr>
          <w:bCs/>
        </w:rPr>
        <w:t xml:space="preserve">eturn on </w:t>
      </w:r>
      <w:r w:rsidR="00833A39">
        <w:rPr>
          <w:bCs/>
        </w:rPr>
        <w:t>a</w:t>
      </w:r>
      <w:r w:rsidRPr="00063811">
        <w:rPr>
          <w:bCs/>
        </w:rPr>
        <w:t xml:space="preserve">ssets, exhibit a positive correlation with ESG performance. Firms with higher profitability generally possess better capacities to invest in sustainability initiatives, aligning financial strength with enhanced ESG outcomes </w:t>
      </w:r>
      <w:r w:rsidR="00484224" w:rsidRPr="00063811">
        <w:rPr>
          <w:bCs/>
        </w:rPr>
        <w:fldChar w:fldCharType="begin"/>
      </w:r>
      <w:r w:rsidR="00484224" w:rsidRPr="00063811">
        <w:rPr>
          <w:bCs/>
        </w:rPr>
        <w:instrText xml:space="preserve"> ADDIN ZOTERO_ITEM CSL_CITATION {"citationID":"xPLwj5hY","properties":{"unsorted":true,"formattedCitation":"(Miroshnychenko et al., 2017; Garcia &amp; Orsato, 2020; Khaled et al., 2021)","plainCitation":"(Miroshnychenko et al., 2017; Garcia &amp; Orsato, 2020; Khaled et al., 2021)","noteIndex":0},"citationItems":[{"id":782,"uris":["http://zotero.org/users/13148740/items/TSSCN5AA"],"itemData":{"id":782,"type":"article-journal","container-title":"Journal of Cleaner Production","DOI":"10.1016/j.jclepro.2017.01.058","ISSN":"09596526","journalAbbreviation":"Journal of Cleaner Production","language":"en","page":"340-351","source":"DOI.org (Crossref)","title":"Green practices and financial performance: A global outlook","title-short":"Green practices and financial performance","volume":"147","author":[{"family":"Miroshnychenko","given":"Ivan"},{"family":"Barontini","given":"Roberto"},{"family":"Testa","given":"Francesco"}],"issued":{"date-parts":[["2017",3]]}}},{"id":657,"uris":["http://zotero.org/users/13148740/items/TNDH6Y9M"],"itemData":{"id":657,"type":"article-journal","abstract":"Abstract\n            Considering the institutional, cultural, and regulatory differences across countries, this research investigates the association between environmental, social, and governance (ESG) performance and financial performance of companies from emerging and developed countries. The institutional difference hypothesis (IDH) suggests that institutional weaknesses in emerging markets affect the relationship between financial performance and corporate social performance (CSP) of companies. This can occur because, under such circumstances, firms are more likely to prioritize the capital accumulation and not recognize the potential strategic benefit of socially responsible investments. To investigate this hypothesis, we performed a regression analysis of panel data study comprising 2,165 companies from developed and emerging countries, covering the period between 2007 and 2014. Our results suggest that there is a prevalence of the institutional environment in relation to the financial and ESG performances of companies. These results are in line with the logic of the IDH.","container-title":"Business Strategy and the Environment","DOI":"10.1002/bse.2570","ISSN":"0964-4733, 1099-0836","issue":"8","journalAbbreviation":"Bus Strat Env","language":"en","page":"3261-3272","source":"DOI.org (Crossref)","title":"Testing the institutional difference hypothesis: A study about environmental, social, governance, and financial performance","title-short":"Testing the institutional difference hypothesis","volume":"29","author":[{"family":"Garcia","given":"Alexandre Sanches"},{"family":"Orsato","given":"Renato J."}],"issued":{"date-parts":[["2020",12]]}}},{"id":632,"uris":["http://zotero.org/users/13148740/items/58NDR2AB"],"itemData":{"id":632,"type":"article-journal","container-title":"Journal of Cleaner Production","DOI":"10.1016/j.jclepro.2021.127599","ISSN":"09596526","journalAbbreviation":"Journal of Cleaner Production","language":"en","page":"127599","source":"DOI.org (Crossref)","title":"The Sustainable Development Goals and corporate sustainability performance: Mapping, extent and determinants","title-short":"The Sustainable Development Goals and corporate sustainability performance","volume":"311","author":[{"family":"Khaled","given":"Raneem"},{"family":"Ali","given":"Heba"},{"family":"Mohamed","given":"Ehab K.A."}],"issued":{"date-parts":[["2021",8]]}}}],"schema":"https://github.com/citation-style-language/schema/raw/master/csl-citation.json"} </w:instrText>
      </w:r>
      <w:r w:rsidR="00484224" w:rsidRPr="00063811">
        <w:rPr>
          <w:bCs/>
        </w:rPr>
        <w:fldChar w:fldCharType="separate"/>
      </w:r>
      <w:r w:rsidR="00484224" w:rsidRPr="00063811">
        <w:t>(Miroshnychenko et al., 2017; Garcia &amp; Orsato, 2020; Khaled et al., 2021)</w:t>
      </w:r>
      <w:r w:rsidR="00484224" w:rsidRPr="00063811">
        <w:rPr>
          <w:bCs/>
        </w:rPr>
        <w:fldChar w:fldCharType="end"/>
      </w:r>
      <w:r w:rsidRPr="00063811">
        <w:rPr>
          <w:bCs/>
        </w:rPr>
        <w:t xml:space="preserve">. Similarly, firms exhibiting higher market valuations, measured by Tobin’s Q, are more likely to integrate sustainability into strategic operations, reflecting a market-driven incentive to maintain strong ESG performance </w:t>
      </w:r>
      <w:r w:rsidR="00484224" w:rsidRPr="00063811">
        <w:rPr>
          <w:bCs/>
        </w:rPr>
        <w:fldChar w:fldCharType="begin"/>
      </w:r>
      <w:r w:rsidR="00484224" w:rsidRPr="00063811">
        <w:rPr>
          <w:bCs/>
        </w:rPr>
        <w:instrText xml:space="preserve"> ADDIN ZOTERO_ITEM CSL_CITATION {"citationID":"Kgxlp5RA","properties":{"formattedCitation":"(Ortas et al., 2015)","plainCitation":"(Ortas et al., 2015)","noteIndex":0},"citationItems":[{"id":658,"uris":["http://zotero.org/users/13148740/items/SWP28WZU"],"itemData":{"id":658,"type":"article-journal","abstract":"This paper aims to investigate companies’ environmental, social, governance (ESG), and financial implications of their commitment to the United Nations Global Compact (UNGC). The focus is placed on companies operating in the three countries with the highest number of UNGC participants: Spain, France, and Japan. The results clearly reveal that adoption of the UNGC often requires an organizational change that fosters stakeholder engagement, ultimately resulting in improvements in companies’ ESG performance. Additionally, the results reveal that ESG performance has a significant impact on financial performance for companies that adopted the principles of the UNGC. These findings provide both non-financial and financial incentives to companies to commit to this voluntary corporate social responsibility (CSR) initiative, which will have important implications on companies’ strategic management policies that aim to foster sustainable businesses and community development. Finally, the linkages between the UNGC-committed companies’ ESG and financial performance may be influenced by geographical spread, mainly due to the appearance of differences in the institutional, societal, and cultural settings.","container-title":"Sustainability","DOI":"10.3390/su7021932","ISSN":"2071-1050","issue":"2","journalAbbreviation":"Sustainability","language":"en","license":"https://creativecommons.org/licenses/by/4.0/","page":"1932-1956","source":"DOI.org (Crossref)","title":"The Environmental, Social, Governance, and Financial Performance Effects on Companies that Adopt the United Nations Global Compact","volume":"7","author":[{"family":"Ortas","given":"Eduardo"},{"family":"Álvarez","given":"Igor"},{"family":"Garayar","given":"Ainhoa"}],"issued":{"date-parts":[["2015",2,11]]}}}],"schema":"https://github.com/citation-style-language/schema/raw/master/csl-citation.json"} </w:instrText>
      </w:r>
      <w:r w:rsidR="00484224" w:rsidRPr="00063811">
        <w:rPr>
          <w:bCs/>
        </w:rPr>
        <w:fldChar w:fldCharType="separate"/>
      </w:r>
      <w:r w:rsidR="00484224" w:rsidRPr="00063811">
        <w:t>(Ortas et al., 2015)</w:t>
      </w:r>
      <w:r w:rsidR="00484224" w:rsidRPr="00063811">
        <w:rPr>
          <w:bCs/>
        </w:rPr>
        <w:fldChar w:fldCharType="end"/>
      </w:r>
      <w:r w:rsidRPr="00063811">
        <w:rPr>
          <w:bCs/>
        </w:rPr>
        <w:t>.</w:t>
      </w:r>
    </w:p>
    <w:p w14:paraId="28AA0B79" w14:textId="77777777" w:rsidR="00327ED3" w:rsidRPr="00063811" w:rsidRDefault="00327ED3" w:rsidP="006760A7">
      <w:pPr>
        <w:pStyle w:val="Heading3"/>
      </w:pPr>
      <w:r w:rsidRPr="00063811">
        <w:t>Board Composition: Gender Diversity and Tenure</w:t>
      </w:r>
    </w:p>
    <w:p w14:paraId="1E86FBC6" w14:textId="3B4696AE" w:rsidR="00327ED3" w:rsidRPr="00063811" w:rsidRDefault="00327ED3" w:rsidP="00F256FD">
      <w:pPr>
        <w:spacing w:line="480" w:lineRule="auto"/>
        <w:ind w:firstLine="720"/>
        <w:contextualSpacing/>
        <w:rPr>
          <w:bCs/>
        </w:rPr>
      </w:pPr>
      <w:r w:rsidRPr="00063811">
        <w:rPr>
          <w:bCs/>
        </w:rPr>
        <w:t xml:space="preserve">Board gender </w:t>
      </w:r>
      <w:proofErr w:type="gramStart"/>
      <w:r w:rsidRPr="00063811">
        <w:rPr>
          <w:bCs/>
        </w:rPr>
        <w:t>diversity  is</w:t>
      </w:r>
      <w:proofErr w:type="gramEnd"/>
      <w:r w:rsidRPr="00063811">
        <w:rPr>
          <w:bCs/>
        </w:rPr>
        <w:t xml:space="preserve"> increasingly recognized as a significant determinant of ESG performance. Gender</w:t>
      </w:r>
      <w:r w:rsidR="00833A39">
        <w:rPr>
          <w:bCs/>
        </w:rPr>
        <w:t xml:space="preserve"> </w:t>
      </w:r>
      <w:r w:rsidRPr="00063811">
        <w:rPr>
          <w:bCs/>
        </w:rPr>
        <w:t>diverse boards are less prone to groupthink, enabling more comprehensive evaluations of ESG-related risks and opportunities</w:t>
      </w:r>
      <w:r w:rsidR="00484224" w:rsidRPr="00063811">
        <w:rPr>
          <w:bCs/>
        </w:rPr>
        <w:t xml:space="preserve"> </w:t>
      </w:r>
      <w:r w:rsidR="00484224" w:rsidRPr="00063811">
        <w:rPr>
          <w:bCs/>
        </w:rPr>
        <w:fldChar w:fldCharType="begin"/>
      </w:r>
      <w:r w:rsidR="00484224" w:rsidRPr="00063811">
        <w:rPr>
          <w:bCs/>
        </w:rPr>
        <w:instrText xml:space="preserve"> ADDIN ZOTERO_ITEM CSL_CITATION {"citationID":"gLKRRqRW","properties":{"formattedCitation":"(Cambrea et al., 2023)","plainCitation":"(Cambrea et al., 2023)","noteIndex":0},"citationItems":[{"id":601,"uris":["http://zotero.org/users/13148740/items/RS3YGPXQ"],"itemData":{"id":601,"type":"article-journal","abstract":"Abstract\n            Board composition has received increasingly more attention from scholars as an important determinant of environmental, social and governance (ESG) performance. Two factors of board composition receive attention as they strongly relate to sustainability issues: gender diversity and board independence. The aim of this study is to test whether the presence of a critical mass of women in boardrooms correlates with firm ESG performance. In addition, we aim to study whether women receiving appointment as executive rather than nonexecutive directors may positively influence ESG performance. Using a sample of Italian companies listed on the Mercato Telematico Azionario during 2003–2019, the empirical results show that a critical mass of at least three female directors is necessary to improve ESG performance and that executive women directors represent a crucial component of board mechanisms, in terms of aligning the needs of stakeholders, since they increase ESG performance. Because the advising and monitoring functions impact firm value, we support the idea that female directors in strategic positions in the boardroom may benefit ESG performance. Thus, we support the idea of increasing women's presence on corporate boards and across executive leadership as a measure and a signal of how firms can respond to ESG challenges.","container-title":"Business Strategy and the Environment","DOI":"10.1002/bse.3366","ISSN":"0964-4733, 1099-0836","issue":"7","journalAbbreviation":"Bus Strat Env","language":"en","page":"4299-4314","source":"DOI.org (Crossref)","title":"Advisory or monitoring role in ESG scenario: Which women directors are more influential in the Italian context?","title-short":"Advisory or monitoring role in ESG scenario","volume":"32","author":[{"family":"Cambrea","given":"Domenico Rocco"},{"family":"Paolone","given":"Francesco"},{"family":"Cucari","given":"Nicola"}],"issued":{"date-parts":[["2023",11]]}}}],"schema":"https://github.com/citation-style-language/schema/raw/master/csl-citation.json"} </w:instrText>
      </w:r>
      <w:r w:rsidR="00484224" w:rsidRPr="00063811">
        <w:rPr>
          <w:bCs/>
        </w:rPr>
        <w:fldChar w:fldCharType="separate"/>
      </w:r>
      <w:r w:rsidR="00484224" w:rsidRPr="00063811">
        <w:t>(Cambrea et al., 2023)</w:t>
      </w:r>
      <w:r w:rsidR="00484224" w:rsidRPr="00063811">
        <w:rPr>
          <w:bCs/>
        </w:rPr>
        <w:fldChar w:fldCharType="end"/>
      </w:r>
      <w:r w:rsidRPr="00063811">
        <w:rPr>
          <w:bCs/>
        </w:rPr>
        <w:t>. Historically, research linking B</w:t>
      </w:r>
      <w:r w:rsidR="00833A39">
        <w:rPr>
          <w:bCs/>
        </w:rPr>
        <w:t>oard gender diversity</w:t>
      </w:r>
      <w:r w:rsidRPr="00063811">
        <w:rPr>
          <w:bCs/>
        </w:rPr>
        <w:t xml:space="preserve"> to firm performance primarily focused on financial outcomes </w:t>
      </w:r>
      <w:r w:rsidR="00484224" w:rsidRPr="00063811">
        <w:rPr>
          <w:bCs/>
        </w:rPr>
        <w:fldChar w:fldCharType="begin"/>
      </w:r>
      <w:r w:rsidR="00484224" w:rsidRPr="00063811">
        <w:rPr>
          <w:bCs/>
        </w:rPr>
        <w:instrText xml:space="preserve"> ADDIN ZOTERO_ITEM CSL_CITATION {"citationID":"BRBZZik2","properties":{"formattedCitation":"(Post &amp; Byron, 2015)","plainCitation":"(Post &amp; Byron, 2015)","noteIndex":0},"citationItems":[{"id":586,"uris":["http://zotero.org/users/13148740/items/CLB7EQXC"],"itemData":{"id":586,"type":"article-journal","container-title":"Academy of Management Journal","DOI":"10.5465/amj.2013.0319","ISSN":"0001-4273, 1948-0989","issue":"5","journalAbbreviation":"AMJ","language":"en","page":"1546-1571","source":"DOI.org (Crossref)","title":"Women on Boards and Firm Financial Performance: A Meta-Analysis","title-short":"Women on Boards and Firm Financial Performance","volume":"58","author":[{"family":"Post","given":"Corinne"},{"family":"Byron","given":"Kris"}],"issued":{"date-parts":[["2015",10]]}}}],"schema":"https://github.com/citation-style-language/schema/raw/master/csl-citation.json"} </w:instrText>
      </w:r>
      <w:r w:rsidR="00484224" w:rsidRPr="00063811">
        <w:rPr>
          <w:bCs/>
        </w:rPr>
        <w:fldChar w:fldCharType="separate"/>
      </w:r>
      <w:r w:rsidR="00484224" w:rsidRPr="00063811">
        <w:t>(Post &amp; Byron, 2015)</w:t>
      </w:r>
      <w:r w:rsidR="00484224" w:rsidRPr="00063811">
        <w:rPr>
          <w:bCs/>
        </w:rPr>
        <w:fldChar w:fldCharType="end"/>
      </w:r>
      <w:r w:rsidRPr="00063811">
        <w:rPr>
          <w:bCs/>
        </w:rPr>
        <w:t>. Recent studies extend this focus to ESG performance, finding positive relationships between board gender diversity and ESG outcomes across various regions, including the United States, China, and Taiwan</w:t>
      </w:r>
      <w:r w:rsidR="00484224" w:rsidRPr="00063811">
        <w:rPr>
          <w:bCs/>
        </w:rPr>
        <w:t xml:space="preserve"> </w:t>
      </w:r>
      <w:r w:rsidR="00484224" w:rsidRPr="00063811">
        <w:rPr>
          <w:bCs/>
        </w:rPr>
        <w:fldChar w:fldCharType="begin"/>
      </w:r>
      <w:r w:rsidR="00484224" w:rsidRPr="00063811">
        <w:rPr>
          <w:bCs/>
        </w:rPr>
        <w:instrText xml:space="preserve"> ADDIN ZOTERO_ITEM CSL_CITATION {"citationID":"nkpLR3re","properties":{"formattedCitation":"(Chang et al., 2024; Shakil, 2021; Xiaomei et al., 2021)","plainCitation":"(Chang et al., 2024; Shakil, 2021; Xiaomei et al., 2021)","noteIndex":0},"citationItems":[{"id":603,"uris":["http://zotero.org/users/13148740/items/M3ZXQLH4"],"itemData":{"id":603,"type":"article-journal","abstract":"Abstract\n            Based on a total of 1,590 listed non-financial firms on the Taiwan Stock Exchange and the Taipei Exchange (formerly the Over The Counter securities market) covering the period of 2007~2020, this study examines whether firm's performance on Corporate Social Responsibility (CSR) is affected by corporate board gender diversity. Based on the Upper Echelons Theory, the Agency Theory and the Resource Dependence Theory, increasing the number of female director to achieve higher level of gender diversity brings forth traits such as compassion, kindness, helpfulness, empathy, interpersonal sensitivity, a willingness to nurture, and a greater concern for others' well-being. These traits help firms form policies that prioritize stakeholders' welfare. Moreover, board gender diversity corresponds to a more diverse and broad background, understanding and experience of business operations, enabling firms to better understand where the key interest groups they face are and what they value. This allows firms to make more effective and better-performing decision in CSR. Through correlation analysis and multiple regression estimation, the principal outcome shows that greater degree of board gender diversity is associated with better CSR performance, confirming the hypothesis that a more gender diversified board enhances the efficiency of monitoring and advising function of board and then forming corporate strategies and implementations toward a better stakeholders’ management.","container-title":"International Journal of Corporate Social Responsibility","DOI":"10.1186/s40991-024-00095-x","ISSN":"2366-0066, 2366-0074","issue":"1","journalAbbreviation":"Int J Corporate Soc Responsibility","language":"en","page":"7","source":"DOI.org (Crossref)","title":"Board gender diversity and corporate social responsibility","volume":"9","author":[{"family":"Chang","given":"Yuan"},{"family":"Wu","given":"Kun-Tsung"},{"family":"Lin","given":"Shu-Hui"},{"family":"Lin","given":"Chia-Jung"}],"issued":{"date-parts":[["2024",12]]}}},{"id":840,"uris":["http://zotero.org/users/13148740/items/5F632WCQ"],"itemData":{"id":840,"type":"article-journal","container-title":"Resources Policy","DOI":"10.1016/j.resourpol.2021.102144","ISSN":"03014207","journalAbbreviation":"Resources Policy","language":"en","page":"102144","source":"DOI.org (Crossref)","title":"Environmental, social and governance performance and financial risk: Moderating role of ESG controversies and board gender diversity","title-short":"Environmental, social and governance performance and financial risk","volume":"72","author":[{"family":"Shakil","given":"Mohammad Hassan"}],"issued":{"date-parts":[["2021",8]]}}},{"id":572,"uris":["http://zotero.org/users/13148740/items/VCBKMG2I"],"itemData":{"id":572,"type":"article-journal","abstract":"This study focuses on the two corporate governance variables of gender diversity and political connections and their effects on Environmental, Social and Governance (ESG) Performance in China with the moderating role of tenure.  To examine these effects, this study uses a hierarchical regression analysis to check the effects of a firm's corporate governance on ESG performance.  This analysis is based on a sample of 143 listed firms that have ESG scores in China over the four years 2015–2018. In specifically, the fixed-effect regression with Driscoll-Kraay (1998) standard errors is used to correct heteroskedasticity-autocorrelation and cross-sectional correlation. Moreover, this study considered the time fixed effect and utilized the instrumental variable approach to control the model's endogeneity. The empirical results from this analysis show that gender diversity and political connection can significantly and positively affect ESG performance.  As example of moderating results, Chairman’s tenure inhibits the effects of gender diversity and the political connection on ESG performance. To our knowledge, this study examines for the first time the moderating role of chairman's tenure in the impact of corporate governance on the ESG performance in the context of a weaker regulatory environment. This study's results provide a guide for investors and policymakers to make decisions about investment and ESG policy.","container-title":"Studies of Applied Economics","DOI":"10.25115/eea.v39i10.5962","ISSN":"1697-5731, 1133-3197","issue":"10","journalAbbreviation":"EEA","source":"DOI.org (Crossref)","title":"Gender Diversity, Political Connections and Environmental, Social and Governance Performance in China: The Moderating Role of Tenure","title-short":"Gender Diversity, Political Connections and Environmental, Social and Governance Performance in China","URL":"http://ojs.ual.es/ojs/index.php/eea/article/view/5962","volume":"39","author":[{"family":"Xiaomei","given":"Zhang"},{"family":"Rashdan Sallehuddin","given":"Mohd"},{"family":"Mohd Saad","given":"Rosli"},{"family":"Lu","given":"Zhou"}],"accessed":{"date-parts":[["2025",2,4]]},"issued":{"date-parts":[["2021",10,18]]}}}],"schema":"https://github.com/citation-style-language/schema/raw/master/csl-citation.json"} </w:instrText>
      </w:r>
      <w:r w:rsidR="00484224" w:rsidRPr="00063811">
        <w:rPr>
          <w:bCs/>
        </w:rPr>
        <w:fldChar w:fldCharType="separate"/>
      </w:r>
      <w:r w:rsidR="00484224" w:rsidRPr="00063811">
        <w:t>(Chang et al., 2024; Shakil, 2021; Xiaomei et al., 2021)</w:t>
      </w:r>
      <w:r w:rsidR="00484224" w:rsidRPr="00063811">
        <w:rPr>
          <w:bCs/>
        </w:rPr>
        <w:fldChar w:fldCharType="end"/>
      </w:r>
      <w:r w:rsidRPr="00063811">
        <w:rPr>
          <w:bCs/>
        </w:rPr>
        <w:t xml:space="preserve">. However, the strength of this relationship varies geographically, influenced by regional gender parity norms and governance practices </w:t>
      </w:r>
      <w:r w:rsidR="00484224" w:rsidRPr="00063811">
        <w:rPr>
          <w:bCs/>
        </w:rPr>
        <w:fldChar w:fldCharType="begin"/>
      </w:r>
      <w:r w:rsidR="0063213A" w:rsidRPr="00063811">
        <w:rPr>
          <w:bCs/>
        </w:rPr>
        <w:instrText xml:space="preserve"> ADDIN ZOTERO_ITEM CSL_CITATION {"citationID":"KFkCClw6","properties":{"formattedCitation":"(AlJanadi, 2025; S. Wu et al., 2022)","plainCitation":"(AlJanadi, 2025; S. Wu et al., 2022)","noteIndex":0},"citationItems":[{"id":590,"uris":["http://zotero.org/users/13148740/items/6ZWT63F5"],"itemData":{"id":590,"type":"article-journal","abstract":"Abstract\n            The significance of Gender diversity in enhancing quality of reporting has been a focal point of the theoretical and empirical research in recent decades. However, discrepancies persist between empirical findings and theoretical perspectives regarding the role of female representation in improving disclosure quality. This study aims to elucidate the relationship between female representation and disclosure. This study employs a series of meta-analyses techniques on 189 empirical studies spanning over 39 countries to investigate the relationship between female representation and disclosure. It further examines how gender parity, shareholder protection, types of disclosure, and publication quality moderate this relationship. The meta-analysis results indicate that female representation is significantly positively associated with disclosure. This positive association is more pronounced in countries with high gender parity and low shareholder protection, underscoring the crucial monitoring role female representation can play in safeguarding shareholders’ interests, particularly when women have greater influence in boardroom decision-making (i.e., gender parity). Additionally, the findings reveal that female representation is more significantly associated with social and environmental disclosure than with financial and governance disclosure. The study provides valuable insights for regulators, directors, and shareholders by advocating for the empowering of female representation and increasing the representation of women in senior positions within firms.","container-title":"International Journal of Disclosure and Governance","DOI":"10.1057/s41310-024-00285-w","ISSN":"1741-3591, 1746-6539","journalAbbreviation":"Int J Discl Gov","language":"en","source":"DOI.org (Crossref)","title":"Gender diversity and disclosure: a meta-analysis","title-short":"Gender diversity and disclosure","URL":"https://link.springer.com/10.1057/s41310-024-00285-w","author":[{"family":"AlJanadi","given":"Yaseen"}],"accessed":{"date-parts":[["2025",2,7]]},"issued":{"date-parts":[["2025",1,15]]}}},{"id":169,"uris":["http://zotero.org/users/13148740/items/BKC3Z2DU"],"itemData":{"id":169,"type":"article-journal","abstract":"The purpose of this paper is to investigate the relationship between Environmental, Social and Governance (ESG) performance and firm value of Chinese manufacturing listed companies. The moderating role of ownership structure on the relationship between ESG performance and firm value is also tested. Sino-Securities ESG Rating is adopted in this paper to measure ESG performance and ownership structure is measured in four aspects, which include ownership concentration, equity balances, executive shareholding and institutional investor shareholding. We find that (1) ESG performance is important in improving firm value, (2) executive ownership and institutional ownership positively and significantly affect firm value, while ownership concentration and equity balance have no impact and (3) executive ownership and institutional ownership moderate the link between ESG performance and firm value, whereas the moderating role of ownership concentration and equity balance is not significant. The results of this study contribute to the existing literature on ESG and will aid corporations to enhance firm value through improving ESG performance.","container-title":"Sustainability","DOI":"10.3390/su142114507","ISSN":"2071-1050","issue":"21","journalAbbreviation":"Sustainability","language":"en","page":"14507","source":"DOI.org (Crossref)","title":"The Impact of ESG Performance on Firm Value: The Moderating Role of Ownership Structure","title-short":"The Impact of ESG Performance on Firm Value","volume":"14","author":[{"family":"Wu","given":"Shiyu"},{"family":"Li","given":"Xinyi"},{"family":"Du","given":"Xiaosen"},{"family":"Li","given":"Zexin"}],"issued":{"date-parts":[["2022",11,4]]}}}],"schema":"https://github.com/citation-style-language/schema/raw/master/csl-citation.json"} </w:instrText>
      </w:r>
      <w:r w:rsidR="00484224" w:rsidRPr="00063811">
        <w:rPr>
          <w:bCs/>
        </w:rPr>
        <w:fldChar w:fldCharType="separate"/>
      </w:r>
      <w:r w:rsidR="0063213A" w:rsidRPr="00063811">
        <w:t>(AlJanadi, 2025; S. Wu et al., 2022)</w:t>
      </w:r>
      <w:r w:rsidR="00484224" w:rsidRPr="00063811">
        <w:rPr>
          <w:bCs/>
        </w:rPr>
        <w:fldChar w:fldCharType="end"/>
      </w:r>
      <w:r w:rsidRPr="00063811">
        <w:rPr>
          <w:bCs/>
        </w:rPr>
        <w:t>. Thus, geographic context must be considered when evaluating the impact of board gender diversity on ESG outcomes.</w:t>
      </w:r>
    </w:p>
    <w:p w14:paraId="3B75941A" w14:textId="45889632" w:rsidR="00327ED3" w:rsidRPr="00063811" w:rsidRDefault="00327ED3" w:rsidP="00F256FD">
      <w:pPr>
        <w:spacing w:line="480" w:lineRule="auto"/>
        <w:ind w:firstLine="720"/>
        <w:contextualSpacing/>
        <w:rPr>
          <w:bCs/>
        </w:rPr>
      </w:pPr>
      <w:r w:rsidRPr="00063811">
        <w:rPr>
          <w:bCs/>
        </w:rPr>
        <w:lastRenderedPageBreak/>
        <w:t xml:space="preserve">Board tenure is another influential factor, with research presenting nuanced implications for ESG performance. According to the "expertise hypothesis," longer board tenure positively affects ESG performance by enhancing decision-making through accumulated knowledge and industry-specific insights (Schnake et al., 2011). Studies by Cremona and </w:t>
      </w:r>
      <w:proofErr w:type="spellStart"/>
      <w:r w:rsidRPr="00063811">
        <w:rPr>
          <w:bCs/>
        </w:rPr>
        <w:t>Passador</w:t>
      </w:r>
      <w:proofErr w:type="spellEnd"/>
      <w:r w:rsidRPr="00063811">
        <w:rPr>
          <w:bCs/>
        </w:rPr>
        <w:t xml:space="preserve"> </w:t>
      </w:r>
      <w:r w:rsidR="00484224" w:rsidRPr="00063811">
        <w:rPr>
          <w:bCs/>
        </w:rPr>
        <w:fldChar w:fldCharType="begin"/>
      </w:r>
      <w:r w:rsidR="0063213A" w:rsidRPr="00063811">
        <w:rPr>
          <w:bCs/>
        </w:rPr>
        <w:instrText xml:space="preserve"> ADDIN ZOTERO_ITEM CSL_CITATION {"citationID":"7Jzc30fm","properties":{"formattedCitation":"(2019)","plainCitation":"(2019)","noteIndex":0},"citationItems":[{"id":670,"uris":["http://zotero.org/users/13148740/items/9EVTNAV7"],"itemData":{"id":670,"type":"article-journal","container-title":"Banking &amp; Insurance eJournal","title":"What About the Future of European Banks? Board Characteristics and ESG Impact","URL":"https://api.semanticscholar.org/CorpusID:214427341","author":[{"family":"Cremona","given":"Brando Maria"},{"family":"Passador","given":"Maria Lucia"}],"issued":{"date-parts":[["2019"]]}},"suppress-author":true}],"schema":"https://github.com/citation-style-language/schema/raw/master/csl-citation.json"} </w:instrText>
      </w:r>
      <w:r w:rsidR="00484224" w:rsidRPr="00063811">
        <w:rPr>
          <w:bCs/>
        </w:rPr>
        <w:fldChar w:fldCharType="separate"/>
      </w:r>
      <w:r w:rsidR="0063213A" w:rsidRPr="00063811">
        <w:t>(2019)</w:t>
      </w:r>
      <w:r w:rsidR="00484224" w:rsidRPr="00063811">
        <w:rPr>
          <w:bCs/>
        </w:rPr>
        <w:fldChar w:fldCharType="end"/>
      </w:r>
      <w:r w:rsidRPr="00063811">
        <w:rPr>
          <w:bCs/>
        </w:rPr>
        <w:t xml:space="preserve"> and Andreassen and Bukhari </w:t>
      </w:r>
      <w:r w:rsidR="0063213A" w:rsidRPr="00063811">
        <w:rPr>
          <w:bCs/>
        </w:rPr>
        <w:fldChar w:fldCharType="begin"/>
      </w:r>
      <w:r w:rsidR="0063213A" w:rsidRPr="00063811">
        <w:rPr>
          <w:bCs/>
        </w:rPr>
        <w:instrText xml:space="preserve"> ADDIN ZOTERO_ITEM CSL_CITATION {"citationID":"cAzyxJqi","properties":{"formattedCitation":"(2024)","plainCitation":"(2024)","noteIndex":0},"citationItems":[{"id":669,"uris":["http://zotero.org/users/13148740/items/T3T8BF3T"],"itemData":{"id":669,"type":"article-journal","container-title":"Oslo Metropolitan University","DOI":"https://hdl.handle.net/11250/3167038","title":"Impacts of board characteristics on ESG performance in the industrial sector: A quantitative study with evidence from Scandinavia","author":[{"family":"Andreassen","given":"Sofie Durban"},{"family":"Bukhari","given":"Syed Kamran Ul Hassan"}],"issued":{"date-parts":[["2024"]]}},"suppress-author":true}],"schema":"https://github.com/citation-style-language/schema/raw/master/csl-citation.json"} </w:instrText>
      </w:r>
      <w:r w:rsidR="0063213A" w:rsidRPr="00063811">
        <w:rPr>
          <w:bCs/>
        </w:rPr>
        <w:fldChar w:fldCharType="separate"/>
      </w:r>
      <w:r w:rsidR="0063213A" w:rsidRPr="00063811">
        <w:t>(2024)</w:t>
      </w:r>
      <w:r w:rsidR="0063213A" w:rsidRPr="00063811">
        <w:rPr>
          <w:bCs/>
        </w:rPr>
        <w:fldChar w:fldCharType="end"/>
      </w:r>
      <w:r w:rsidRPr="00063811">
        <w:rPr>
          <w:bCs/>
        </w:rPr>
        <w:t xml:space="preserve"> confirm a positive correlation between tenure length and improved environmental and social outcomes. Conversely, extended board tenure is also associated with heightened risk aversion </w:t>
      </w:r>
      <w:r w:rsidR="0063213A" w:rsidRPr="00063811">
        <w:rPr>
          <w:bCs/>
        </w:rPr>
        <w:fldChar w:fldCharType="begin"/>
      </w:r>
      <w:r w:rsidR="0063213A" w:rsidRPr="00063811">
        <w:rPr>
          <w:bCs/>
        </w:rPr>
        <w:instrText xml:space="preserve"> ADDIN ZOTERO_ITEM CSL_CITATION {"citationID":"yMRDXEPs","properties":{"formattedCitation":"(Beasley, 1996; Katmon et al., 2019)","plainCitation":"(Beasley, 1996; Katmon et al., 2019)","noteIndex":0},"citationItems":[{"id":678,"uris":["http://zotero.org/users/13148740/items/93PNJEXI"],"itemData":{"id":678,"type":"article-journal","archive_location":"218534897; 01405894; 00614659","container-title":"The Accounting Review","ISSN":"00014826","issue":"4","language":"English","note":"publisher-place: Sarasota\npublisher: American Accounting Association","page":"443-465","title":"An empirical analysis of the relation between the board of director composition and financial statement fraud","volume":"71","author":[{"family":"Beasley","given":"Mark S"}],"issued":{"date-parts":[["1996",10]]}}},{"id":672,"uris":["http://zotero.org/users/13148740/items/4QBJHQJZ"],"itemData":{"id":672,"type":"article-journal","container-title":"Journal of Business Ethics","DOI":"10.1007/s10551-017-3672-6","ISSN":"0167-4544, 1573-0697","issue":"2","journalAbbreviation":"J Bus Ethics","language":"en","page":"447-481","source":"DOI.org (Crossref)","title":"Comprehensive Board Diversity and Quality of Corporate Social Responsibility Disclosure: Evidence from an Emerging Market","title-short":"Comprehensive Board Diversity and Quality of Corporate Social Responsibility Disclosure","volume":"157","author":[{"family":"Katmon","given":"Nooraisah"},{"family":"Mohamad","given":"Zam Zuriyati"},{"family":"Norwani","given":"Norlia Mat"},{"family":"Farooque","given":"Omar Al"}],"issued":{"date-parts":[["2019",6]]}}}],"schema":"https://github.com/citation-style-language/schema/raw/master/csl-citation.json"} </w:instrText>
      </w:r>
      <w:r w:rsidR="0063213A" w:rsidRPr="00063811">
        <w:rPr>
          <w:bCs/>
        </w:rPr>
        <w:fldChar w:fldCharType="separate"/>
      </w:r>
      <w:r w:rsidR="0063213A" w:rsidRPr="00063811">
        <w:t>(Beasley, 1996; Katmon et al., 2019)</w:t>
      </w:r>
      <w:r w:rsidR="0063213A" w:rsidRPr="00063811">
        <w:rPr>
          <w:bCs/>
        </w:rPr>
        <w:fldChar w:fldCharType="end"/>
      </w:r>
      <w:r w:rsidRPr="00063811">
        <w:rPr>
          <w:bCs/>
        </w:rPr>
        <w:t xml:space="preserve"> and diminished oversight objectivity, potentially compromising ESG performance </w:t>
      </w:r>
      <w:r w:rsidR="0063213A" w:rsidRPr="00063811">
        <w:rPr>
          <w:bCs/>
        </w:rPr>
        <w:fldChar w:fldCharType="begin"/>
      </w:r>
      <w:r w:rsidR="0063213A" w:rsidRPr="00063811">
        <w:rPr>
          <w:bCs/>
        </w:rPr>
        <w:instrText xml:space="preserve"> ADDIN ZOTERO_ITEM CSL_CITATION {"citationID":"X18c3k8m","properties":{"formattedCitation":"(Sharma &amp; Iselin, 2012)","plainCitation":"(Sharma &amp; Iselin, 2012)","noteIndex":0},"citationItems":[{"id":671,"uris":["http://zotero.org/users/13148740/items/CY4B6YCT"],"itemData":{"id":671,"type":"article-journal","abstract":"SUMMARY\n            This study examines the association between multiple-directorships and tenure of independent audit committee members and financial misstatements in the pre- and post-Sarbanes-Oxley (SOX) reform environment. Regulatory reforms following the accounting scandals at Enron and WorldCom substantially expanded the responsibilities and scrutiny of the audit committee and, consequently, amplify the reputational and litigation risks facing the directors serving on the committee. Our results show a significant positive association between financial misstatements and multiple-directorships in the post-SOX environment. This finding suggests that independent audit committee members serving on multiple boards may be stretched too thinly to effectively perform their monitoring responsibilities. We also find a significant positive association between the tenure of independent audit committee members and financial misstatements in the post-SOX environment, suggesting that directors with longer tenure may not exercise independent judgment. These observations support calls for limits on multiple-directorships and director tenure, and add to our understanding of how independent directors' characteristics affect the effectiveness of the audit committee.","container-title":"AUDITING: A Journal of Practice &amp; Theory","DOI":"10.2308/ajpt-10290","ISSN":"0278-0380, 1558-7991","issue":"3","language":"en","page":"149-175","source":"DOI.org (Crossref)","title":"The Association between Audit Committee Multiple-Directorships, Tenure, and Financial Misstatements","volume":"31","author":[{"family":"Sharma","given":"Vineeta D."},{"family":"Iselin","given":"Errol R."}],"issued":{"date-parts":[["2012",8,1]]}}}],"schema":"https://github.com/citation-style-language/schema/raw/master/csl-citation.json"} </w:instrText>
      </w:r>
      <w:r w:rsidR="0063213A" w:rsidRPr="00063811">
        <w:rPr>
          <w:bCs/>
        </w:rPr>
        <w:fldChar w:fldCharType="separate"/>
      </w:r>
      <w:r w:rsidR="0063213A" w:rsidRPr="00063811">
        <w:t>(Sharma &amp; Iselin, 2012)</w:t>
      </w:r>
      <w:r w:rsidR="0063213A" w:rsidRPr="00063811">
        <w:rPr>
          <w:bCs/>
        </w:rPr>
        <w:fldChar w:fldCharType="end"/>
      </w:r>
      <w:r w:rsidRPr="00063811">
        <w:rPr>
          <w:bCs/>
        </w:rPr>
        <w:t>. This dual perspective highlights the complex relationship between board tenure and ESG, suggesting a balance between leveraging experience and preventing complacency is crucial.</w:t>
      </w:r>
    </w:p>
    <w:p w14:paraId="28BF73A0" w14:textId="77777777" w:rsidR="00327ED3" w:rsidRPr="00063811" w:rsidRDefault="00327ED3" w:rsidP="00F256FD">
      <w:pPr>
        <w:spacing w:line="480" w:lineRule="auto"/>
        <w:ind w:firstLine="720"/>
        <w:contextualSpacing/>
        <w:rPr>
          <w:bCs/>
        </w:rPr>
      </w:pPr>
      <w:r w:rsidRPr="00063811">
        <w:rPr>
          <w:bCs/>
        </w:rPr>
        <w:t>Overall, firm characteristics significantly shape ESG outcomes, encompassing organizational attributes such as size and age, financial structures like leverage and profitability, and governance elements including board diversity and tenure. Recognizing and controlling these variables are vital for robust and insightful ESG performance analysis.</w:t>
      </w:r>
    </w:p>
    <w:p w14:paraId="08B943F1" w14:textId="56D13619" w:rsidR="00327ED3" w:rsidRPr="00063811" w:rsidRDefault="00327ED3" w:rsidP="006760A7">
      <w:pPr>
        <w:pStyle w:val="Heading2"/>
      </w:pPr>
      <w:bookmarkStart w:id="14" w:name="_Toc193977939"/>
      <w:r w:rsidRPr="00063811">
        <w:t xml:space="preserve">Regulatory Frameworks </w:t>
      </w:r>
      <w:r w:rsidR="004820BE" w:rsidRPr="00063811">
        <w:t>as Determinants of</w:t>
      </w:r>
      <w:r w:rsidRPr="00063811">
        <w:t xml:space="preserve"> ESG Performance</w:t>
      </w:r>
      <w:bookmarkEnd w:id="14"/>
    </w:p>
    <w:p w14:paraId="46702867" w14:textId="77777777" w:rsidR="00327ED3" w:rsidRPr="00063811" w:rsidRDefault="00327ED3" w:rsidP="00F256FD">
      <w:pPr>
        <w:spacing w:after="160" w:line="480" w:lineRule="auto"/>
        <w:ind w:firstLine="720"/>
      </w:pPr>
      <w:r w:rsidRPr="00063811">
        <w:t>Government regulations significantly influence corporate ESG performance, prompting diverse corporate responses depending on the nature and context of regulatory interventions. A broad range of governmental actions—including mandatory regulatory frameworks, targeted subsidies, taxation policies, transparency mandates, and public environmental investments—has been identified in the literature as critical determinants of ESG outcomes. While corporate reactions vary across regions and regulatory contexts, consistent themes emerge regarding the role of regulations in shaping corporate ESG strategies and performance.</w:t>
      </w:r>
    </w:p>
    <w:p w14:paraId="4ADC49C5" w14:textId="77777777" w:rsidR="00F9570A" w:rsidRDefault="00F9570A">
      <w:pPr>
        <w:spacing w:after="160" w:line="278" w:lineRule="auto"/>
        <w:rPr>
          <w:i/>
          <w:iCs/>
        </w:rPr>
      </w:pPr>
      <w:r>
        <w:br w:type="page"/>
      </w:r>
    </w:p>
    <w:p w14:paraId="57CAC591" w14:textId="00DD74F3" w:rsidR="00327ED3" w:rsidRPr="00063811" w:rsidRDefault="00327ED3" w:rsidP="006760A7">
      <w:pPr>
        <w:pStyle w:val="Heading3"/>
      </w:pPr>
      <w:r w:rsidRPr="00063811">
        <w:lastRenderedPageBreak/>
        <w:t>Mandatory ESG Disclosure and Reporting Regulations</w:t>
      </w:r>
    </w:p>
    <w:p w14:paraId="190A36D3" w14:textId="5CFB96A5" w:rsidR="00327ED3" w:rsidRPr="00063811" w:rsidRDefault="00327ED3" w:rsidP="00F256FD">
      <w:pPr>
        <w:spacing w:after="160" w:line="480" w:lineRule="auto"/>
        <w:ind w:firstLine="720"/>
      </w:pPr>
      <w:r w:rsidRPr="00063811">
        <w:t xml:space="preserve">Mandatory ESG disclosure requirements have become widespread, particularly in Europe and Asia, as governments aim to enhance corporate transparency, accountability, and comparability of sustainability performance. Wu et al. </w:t>
      </w:r>
      <w:r w:rsidR="0063213A" w:rsidRPr="00063811">
        <w:fldChar w:fldCharType="begin"/>
      </w:r>
      <w:r w:rsidR="0063213A" w:rsidRPr="00063811">
        <w:instrText xml:space="preserve"> ADDIN ZOTERO_ITEM CSL_CITATION {"citationID":"9aIBGsho","properties":{"formattedCitation":"(2025)","plainCitation":"(2025)","noteIndex":0},"citationItems":[{"id":605,"uris":["http://zotero.org/users/13148740/items/4HR6LKUD"],"itemData":{"id":605,"type":"article-journal","abstract":"Abstract\n            This paper examines the impact of mandatory disclosure requirement on corporate environmental, social, and governance (ESG) performance, specifically within the framework of China's “Dual‐Carbon” targets. Utilizing data on ESG performance of nonfinancial companies listed in mainland China from 2013 to 2021 and the implementation of the “explanation for nondisclosure” requirement by the Hong Kong Exchanges and Clearing Limited (HKEX) in 2016 as a quasi‐experiment, this study employs a difference‐in‐difference approach for empirical analysis. The findings reveal that the implementation of “explanation for nondisclosure” requirement has resulted in an average increase of 0.57 points in the ESG performance scores of corporations. Mechanism analysis indicates that this requirement promotes ESG performance by curbing corporate managerial myopia and enhancing the quality of internal controls. Further analysis using a triple difference model (DDD) reveals that the impact of the “explanation for nondisclosure” requirement is more pronounced for companies in heavily polluting industries. These findings are significant for understanding the role of mandatory ESG disclosure policies in promoting corporate green transformation and sustainable development. The results not only empirically support the advancement toward China's “Dual‐Carbon” goals but also offer insights for global policymakers in similar regulatory environments. Additionally, this study underscores the pivotal role of regulatory frameworks in aligning corporate strategies with global sustainability objectives.","container-title":"Corporate Social Responsibility and Environmental Management","DOI":"10.1002/csr.2944","ISSN":"1535-3958, 1535-3966","issue":"1","journalAbbreviation":"Corp Soc Responsibility Env","language":"en","page":"176-191","source":"DOI.org (Crossref)","title":"Mandatory disclosure and corporate &lt;span style=\"font-variant:small-caps;\"&gt;ESG&lt;/span&gt; performance: Evidence from China's “explanation for nondisclosure” requirement","title-short":"Mandatory disclosure and corporate &lt;span style=\"font-variant","volume":"32","author":[{"family":"Wu","given":"Longsheng"},{"family":"Liu","given":"Siyao"},{"family":"Qi","given":"Lingli"},{"family":"Lin","given":"Deqin"}],"issued":{"date-parts":[["2025",1]]}},"suppress-author":true}],"schema":"https://github.com/citation-style-language/schema/raw/master/csl-citation.json"} </w:instrText>
      </w:r>
      <w:r w:rsidR="0063213A" w:rsidRPr="00063811">
        <w:fldChar w:fldCharType="separate"/>
      </w:r>
      <w:r w:rsidR="0063213A" w:rsidRPr="00063811">
        <w:t>(2025)</w:t>
      </w:r>
      <w:r w:rsidR="0063213A" w:rsidRPr="00063811">
        <w:fldChar w:fldCharType="end"/>
      </w:r>
      <w:r w:rsidRPr="00063811">
        <w:t xml:space="preserve"> documented significant improvements in ESG scores following the implementation of mandatory ESG disclosure rules by the Hong Kong Stock Exchange in 2016. The improvements were especially pronounced in firms within highly polluting industries, indicating the effectiveness of mandated disclosure in driving substantive corporate change. Similarly, </w:t>
      </w:r>
      <w:proofErr w:type="spellStart"/>
      <w:r w:rsidRPr="00063811">
        <w:t>Cicchiello</w:t>
      </w:r>
      <w:proofErr w:type="spellEnd"/>
      <w:r w:rsidRPr="00063811">
        <w:t xml:space="preserve"> et al. </w:t>
      </w:r>
      <w:r w:rsidR="0063213A" w:rsidRPr="00063811">
        <w:fldChar w:fldCharType="begin"/>
      </w:r>
      <w:r w:rsidR="0063213A" w:rsidRPr="00063811">
        <w:instrText xml:space="preserve"> ADDIN ZOTERO_ITEM CSL_CITATION {"citationID":"DgL8inga","properties":{"formattedCitation":"(2023)","plainCitation":"(2023)","noteIndex":0},"citationItems":[{"id":79,"uris":["http://zotero.org/users/13148740/items/ZHS8R9S2"],"itemData":{"id":79,"type":"article-journal","abstract":"Abstract\n            The aim of this article is to analyse the effect of non‐financial reporting regulation on firms' Environmental, Social, and Governance (ESG) performance, commitment and effectiveness. Specifically, we explore the implications of the European Non‐Financial Reporting Directive (NFRD) mandating disclosure on non‐financial and diversity information by certain large companies. To identify the effect of the EU disclosure regulation on firms' ESG scores, we performed a differences‐in‐differences estimation using a sample of EU firms as the treated group and a sample of US firms as the control group in the period 2015–2020. Overall, our findings suggest that regulatory efforts to increase the transparency of the social and environmental impacts of firms' activities on society are effective at improving disclosure commitment and effectiveness. Hence, regulation supports the adoption of ESG strategies to the benefit of the whole society. The study provides a fresh comparison between regulating or not the ESG information market, drawing suggestions for future policy.","container-title":"Corporate Social Responsibility and Environmental Management","DOI":"10.1002/csr.2408","ISSN":"1535-3958, 1535-3966","issue":"3","journalAbbreviation":"Corp Soc Responsibility Env","language":"en","page":"1121-1128","source":"DOI.org (Crossref)","title":"Non‐financial disclosure regulation and environmental, social, and governance","title-short":"Non‐financial disclosure regulation and environmental, social, and governance ( &lt;span style=\"font-variant","volume":"30","author":[{"family":"Cicchiello","given":"Antonella Francesca"},{"family":"Marrazza","given":"Ferdinando"},{"family":"Perdichizzi","given":"Salvatore"}],"issued":{"date-parts":[["2023",5]]}},"suppress-author":true}],"schema":"https://github.com/citation-style-language/schema/raw/master/csl-citation.json"} </w:instrText>
      </w:r>
      <w:r w:rsidR="0063213A" w:rsidRPr="00063811">
        <w:fldChar w:fldCharType="separate"/>
      </w:r>
      <w:r w:rsidR="0063213A" w:rsidRPr="00063811">
        <w:t>(2023)</w:t>
      </w:r>
      <w:r w:rsidR="0063213A" w:rsidRPr="00063811">
        <w:fldChar w:fldCharType="end"/>
      </w:r>
      <w:r w:rsidRPr="00063811">
        <w:t xml:space="preserve"> and </w:t>
      </w:r>
      <w:proofErr w:type="spellStart"/>
      <w:r w:rsidRPr="00063811">
        <w:t>Mbanyele</w:t>
      </w:r>
      <w:proofErr w:type="spellEnd"/>
      <w:r w:rsidRPr="00063811">
        <w:t xml:space="preserve"> et al. </w:t>
      </w:r>
      <w:r w:rsidR="0063213A" w:rsidRPr="00063811">
        <w:fldChar w:fldCharType="begin"/>
      </w:r>
      <w:r w:rsidR="0063213A" w:rsidRPr="00063811">
        <w:instrText xml:space="preserve"> ADDIN ZOTERO_ITEM CSL_CITATION {"citationID":"4mg0nKjw","properties":{"formattedCitation":"(2022)","plainCitation":"(2022)","noteIndex":0},"citationItems":[{"id":821,"uris":["http://zotero.org/users/13148740/items/5VXVJ8CJ"],"itemData":{"id":821,"type":"article-journal","container-title":"Economics Letters","DOI":"10.1016/j.econlet.2022.110322","ISSN":"01651765","journalAbbreviation":"Economics Letters","language":"en","page":"110322","source":"DOI.org (Crossref)","title":"Corporate social responsibility and green innovation: Evidence from mandatory CSR disclosure laws","title-short":"Corporate social responsibility and green innovation","volume":"212","author":[{"family":"Mbanyele","given":"William"},{"family":"Huang","given":"Hongyun"},{"family":"Li","given":"Yafei"},{"family":"Muchenje","given":"Linda T."},{"family":"Wang","given":"Fengrong"}],"issued":{"date-parts":[["2022",3]]}},"suppress-author":true}],"schema":"https://github.com/citation-style-language/schema/raw/master/csl-citation.json"} </w:instrText>
      </w:r>
      <w:r w:rsidR="0063213A" w:rsidRPr="00063811">
        <w:fldChar w:fldCharType="separate"/>
      </w:r>
      <w:r w:rsidR="0063213A" w:rsidRPr="00063811">
        <w:t>(2022)</w:t>
      </w:r>
      <w:r w:rsidR="0063213A" w:rsidRPr="00063811">
        <w:fldChar w:fldCharType="end"/>
      </w:r>
      <w:r w:rsidRPr="00063811">
        <w:t xml:space="preserve"> found consistent outcomes in Europe, where the introduction of the EU Non-Financial Reporting Directive (NFRD) significantly boosted corporate sustainability efforts and ESG performance. However, Arvidsson and Dumay </w:t>
      </w:r>
      <w:r w:rsidR="0063213A" w:rsidRPr="00063811">
        <w:fldChar w:fldCharType="begin"/>
      </w:r>
      <w:r w:rsidR="0063213A" w:rsidRPr="00063811">
        <w:instrText xml:space="preserve"> ADDIN ZOTERO_ITEM CSL_CITATION {"citationID":"5bkJelIV","properties":{"formattedCitation":"(2022)","plainCitation":"(2022)","noteIndex":0},"citationItems":[{"id":245,"uris":["http://zotero.org/users/13148740/items/JPVLY5QA"],"itemData":{"id":245,"type":"article-journal","abstract":"Abstract\n            \n              Environmental, social and governance (ESG) issues are driving corporate strategy and performance. However, does this mean more ESG reporting is being done? If so, is the quality of ESG reports improving? And what about ESG performance? In this paper, we examine these three trends in ESG reporting—quantity, quality and corporate ESG performance. With a Swedish multinational corporate focus, we analyse data from Sustainalytics,\n              corporateregister.com\n              and the Alliance for Corporate Transparency to answer our research questions. Our analysis shows that, while the quality of ESG information in Sweden has steadily improved, performance plateaued around 2015. Mitigating problems such as the impacts of climate change and COVID‐19 call for improved ESG\n              performance\n              , not improved ESG reporting quantity or quality. Thus, rather than focusing on improving ESG reporting regulations, we need to redirect our focus towards creating better ESG outcomes. Therefore, we argue that companies must be asked to provide data that are more timely, relevant, credible and comparable and that demonstrate improved ESG performance. With this information, financial analysts and investors can redirect and accelerate capital flows towards corporate investments that help tackle important problems related to climate crises and the reaching of a sustainable development. Our analysis reveals that we need more research focusing on consumers, investors and policymakers. Future scholars could explore how changing consumer preferences are driving improvements in ESG performance and how changing capital market allocations affect ESG performance.","container-title":"Business Strategy and the Environment","DOI":"10.1002/bse.2937","ISSN":"0964-4733, 1099-0836","issue":"3","journalAbbreviation":"Bus Strat Env","language":"en","page":"1091-1110","source":"DOI.org (Crossref)","title":"Corporate ESG reporting quantity, quality and performance: Where to now for environmental policy and practice?","title-short":"Corporate ESG reporting quantity, quality and performance","volume":"31","author":[{"family":"Arvidsson","given":"Susanne"},{"family":"Dumay","given":"John"}],"issued":{"date-parts":[["2022",3]]}},"suppress-author":true}],"schema":"https://github.com/citation-style-language/schema/raw/master/csl-citation.json"} </w:instrText>
      </w:r>
      <w:r w:rsidR="0063213A" w:rsidRPr="00063811">
        <w:fldChar w:fldCharType="separate"/>
      </w:r>
      <w:r w:rsidR="0063213A" w:rsidRPr="00063811">
        <w:t>(2022)</w:t>
      </w:r>
      <w:r w:rsidR="0063213A" w:rsidRPr="00063811">
        <w:fldChar w:fldCharType="end"/>
      </w:r>
      <w:r w:rsidR="0063213A" w:rsidRPr="00063811">
        <w:t xml:space="preserve"> </w:t>
      </w:r>
      <w:r w:rsidRPr="00063811">
        <w:t>highlighted a critical nuance, noting that while mandatory disclosures increased reporting volume substantially, they concurrently resulted in a plateau in disclosure quality. This stagnation emerged as firms increasingly adopted standardized, compliance-oriented behaviors rather than deeper strategic engagement with ESG issues.</w:t>
      </w:r>
    </w:p>
    <w:p w14:paraId="37E60CC0" w14:textId="77777777" w:rsidR="00327ED3" w:rsidRPr="00063811" w:rsidRDefault="00327ED3" w:rsidP="00F256FD">
      <w:pPr>
        <w:spacing w:after="160" w:line="480" w:lineRule="auto"/>
        <w:ind w:firstLine="720"/>
      </w:pPr>
      <w:r w:rsidRPr="00063811">
        <w:t>These findings underscore an essential consideration for regulators: the distinction between disclosure quantity and quality, and how regulatory design impacts corporate ESG behavior in varying dimensions.</w:t>
      </w:r>
    </w:p>
    <w:p w14:paraId="0F840243" w14:textId="77777777" w:rsidR="00327ED3" w:rsidRPr="00063811" w:rsidRDefault="00327ED3" w:rsidP="006760A7">
      <w:pPr>
        <w:pStyle w:val="Heading3"/>
      </w:pPr>
      <w:r w:rsidRPr="00063811">
        <w:t>Strategic Adaptation to Regulatory Changes</w:t>
      </w:r>
    </w:p>
    <w:p w14:paraId="56577604" w14:textId="45FBBD1C" w:rsidR="00327ED3" w:rsidRPr="00063811" w:rsidRDefault="00327ED3" w:rsidP="00F256FD">
      <w:pPr>
        <w:spacing w:after="160" w:line="480" w:lineRule="auto"/>
        <w:ind w:firstLine="720"/>
      </w:pPr>
      <w:r w:rsidRPr="00063811">
        <w:t xml:space="preserve">Firms consistently employ strategic maneuvers to navigate regulatory uncertainty and evolving regulatory landscapes, strategically calibrating their compliance and ESG investments in response to anticipated regulatory actions and eventual enforcement intensity. Initially, companies may adopt proactive measures aimed at mitigating regulatory uncertainty and </w:t>
      </w:r>
      <w:r w:rsidRPr="00063811">
        <w:lastRenderedPageBreak/>
        <w:t xml:space="preserve">establishing early compliance, followed by strategic recalibration upon actual enforcement. </w:t>
      </w:r>
      <w:proofErr w:type="spellStart"/>
      <w:r w:rsidRPr="00063811">
        <w:t>Cicchiello</w:t>
      </w:r>
      <w:proofErr w:type="spellEnd"/>
      <w:r w:rsidRPr="00063811">
        <w:t xml:space="preserve"> et al. </w:t>
      </w:r>
      <w:r w:rsidR="0063213A" w:rsidRPr="00063811">
        <w:fldChar w:fldCharType="begin"/>
      </w:r>
      <w:r w:rsidR="0063213A" w:rsidRPr="00063811">
        <w:instrText xml:space="preserve"> ADDIN ZOTERO_ITEM CSL_CITATION {"citationID":"ZaC4JgaL","properties":{"formattedCitation":"(2023)","plainCitation":"(2023)","noteIndex":0},"citationItems":[{"id":79,"uris":["http://zotero.org/users/13148740/items/ZHS8R9S2"],"itemData":{"id":79,"type":"article-journal","abstract":"Abstract\n            The aim of this article is to analyse the effect of non‐financial reporting regulation on firms' Environmental, Social, and Governance (ESG) performance, commitment and effectiveness. Specifically, we explore the implications of the European Non‐Financial Reporting Directive (NFRD) mandating disclosure on non‐financial and diversity information by certain large companies. To identify the effect of the EU disclosure regulation on firms' ESG scores, we performed a differences‐in‐differences estimation using a sample of EU firms as the treated group and a sample of US firms as the control group in the period 2015–2020. Overall, our findings suggest that regulatory efforts to increase the transparency of the social and environmental impacts of firms' activities on society are effective at improving disclosure commitment and effectiveness. Hence, regulation supports the adoption of ESG strategies to the benefit of the whole society. The study provides a fresh comparison between regulating or not the ESG information market, drawing suggestions for future policy.","container-title":"Corporate Social Responsibility and Environmental Management","DOI":"10.1002/csr.2408","ISSN":"1535-3958, 1535-3966","issue":"3","journalAbbreviation":"Corp Soc Responsibility Env","language":"en","page":"1121-1128","source":"DOI.org (Crossref)","title":"Non‐financial disclosure regulation and environmental, social, and governance","title-short":"Non‐financial disclosure regulation and environmental, social, and governance ( &lt;span style=\"font-variant","volume":"30","author":[{"family":"Cicchiello","given":"Antonella Francesca"},{"family":"Marrazza","given":"Ferdinando"},{"family":"Perdichizzi","given":"Salvatore"}],"issued":{"date-parts":[["2023",5]]}},"suppress-author":true}],"schema":"https://github.com/citation-style-language/schema/raw/master/csl-citation.json"} </w:instrText>
      </w:r>
      <w:r w:rsidR="0063213A" w:rsidRPr="00063811">
        <w:fldChar w:fldCharType="separate"/>
      </w:r>
      <w:r w:rsidR="0063213A" w:rsidRPr="00063811">
        <w:t>(2023)</w:t>
      </w:r>
      <w:r w:rsidR="0063213A" w:rsidRPr="00063811">
        <w:fldChar w:fldCharType="end"/>
      </w:r>
      <w:r w:rsidRPr="00063811">
        <w:t xml:space="preserve"> further elaborated on this pattern within the European Union context, highlighting an initial minimal compliance approach by firms that evolves into deeper ESG engagement following more stringent enforcement actions.</w:t>
      </w:r>
    </w:p>
    <w:p w14:paraId="745761B3" w14:textId="5B1C4C4F" w:rsidR="00327ED3" w:rsidRPr="00063811" w:rsidRDefault="00327ED3" w:rsidP="00F256FD">
      <w:pPr>
        <w:spacing w:after="160" w:line="480" w:lineRule="auto"/>
        <w:ind w:firstLine="720"/>
      </w:pPr>
      <w:r w:rsidRPr="00063811">
        <w:t xml:space="preserve">A notable illustrative case from Garrett and Ivanov </w:t>
      </w:r>
      <w:r w:rsidR="0063213A" w:rsidRPr="00063811">
        <w:fldChar w:fldCharType="begin"/>
      </w:r>
      <w:r w:rsidR="0063213A" w:rsidRPr="00063811">
        <w:instrText xml:space="preserve"> ADDIN ZOTERO_ITEM CSL_CITATION {"citationID":"MZz8vBVE","properties":{"formattedCitation":"(2022)","plainCitation":"(2022)","noteIndex":0},"citationItems":[{"id":333,"uris":["http://zotero.org/users/13148740/items/WWUGGVKT"],"itemData":{"id":333,"type":"article-journal","container-title":"SSRN Electronic Journal","DOI":"10.2139/ssrn.4123366","ISSN":"1556-5068","journalAbbreviation":"SSRN Journal","language":"en","source":"DOI.org (Crossref)","title":"Gas, Guns, and Governments: Financial Costs of Anti-ESG Policies","title-short":"Gas, Guns, and Governments","URL":"https://www.ssrn.com/abstract=4123366","author":[{"family":"Garrett","given":"Daniel"},{"family":"Ivanov","given":"Ivan"}],"accessed":{"date-parts":[["2024",2,7]]},"issued":{"date-parts":[["2022"]]}},"suppress-author":true}],"schema":"https://github.com/citation-style-language/schema/raw/master/csl-citation.json"} </w:instrText>
      </w:r>
      <w:r w:rsidR="0063213A" w:rsidRPr="00063811">
        <w:fldChar w:fldCharType="separate"/>
      </w:r>
      <w:r w:rsidR="0063213A" w:rsidRPr="00063811">
        <w:t>(2022)</w:t>
      </w:r>
      <w:r w:rsidR="0063213A" w:rsidRPr="00063811">
        <w:fldChar w:fldCharType="end"/>
      </w:r>
      <w:r w:rsidRPr="00063811">
        <w:t xml:space="preserve"> occurred in Texas, where legislation prohibited financial institutions from incorporating ESG criteria into bond evaluations. This compelled lending firms to respond strategically, either exiting the market entirely or returning only under conditions of strict adherence to the legislation. The resulting pattern of repeated </w:t>
      </w:r>
      <w:r w:rsidR="00494E6C" w:rsidRPr="00063811">
        <w:t xml:space="preserve">bond </w:t>
      </w:r>
      <w:r w:rsidRPr="00063811">
        <w:t>market exits and reentries underscores the complexities and strategic considerations corporations face in responding to evolving regulatory frameworks.</w:t>
      </w:r>
    </w:p>
    <w:p w14:paraId="199955E5" w14:textId="346190AA" w:rsidR="00327ED3" w:rsidRPr="00063811" w:rsidRDefault="00327ED3" w:rsidP="00F256FD">
      <w:pPr>
        <w:spacing w:after="160" w:line="480" w:lineRule="auto"/>
        <w:ind w:firstLine="720"/>
      </w:pPr>
      <w:r w:rsidRPr="00063811">
        <w:t>In the European setting, similar strategic adaptations emerged in response to the NFRD. Arvidsson and Dumay (2022) observed that initially voluntary disclosures provided firms with a market advantage, but as mandatory requirements became standardized, firms shifted their strategic focus toward baseline compliance rather than deeper ESG innovation.</w:t>
      </w:r>
      <w:r w:rsidR="00D05494" w:rsidRPr="00063811">
        <w:t xml:space="preserve"> </w:t>
      </w:r>
      <w:r w:rsidRPr="00063811">
        <w:t>Thus, regulatory frameworks not only shape immediate corporate ESG outcomes but also influence firms' broader strategic decisions, often reflecting anticipatory behavior in response to perceived regulatory risks or opportunities.</w:t>
      </w:r>
    </w:p>
    <w:p w14:paraId="2A80E658" w14:textId="77777777" w:rsidR="00327ED3" w:rsidRPr="00063811" w:rsidRDefault="00327ED3" w:rsidP="006760A7">
      <w:pPr>
        <w:pStyle w:val="Heading3"/>
      </w:pPr>
      <w:r w:rsidRPr="00063811">
        <w:t>Expanding Research on Regulatory Influence</w:t>
      </w:r>
    </w:p>
    <w:p w14:paraId="2E1181A1" w14:textId="0C5C5920" w:rsidR="00327ED3" w:rsidRPr="00063811" w:rsidRDefault="00327ED3" w:rsidP="00F256FD">
      <w:pPr>
        <w:spacing w:after="160" w:line="480" w:lineRule="auto"/>
        <w:ind w:firstLine="720"/>
        <w:contextualSpacing/>
      </w:pPr>
      <w:r w:rsidRPr="00063811">
        <w:t xml:space="preserve">Current literature emphasizes various dimensions of governmental influence beyond direct disclosure requirements, including financial incentives and policy-specific interventions. Subsidies and public investments, particularly those targeting environmental innovation, significantly improve corporate ESG outcomes. Niu </w:t>
      </w:r>
      <w:r w:rsidR="00D05494" w:rsidRPr="00063811">
        <w:fldChar w:fldCharType="begin"/>
      </w:r>
      <w:r w:rsidR="00D05494" w:rsidRPr="00063811">
        <w:instrText xml:space="preserve"> ADDIN ZOTERO_ITEM CSL_CITATION {"citationID":"JPNS8gec","properties":{"formattedCitation":"(2024)","plainCitation":"(2024)","noteIndex":0},"citationItems":[{"id":820,"uris":["http://zotero.org/users/13148740/items/Q5BTK7ZB"],"itemData":{"id":820,"type":"article-journal","container-title":"Innovation and Green Development","DOI":"10.1016/j.igd.2023.100117","ISSN":"29497531","issue":"2","journalAbbreviation":"Innovation and Green Development","language":"en","page":"100117","source":"DOI.org (Crossref)","title":"Government environmental protection expenditure and national ESG performance: Global evidence","title-short":"Government environmental protection expenditure and national ESG performance","volume":"3","author":[{"family":"Niu","given":"Bingcheng"}],"issued":{"date-parts":[["2024",6]]}},"suppress-author":true}],"schema":"https://github.com/citation-style-language/schema/raw/master/csl-citation.json"} </w:instrText>
      </w:r>
      <w:r w:rsidR="00D05494" w:rsidRPr="00063811">
        <w:fldChar w:fldCharType="separate"/>
      </w:r>
      <w:r w:rsidR="00D05494" w:rsidRPr="00063811">
        <w:t>(2024)</w:t>
      </w:r>
      <w:r w:rsidR="00D05494" w:rsidRPr="00063811">
        <w:fldChar w:fldCharType="end"/>
      </w:r>
      <w:r w:rsidRPr="00063811">
        <w:t xml:space="preserve"> demonstrated that increased public spending on environmental protection positively correlates with enhanced national ESG </w:t>
      </w:r>
      <w:r w:rsidRPr="00063811">
        <w:lastRenderedPageBreak/>
        <w:t xml:space="preserve">performance. Targeted subsidies, as explored by Peng et al. </w:t>
      </w:r>
      <w:r w:rsidR="00D05494" w:rsidRPr="00063811">
        <w:fldChar w:fldCharType="begin"/>
      </w:r>
      <w:r w:rsidR="00D05494" w:rsidRPr="00063811">
        <w:instrText xml:space="preserve"> ADDIN ZOTERO_ITEM CSL_CITATION {"citationID":"sIMmODld","properties":{"formattedCitation":"(2024)","plainCitation":"(2024)","noteIndex":0},"citationItems":[{"id":812,"uris":["http://zotero.org/users/13148740/items/GFEHPMWX"],"itemData":{"id":812,"type":"article-journal","abstract":"Abstract Environmental, social, and governance (ESG) performance is crucial for companies to attain sustainable development, which is a key reference for assessing the value and growth potential of a company. Government subsidies can provide incentives for companies to prioritize environmental preservation, meet their social duties, and improve their governance performance. This paper empirically examines the effects and mechanisms of government subsidies on corporate ESG performance, using an Ologit multiple ordered regression model based on data from Chinese listed companies. We find that not only do total government subsidies significantly improve firms' ESG performance, but both environmental and non-environmental subsidies also have the similar effect, albeit with different impact mechanisms. The analysis of the mechanism suggests that government subsidies can enhance corporate ESG performance by promoting green innovation, alleviating financing constraints, increasing charitable donations, and attracting social attention. This paper holds significant practical value as it presents empirical findings as a basis for reforming China's subsidy policies, showcasing the actual impact of diverse subsidy policies and the heterogeneity.","container-title":"International Studies of Economics","DOI":"10.1002/ise3.79","ISSN":"2831-3224","issue":"3","journalAbbreviation":"International Studies of Economics","note":"publisher: John Wiley &amp; Sons, Ltd","page":"374-405","title":"Government subsidies and corporate environmental, social and governance performance: Evidence from companies of China","volume":"19","author":[{"family":"Peng","given":"Pei"},{"family":"Sun","given":"Mengzi"}],"issued":{"date-parts":[["2024",9,1]]}},"suppress-author":true}],"schema":"https://github.com/citation-style-language/schema/raw/master/csl-citation.json"} </w:instrText>
      </w:r>
      <w:r w:rsidR="00D05494" w:rsidRPr="00063811">
        <w:fldChar w:fldCharType="separate"/>
      </w:r>
      <w:r w:rsidR="00D05494" w:rsidRPr="00063811">
        <w:t>(2024)</w:t>
      </w:r>
      <w:r w:rsidR="00D05494" w:rsidRPr="00063811">
        <w:fldChar w:fldCharType="end"/>
      </w:r>
      <w:r w:rsidRPr="00063811">
        <w:t>, also significantly impact firms, particularly non-state firms and those in heavily polluting industries, reinforcing how targeted financial interventions can amplify sustainability efforts effectively.</w:t>
      </w:r>
    </w:p>
    <w:p w14:paraId="70A6D826" w14:textId="69600B85" w:rsidR="00327ED3" w:rsidRPr="00063811" w:rsidRDefault="00327ED3" w:rsidP="00F256FD">
      <w:pPr>
        <w:spacing w:after="160" w:line="480" w:lineRule="auto"/>
        <w:ind w:firstLine="720"/>
        <w:contextualSpacing/>
      </w:pPr>
      <w:r w:rsidRPr="00063811">
        <w:t xml:space="preserve">Furthermore, research identifies nuanced impacts resulting from carbon regulation policies. Carbon pricing mechanisms, specifically emissions trading schemes (ETS), notably drive corporate emissions reductions and ESG improvements </w:t>
      </w:r>
      <w:r w:rsidR="00D05494" w:rsidRPr="00063811">
        <w:fldChar w:fldCharType="begin"/>
      </w:r>
      <w:r w:rsidR="00D05494" w:rsidRPr="00063811">
        <w:instrText xml:space="preserve"> ADDIN ZOTERO_ITEM CSL_CITATION {"citationID":"apF8ISdU","properties":{"formattedCitation":"(Mittelstaedt, 2024)","plainCitation":"(Mittelstaedt, 2024)","noteIndex":0},"citationItems":[{"id":814,"uris":["http://zotero.org/users/13148740/items/95N2E27W"],"itemData":{"id":814,"type":"thesis","title":"Measuring the Effectiveness of Carbon Pricing: The Impact on Corporate ESG Performance and Carbon Emissions","URL":"https://digitalcommons.cwu.edu/etd/1941","author":[{"family":"Mittelstaedt","given":"Betty"}],"issued":{"date-parts":[["2024"]]}}}],"schema":"https://github.com/citation-style-language/schema/raw/master/csl-citation.json"} </w:instrText>
      </w:r>
      <w:r w:rsidR="00D05494" w:rsidRPr="00063811">
        <w:fldChar w:fldCharType="separate"/>
      </w:r>
      <w:r w:rsidR="00D05494" w:rsidRPr="00063811">
        <w:t>(Mittelstaedt, 2024)</w:t>
      </w:r>
      <w:r w:rsidR="00D05494" w:rsidRPr="00063811">
        <w:fldChar w:fldCharType="end"/>
      </w:r>
      <w:r w:rsidR="00D05494" w:rsidRPr="00063811">
        <w:t xml:space="preserve">. </w:t>
      </w:r>
      <w:r w:rsidRPr="00063811">
        <w:t>Yet these benefits often disproportionately accrue to larger firms capable of leveraging extensive resources, raising important questions regarding regulatory equity and effectiveness.</w:t>
      </w:r>
    </w:p>
    <w:p w14:paraId="04C2737D" w14:textId="71888079" w:rsidR="009674F0" w:rsidRPr="00063811" w:rsidRDefault="00AF7A89" w:rsidP="00F256FD">
      <w:pPr>
        <w:spacing w:after="160" w:line="480" w:lineRule="auto"/>
        <w:ind w:firstLine="720"/>
        <w:contextualSpacing/>
      </w:pPr>
      <w:r w:rsidRPr="00063811">
        <w:t xml:space="preserve">The literature suggests several key mechanisms through which government influence operates: (1) mandatory disclosure requirements create transparency and accountability; (2) financial incentives and penalties alter cost-benefit calculations for ESG investments; (3) policy uncertainty triggers strategic ESG positioning; and (4) technological transformation requirements drive innovation that enhances ESG performance. These findings provide a foundational basis for examining how emerging state-level ESG policies may impact corporate sustainability efforts in the U.S. and highlight the need for carefully designed regulatory frameworks that balance compliance requirements with incentives for substantive improvement in </w:t>
      </w:r>
      <w:r w:rsidR="005974CD" w:rsidRPr="00063811">
        <w:t xml:space="preserve">ESG </w:t>
      </w:r>
      <w:r w:rsidRPr="00063811">
        <w:t>outcomes.</w:t>
      </w:r>
    </w:p>
    <w:p w14:paraId="62B2BF96" w14:textId="43945961" w:rsidR="005A78BE" w:rsidRPr="00063811" w:rsidRDefault="00D83003" w:rsidP="006760A7">
      <w:pPr>
        <w:pStyle w:val="Heading2"/>
      </w:pPr>
      <w:bookmarkStart w:id="15" w:name="_Toc193977940"/>
      <w:r w:rsidRPr="00063811">
        <w:t>Industry Classification</w:t>
      </w:r>
      <w:bookmarkEnd w:id="15"/>
    </w:p>
    <w:p w14:paraId="34341EDC" w14:textId="77777777" w:rsidR="00D83003" w:rsidRPr="00063811" w:rsidRDefault="00D83003" w:rsidP="00F256FD">
      <w:pPr>
        <w:spacing w:line="480" w:lineRule="auto"/>
        <w:ind w:firstLine="720"/>
        <w:contextualSpacing/>
        <w:rPr>
          <w:b/>
          <w:bCs/>
          <w:i/>
          <w:iCs/>
        </w:rPr>
      </w:pPr>
      <w:r w:rsidRPr="00063811">
        <w:t>Industry classification standards play a crucial role in organizing and categorizing economic activities for statistical and analytical purposes. The evolution of industry classification systems has seen the development of various standards, each with its unique features and methodologies.</w:t>
      </w:r>
    </w:p>
    <w:p w14:paraId="4E90A301" w14:textId="0DB6B10E" w:rsidR="00D83003" w:rsidRPr="00063811" w:rsidRDefault="00D83003" w:rsidP="00F256FD">
      <w:pPr>
        <w:spacing w:line="480" w:lineRule="auto"/>
        <w:ind w:firstLine="720"/>
        <w:contextualSpacing/>
      </w:pPr>
      <w:r w:rsidRPr="00063811">
        <w:t xml:space="preserve">The Standard Industrial Classification (SIC) system, established in 1941, was the first widely adopted industry classification method, initially designed to categorize both </w:t>
      </w:r>
      <w:r w:rsidRPr="00063811">
        <w:lastRenderedPageBreak/>
        <w:t xml:space="preserve">manufacturing and non-manufacturing industries </w:t>
      </w:r>
      <w:r w:rsidRPr="00063811">
        <w:fldChar w:fldCharType="begin"/>
      </w:r>
      <w:r w:rsidR="00B64614" w:rsidRPr="00063811">
        <w:instrText xml:space="preserve"> ADDIN ZOTERO_ITEM CSL_CITATION {"citationID":"Vzjg6yga","properties":{"formattedCitation":"(Pearce, 1957)","plainCitation":"(Pearce, 1957)","noteIndex":0},"citationItems":[{"id":325,"uris":["http://zotero.org/users/13148740/items/XPRVR62M"],"itemData":{"id":325,"type":"report","event-place":"EXECUTIVE OFFICE 0F THE PRESIDENT BUREAU OF THE BUDGET","publisher":"Office of Statistical Standards","publisher-place":"EXECUTIVE OFFICE 0F THE PRESIDENT BUREAU OF THE BUDGET","title":"HISTORY OF THE STANDARD INDUSTRIAL CLASSIFICATION","author":[{"family":"Pearce","given":"Esther"}],"issued":{"date-parts":[["1957"]]}}}],"schema":"https://github.com/citation-style-language/schema/raw/master/csl-citation.json"} </w:instrText>
      </w:r>
      <w:r w:rsidRPr="00063811">
        <w:fldChar w:fldCharType="separate"/>
      </w:r>
      <w:r w:rsidRPr="00063811">
        <w:t>(Pearce, 1957)</w:t>
      </w:r>
      <w:r w:rsidRPr="00063811">
        <w:fldChar w:fldCharType="end"/>
      </w:r>
      <w:r w:rsidRPr="00063811">
        <w:t xml:space="preserve">. The SIC system underwent its last major update in 1987, resulting in a four-tiered framework with 11 segments at the top tier and 1,005 distinct segments at the base level, including a section for unclassifiable entities </w:t>
      </w:r>
      <w:r w:rsidRPr="00063811">
        <w:fldChar w:fldCharType="begin"/>
      </w:r>
      <w:r w:rsidR="00B64614" w:rsidRPr="00063811">
        <w:instrText xml:space="preserve"> ADDIN ZOTERO_ITEM CSL_CITATION {"citationID":"TQJuYJ72","properties":{"formattedCitation":"(Phillips &amp; Ormsby, 2016)","plainCitation":"(Phillips &amp; Ormsby, 2016)","noteIndex":0},"citationItems":[{"id":315,"uris":["http://zotero.org/users/13148740/items/AB86DT5D"],"itemData":{"id":315,"type":"article-journal","container-title":"Journal of Business &amp; Finance Librarianship","DOI":"10.1080/08963568.2015.1110229","ISSN":"0896-3568, 1547-0644","issue":"1","journalAbbreviation":"Journal of Business &amp; Finance Librarianship","language":"en","page":"1-25","source":"DOI.org (Crossref)","title":"Industry classification schemes: An analysis and review","title-short":"Industry classification schemes","volume":"21","author":[{"family":"Phillips","given":"Ryan L."},{"family":"Ormsby","given":"Rita"}],"issued":{"date-parts":[["2016",1,2]]}}}],"schema":"https://github.com/citation-style-language/schema/raw/master/csl-citation.json"} </w:instrText>
      </w:r>
      <w:r w:rsidRPr="00063811">
        <w:fldChar w:fldCharType="separate"/>
      </w:r>
      <w:r w:rsidRPr="00063811">
        <w:t>(Phillips &amp; Ormsby, 2016)</w:t>
      </w:r>
      <w:r w:rsidRPr="00063811">
        <w:fldChar w:fldCharType="end"/>
      </w:r>
      <w:r w:rsidRPr="00063811">
        <w:t>.</w:t>
      </w:r>
    </w:p>
    <w:p w14:paraId="6D0EB1CE" w14:textId="77777777" w:rsidR="009674F0" w:rsidRPr="00063811" w:rsidRDefault="00D83003" w:rsidP="00F256FD">
      <w:pPr>
        <w:spacing w:line="480" w:lineRule="auto"/>
        <w:ind w:firstLine="720"/>
        <w:contextualSpacing/>
      </w:pPr>
      <w:r w:rsidRPr="00063811">
        <w:t>However, the SIC system has faced criticism for its lack of guiding principles in its development (Phillips &amp; Ormsby, 2016). To overcome the deficiencies identified in the SIC system, the collaborative endeavor of Mexico's, Canada's, and the United States statistical bodies led to the formulation of the North American Industry Classification System (NAICS) in 1998 (Phillips &amp; Ormsby, 2016). The NAICS system aimed to provide a more comprehensive and methodologically sound approach to industry classification by segmenting industries based on their production methods. Unlike the SIC system, NAICS features five levels in the industry hierarchy, allowing for a more detailed and nuanced classification of economic activities (Phillips &amp; Ormsby, 2016).</w:t>
      </w:r>
      <w:r w:rsidR="009674F0" w:rsidRPr="00063811">
        <w:t xml:space="preserve"> </w:t>
      </w:r>
    </w:p>
    <w:p w14:paraId="3834A251" w14:textId="77777777" w:rsidR="006760A7" w:rsidRPr="00063811" w:rsidRDefault="006760A7">
      <w:pPr>
        <w:spacing w:after="160" w:line="278" w:lineRule="auto"/>
      </w:pPr>
      <w:r w:rsidRPr="00063811">
        <w:br w:type="page"/>
      </w:r>
    </w:p>
    <w:p w14:paraId="6D696BB1" w14:textId="3732C18C" w:rsidR="006760A7" w:rsidRPr="00063811" w:rsidRDefault="006760A7" w:rsidP="008612B7">
      <w:pPr>
        <w:spacing w:line="480" w:lineRule="auto"/>
        <w:jc w:val="center"/>
      </w:pPr>
      <w:r w:rsidRPr="00063811">
        <w:lastRenderedPageBreak/>
        <w:t>CHAPTER III</w:t>
      </w:r>
    </w:p>
    <w:p w14:paraId="4E413874" w14:textId="49887C93" w:rsidR="00484CA6" w:rsidRPr="00063811" w:rsidRDefault="00484CA6" w:rsidP="006760A7">
      <w:pPr>
        <w:pStyle w:val="Heading1"/>
      </w:pPr>
      <w:bookmarkStart w:id="16" w:name="_Toc193977941"/>
      <w:r w:rsidRPr="00063811">
        <w:t>D</w:t>
      </w:r>
      <w:r w:rsidR="006760A7" w:rsidRPr="00063811">
        <w:t>ATA</w:t>
      </w:r>
      <w:bookmarkEnd w:id="16"/>
    </w:p>
    <w:p w14:paraId="3CC4C181" w14:textId="41BD5C0C" w:rsidR="004A4BE7" w:rsidRPr="00063811" w:rsidRDefault="00484CA6" w:rsidP="00F256FD">
      <w:pPr>
        <w:spacing w:line="480" w:lineRule="auto"/>
        <w:ind w:firstLine="720"/>
      </w:pPr>
      <w:r w:rsidRPr="00063811">
        <w:t>This study employs a comprehensive dataset covering publicly traded firms from 2019 to 2024. The data combines firm-level ESG performance metrics, financial characteristics, and state-level ESG legislation information to examine the relationship between regulatory pressures and corporate sustainability practices.</w:t>
      </w:r>
    </w:p>
    <w:p w14:paraId="524EAC6A" w14:textId="5C4B852B" w:rsidR="00484CA6" w:rsidRPr="00063811" w:rsidRDefault="00484CA6" w:rsidP="006760A7">
      <w:pPr>
        <w:pStyle w:val="Heading2"/>
      </w:pPr>
      <w:bookmarkStart w:id="17" w:name="_Toc193977942"/>
      <w:r w:rsidRPr="00063811">
        <w:t>ESG Data</w:t>
      </w:r>
      <w:bookmarkEnd w:id="17"/>
    </w:p>
    <w:p w14:paraId="6CD2A27F" w14:textId="399BBFEC" w:rsidR="00007969" w:rsidRPr="00063811" w:rsidRDefault="00007969" w:rsidP="00F256FD">
      <w:pPr>
        <w:spacing w:line="480" w:lineRule="auto"/>
        <w:ind w:firstLine="720"/>
        <w:contextualSpacing/>
      </w:pPr>
      <w:r w:rsidRPr="00063811">
        <w:t xml:space="preserve">ESG performance data are sourced from S&amp;P Global, which quantify how companies address key </w:t>
      </w:r>
      <w:r w:rsidR="005974CD" w:rsidRPr="00063811">
        <w:t>ESG</w:t>
      </w:r>
      <w:r w:rsidRPr="00063811">
        <w:t xml:space="preserve"> factors. Each score ranges from 0 to 100 and reflects both a company's disclosures and its actual performance on sustainability issues. The scores are derived from the annual S&amp;P Global Corporate Sustainability Assessment (CSA), which evaluates companies through approximately 130 industry-specific questions, supported by up to 1,000 data points. The CSA scoring frameworks award</w:t>
      </w:r>
      <w:r w:rsidR="004A4BE7" w:rsidRPr="00063811">
        <w:t xml:space="preserve"> weighted</w:t>
      </w:r>
      <w:r w:rsidRPr="00063811">
        <w:t xml:space="preserve"> points based on three dimensions: preparedness (quality of policies and programs), transparency (disclosure of qualitative or quantitative information), and performance (assessment of quantitative metrics against benchmarks). </w:t>
      </w:r>
    </w:p>
    <w:p w14:paraId="75E255BD" w14:textId="5FF6DC33" w:rsidR="00DB6C45" w:rsidRPr="00063811" w:rsidRDefault="00007969" w:rsidP="00F256FD">
      <w:pPr>
        <w:spacing w:line="480" w:lineRule="auto"/>
        <w:ind w:firstLine="720"/>
        <w:contextualSpacing/>
      </w:pPr>
      <w:r w:rsidRPr="00063811">
        <w:t xml:space="preserve">For non-participating companies, S&amp;P Global analysts utilize publicly available information to generate scores. Points earned at the question level are aggregated to broader criteria, then to the </w:t>
      </w:r>
      <w:r w:rsidR="005974CD" w:rsidRPr="00063811">
        <w:t xml:space="preserve">ESG </w:t>
      </w:r>
      <w:r w:rsidRPr="00063811">
        <w:t xml:space="preserve">dimensions, and finally to a single ESG score. This industry-specific approach implements tailored weighting schemes, assigning greater importance to criteria deemed most relevant for each sub-industry. </w:t>
      </w:r>
      <w:r w:rsidR="004A4BE7" w:rsidRPr="00063811">
        <w:t xml:space="preserve">S&amp;P </w:t>
      </w:r>
      <w:proofErr w:type="spellStart"/>
      <w:r w:rsidR="004A4BE7" w:rsidRPr="00063811">
        <w:t>Global’s</w:t>
      </w:r>
      <w:proofErr w:type="spellEnd"/>
      <w:r w:rsidR="004A4BE7" w:rsidRPr="00063811">
        <w:t xml:space="preserve"> </w:t>
      </w:r>
      <w:r w:rsidR="004A4BE7" w:rsidRPr="00063811">
        <w:fldChar w:fldCharType="begin"/>
      </w:r>
      <w:r w:rsidR="004A4BE7" w:rsidRPr="00063811">
        <w:instrText xml:space="preserve"> ADDIN ZOTERO_ITEM CSL_CITATION {"citationID":"0PBRX9XR","properties":{"formattedCitation":"(2024b, p. 11)","plainCitation":"(2024b, p. 11)","noteIndex":0},"citationItems":[{"id":990,"uris":["http://zotero.org/users/13148740/items/S7A7HL37"],"itemData":{"id":990,"type":"report","publisher":"S&amp;P Global","title":"S&amp;P Global ESG Scores Methodology","URL":"https://web.archive.org/web/20250306193904/https://portal.s1.spglobal.com/survey/documents/spglobal_esg_scores_methodology.pdf","author":[{"literal":"S&amp;P Global"}],"issued":{"date-parts":[["2024"]]}},"locator":"11","label":"page","suppress-author":true}],"schema":"https://github.com/citation-style-language/schema/raw/master/csl-citation.json"} </w:instrText>
      </w:r>
      <w:r w:rsidR="004A4BE7" w:rsidRPr="00063811">
        <w:fldChar w:fldCharType="separate"/>
      </w:r>
      <w:r w:rsidR="004A4BE7" w:rsidRPr="00063811">
        <w:t>(2024b, p. 11)</w:t>
      </w:r>
      <w:r w:rsidR="004A4BE7" w:rsidRPr="00063811">
        <w:fldChar w:fldCharType="end"/>
      </w:r>
      <w:r w:rsidR="004A4BE7" w:rsidRPr="00063811">
        <w:t xml:space="preserve"> methodology suggests analysts use the following model specifications</w:t>
      </w:r>
      <w:r w:rsidR="00F05EA2" w:rsidRPr="00063811">
        <w:t xml:space="preserve"> (see Table 1)</w:t>
      </w:r>
      <w:r w:rsidR="004A4BE7" w:rsidRPr="00063811">
        <w:t xml:space="preserve"> to calculate the ESG indices:</w:t>
      </w:r>
    </w:p>
    <w:p w14:paraId="747BA837" w14:textId="77777777" w:rsidR="00F256FD" w:rsidRPr="008612B7" w:rsidRDefault="00F256FD">
      <w:pPr>
        <w:spacing w:after="160" w:line="278" w:lineRule="auto"/>
        <w:rPr>
          <w:b/>
          <w:bCs/>
          <w:sz w:val="20"/>
          <w:szCs w:val="20"/>
        </w:rPr>
      </w:pPr>
      <w:r w:rsidRPr="008612B7">
        <w:rPr>
          <w:b/>
          <w:bCs/>
          <w:sz w:val="20"/>
          <w:szCs w:val="20"/>
        </w:rPr>
        <w:br w:type="page"/>
      </w:r>
    </w:p>
    <w:p w14:paraId="1444943A" w14:textId="25403D3F" w:rsidR="00E52BF7" w:rsidRPr="008612B7" w:rsidRDefault="00E52BF7" w:rsidP="008F1FAE">
      <w:pPr>
        <w:pStyle w:val="Caption"/>
        <w:keepNext/>
        <w:spacing w:after="0"/>
        <w:rPr>
          <w:rFonts w:ascii="Times New Roman" w:hAnsi="Times New Roman" w:cs="Times New Roman"/>
          <w:b/>
          <w:bCs/>
          <w:color w:val="000000" w:themeColor="text1"/>
          <w:sz w:val="20"/>
          <w:szCs w:val="20"/>
        </w:rPr>
      </w:pPr>
    </w:p>
    <w:p w14:paraId="234ACF4B" w14:textId="141FEA2C" w:rsidR="008F1FAE" w:rsidRPr="008612B7" w:rsidRDefault="008F1FAE" w:rsidP="008F1FAE">
      <w:pPr>
        <w:pStyle w:val="Caption"/>
        <w:keepNext/>
        <w:spacing w:after="0"/>
        <w:rPr>
          <w:rFonts w:ascii="Times New Roman" w:hAnsi="Times New Roman" w:cs="Times New Roman"/>
          <w:b/>
          <w:bCs/>
          <w:i w:val="0"/>
          <w:iCs w:val="0"/>
          <w:color w:val="000000" w:themeColor="text1"/>
          <w:sz w:val="20"/>
          <w:szCs w:val="20"/>
        </w:rPr>
      </w:pPr>
      <w:r w:rsidRPr="008612B7">
        <w:rPr>
          <w:rFonts w:ascii="Times New Roman" w:hAnsi="Times New Roman" w:cs="Times New Roman"/>
          <w:b/>
          <w:bCs/>
          <w:i w:val="0"/>
          <w:iCs w:val="0"/>
          <w:color w:val="000000" w:themeColor="text1"/>
          <w:sz w:val="20"/>
          <w:szCs w:val="20"/>
        </w:rPr>
        <w:t xml:space="preserve">Table </w:t>
      </w:r>
      <w:r w:rsidRPr="008612B7">
        <w:rPr>
          <w:rFonts w:ascii="Times New Roman" w:hAnsi="Times New Roman" w:cs="Times New Roman"/>
          <w:b/>
          <w:bCs/>
          <w:i w:val="0"/>
          <w:iCs w:val="0"/>
          <w:color w:val="000000" w:themeColor="text1"/>
          <w:sz w:val="20"/>
          <w:szCs w:val="20"/>
        </w:rPr>
        <w:fldChar w:fldCharType="begin"/>
      </w:r>
      <w:r w:rsidRPr="008612B7">
        <w:rPr>
          <w:rFonts w:ascii="Times New Roman" w:hAnsi="Times New Roman" w:cs="Times New Roman"/>
          <w:b/>
          <w:bCs/>
          <w:i w:val="0"/>
          <w:iCs w:val="0"/>
          <w:color w:val="000000" w:themeColor="text1"/>
          <w:sz w:val="20"/>
          <w:szCs w:val="20"/>
        </w:rPr>
        <w:instrText xml:space="preserve"> SEQ Table \* ARABIC </w:instrText>
      </w:r>
      <w:r w:rsidRPr="008612B7">
        <w:rPr>
          <w:rFonts w:ascii="Times New Roman" w:hAnsi="Times New Roman" w:cs="Times New Roman"/>
          <w:b/>
          <w:bCs/>
          <w:i w:val="0"/>
          <w:iCs w:val="0"/>
          <w:color w:val="000000" w:themeColor="text1"/>
          <w:sz w:val="20"/>
          <w:szCs w:val="20"/>
        </w:rPr>
        <w:fldChar w:fldCharType="separate"/>
      </w:r>
      <w:r w:rsidR="00063811">
        <w:rPr>
          <w:rFonts w:ascii="Times New Roman" w:hAnsi="Times New Roman" w:cs="Times New Roman"/>
          <w:b/>
          <w:bCs/>
          <w:i w:val="0"/>
          <w:iCs w:val="0"/>
          <w:noProof/>
          <w:color w:val="000000" w:themeColor="text1"/>
          <w:sz w:val="20"/>
          <w:szCs w:val="20"/>
        </w:rPr>
        <w:t>1</w:t>
      </w:r>
      <w:r w:rsidRPr="008612B7">
        <w:rPr>
          <w:rFonts w:ascii="Times New Roman" w:hAnsi="Times New Roman" w:cs="Times New Roman"/>
          <w:b/>
          <w:bCs/>
          <w:i w:val="0"/>
          <w:iCs w:val="0"/>
          <w:color w:val="000000" w:themeColor="text1"/>
          <w:sz w:val="20"/>
          <w:szCs w:val="20"/>
        </w:rPr>
        <w:fldChar w:fldCharType="end"/>
      </w:r>
      <w:r w:rsidRPr="008612B7">
        <w:rPr>
          <w:rFonts w:ascii="Times New Roman" w:hAnsi="Times New Roman" w:cs="Times New Roman"/>
          <w:b/>
          <w:bCs/>
          <w:i w:val="0"/>
          <w:iCs w:val="0"/>
          <w:color w:val="000000" w:themeColor="text1"/>
          <w:sz w:val="20"/>
          <w:szCs w:val="20"/>
        </w:rPr>
        <w:t xml:space="preserve">. </w:t>
      </w:r>
      <w:bookmarkStart w:id="18" w:name="_Toc193976794"/>
      <w:r w:rsidRPr="008612B7">
        <w:rPr>
          <w:rFonts w:ascii="Times New Roman" w:hAnsi="Times New Roman" w:cs="Times New Roman"/>
          <w:b/>
          <w:bCs/>
          <w:i w:val="0"/>
          <w:iCs w:val="0"/>
          <w:color w:val="000000" w:themeColor="text1"/>
          <w:sz w:val="20"/>
          <w:szCs w:val="20"/>
        </w:rPr>
        <w:t>S&amp;P Global ESG Indices Calculations</w:t>
      </w:r>
      <w:bookmarkEnd w:id="18"/>
    </w:p>
    <w:tbl>
      <w:tblPr>
        <w:tblStyle w:val="PlainTable5"/>
        <w:tblW w:w="9504" w:type="dxa"/>
        <w:tblBorders>
          <w:top w:val="single" w:sz="4" w:space="0" w:color="auto"/>
          <w:bottom w:val="single" w:sz="4" w:space="0" w:color="auto"/>
        </w:tblBorders>
        <w:tblLayout w:type="fixed"/>
        <w:tblLook w:val="0400" w:firstRow="0" w:lastRow="0" w:firstColumn="0" w:lastColumn="0" w:noHBand="0" w:noVBand="1"/>
      </w:tblPr>
      <w:tblGrid>
        <w:gridCol w:w="2880"/>
        <w:gridCol w:w="4410"/>
        <w:gridCol w:w="2214"/>
      </w:tblGrid>
      <w:tr w:rsidR="00D92229" w:rsidRPr="00063811" w14:paraId="4A7D5B0F" w14:textId="77777777" w:rsidTr="008329A6">
        <w:trPr>
          <w:cnfStyle w:val="000000100000" w:firstRow="0" w:lastRow="0" w:firstColumn="0" w:lastColumn="0" w:oddVBand="0" w:evenVBand="0" w:oddHBand="1" w:evenHBand="0" w:firstRowFirstColumn="0" w:firstRowLastColumn="0" w:lastRowFirstColumn="0" w:lastRowLastColumn="0"/>
          <w:trHeight w:val="576"/>
        </w:trPr>
        <w:tc>
          <w:tcPr>
            <w:tcW w:w="2880" w:type="dxa"/>
            <w:tcBorders>
              <w:right w:val="nil"/>
            </w:tcBorders>
            <w:vAlign w:val="center"/>
            <w:hideMark/>
          </w:tcPr>
          <w:p w14:paraId="6C477D90" w14:textId="77777777" w:rsidR="008E14A0" w:rsidRPr="008612B7" w:rsidRDefault="008E14A0" w:rsidP="00F256FD">
            <w:pPr>
              <w:spacing w:line="360" w:lineRule="auto"/>
              <w:jc w:val="center"/>
              <w:rPr>
                <w:b/>
                <w:bCs/>
                <w:sz w:val="20"/>
                <w:szCs w:val="20"/>
              </w:rPr>
            </w:pPr>
            <w:r w:rsidRPr="008612B7">
              <w:rPr>
                <w:b/>
                <w:bCs/>
                <w:sz w:val="20"/>
                <w:szCs w:val="20"/>
              </w:rPr>
              <w:t>Variable</w:t>
            </w:r>
          </w:p>
        </w:tc>
        <w:tc>
          <w:tcPr>
            <w:tcW w:w="4410" w:type="dxa"/>
            <w:tcBorders>
              <w:top w:val="single" w:sz="4" w:space="0" w:color="auto"/>
              <w:left w:val="nil"/>
              <w:bottom w:val="nil"/>
            </w:tcBorders>
            <w:vAlign w:val="center"/>
            <w:hideMark/>
          </w:tcPr>
          <w:p w14:paraId="0DA8F26E" w14:textId="77777777" w:rsidR="008E14A0" w:rsidRPr="008612B7" w:rsidRDefault="008E14A0" w:rsidP="00F256FD">
            <w:pPr>
              <w:spacing w:line="360" w:lineRule="auto"/>
              <w:jc w:val="center"/>
              <w:rPr>
                <w:b/>
                <w:bCs/>
                <w:sz w:val="20"/>
                <w:szCs w:val="20"/>
              </w:rPr>
            </w:pPr>
            <w:r w:rsidRPr="008612B7">
              <w:rPr>
                <w:b/>
                <w:bCs/>
                <w:sz w:val="20"/>
                <w:szCs w:val="20"/>
              </w:rPr>
              <w:t>Formula</w:t>
            </w:r>
          </w:p>
        </w:tc>
        <w:tc>
          <w:tcPr>
            <w:tcW w:w="2214" w:type="dxa"/>
            <w:vAlign w:val="center"/>
          </w:tcPr>
          <w:p w14:paraId="4B77B591" w14:textId="77777777" w:rsidR="008E14A0" w:rsidRPr="008612B7" w:rsidRDefault="008E14A0" w:rsidP="00F256FD">
            <w:pPr>
              <w:spacing w:line="360" w:lineRule="auto"/>
              <w:jc w:val="center"/>
              <w:rPr>
                <w:b/>
                <w:bCs/>
                <w:sz w:val="20"/>
                <w:szCs w:val="20"/>
              </w:rPr>
            </w:pPr>
            <w:r w:rsidRPr="008612B7">
              <w:rPr>
                <w:b/>
                <w:bCs/>
                <w:sz w:val="20"/>
                <w:szCs w:val="20"/>
              </w:rPr>
              <w:t>Source</w:t>
            </w:r>
          </w:p>
        </w:tc>
      </w:tr>
      <w:tr w:rsidR="00D92229" w:rsidRPr="00063811" w14:paraId="4B5DFF6E" w14:textId="77777777" w:rsidTr="008329A6">
        <w:trPr>
          <w:trHeight w:val="576"/>
        </w:trPr>
        <w:tc>
          <w:tcPr>
            <w:tcW w:w="2880" w:type="dxa"/>
            <w:tcBorders>
              <w:right w:val="nil"/>
            </w:tcBorders>
            <w:vAlign w:val="center"/>
            <w:hideMark/>
          </w:tcPr>
          <w:p w14:paraId="34794E1D" w14:textId="0F26A728" w:rsidR="008E14A0" w:rsidRPr="008612B7" w:rsidRDefault="008E14A0" w:rsidP="00F256FD">
            <w:pPr>
              <w:spacing w:line="360" w:lineRule="auto"/>
              <w:jc w:val="center"/>
              <w:rPr>
                <w:sz w:val="20"/>
                <w:szCs w:val="20"/>
              </w:rPr>
            </w:pPr>
            <w:r w:rsidRPr="008612B7">
              <w:rPr>
                <w:sz w:val="20"/>
                <w:szCs w:val="20"/>
              </w:rPr>
              <w:t xml:space="preserve">ESG </w:t>
            </w:r>
            <w:r w:rsidR="00E258DF" w:rsidRPr="008612B7">
              <w:rPr>
                <w:sz w:val="20"/>
                <w:szCs w:val="20"/>
              </w:rPr>
              <w:t xml:space="preserve">Index </w:t>
            </w:r>
            <w:r w:rsidRPr="008612B7">
              <w:rPr>
                <w:sz w:val="20"/>
                <w:szCs w:val="20"/>
              </w:rPr>
              <w:t>Sc</w:t>
            </w:r>
            <w:r w:rsidR="00E258DF" w:rsidRPr="008612B7">
              <w:rPr>
                <w:sz w:val="20"/>
                <w:szCs w:val="20"/>
              </w:rPr>
              <w:t>ore</w:t>
            </w:r>
          </w:p>
        </w:tc>
        <w:tc>
          <w:tcPr>
            <w:tcW w:w="4410" w:type="dxa"/>
            <w:tcBorders>
              <w:top w:val="nil"/>
              <w:left w:val="nil"/>
              <w:bottom w:val="nil"/>
            </w:tcBorders>
            <w:vAlign w:val="center"/>
            <w:hideMark/>
          </w:tcPr>
          <w:p w14:paraId="2CB67A4A" w14:textId="4C78213F" w:rsidR="008E14A0" w:rsidRPr="008612B7" w:rsidRDefault="008E14A0" w:rsidP="00F256FD">
            <w:pPr>
              <w:spacing w:line="360" w:lineRule="auto"/>
              <w:jc w:val="center"/>
              <w:rPr>
                <w:sz w:val="20"/>
                <w:szCs w:val="20"/>
              </w:rPr>
            </w:pPr>
            <m:oMathPara>
              <m:oMathParaPr>
                <m:jc m:val="center"/>
              </m:oMathParaPr>
              <m:oMath>
                <m:r>
                  <m:rPr>
                    <m:sty m:val="p"/>
                  </m:rPr>
                  <w:rPr>
                    <w:rFonts w:ascii="Cambria Math" w:hAnsi="Cambria Math"/>
                    <w:sz w:val="20"/>
                    <w:szCs w:val="20"/>
                  </w:rPr>
                  <m:t>∑</m:t>
                </m:r>
                <m:d>
                  <m:dPr>
                    <m:ctrlPr>
                      <w:rPr>
                        <w:rFonts w:ascii="Cambria Math" w:hAnsi="Cambria Math"/>
                        <w:i/>
                        <w:iCs/>
                        <w:sz w:val="20"/>
                        <w:szCs w:val="20"/>
                      </w:rPr>
                    </m:ctrlPr>
                  </m:dPr>
                  <m:e>
                    <m:d>
                      <m:dPr>
                        <m:ctrlPr>
                          <w:rPr>
                            <w:rFonts w:ascii="Cambria Math" w:hAnsi="Cambria Math"/>
                            <w:iCs/>
                            <w:sz w:val="20"/>
                            <w:szCs w:val="20"/>
                          </w:rPr>
                        </m:ctrlPr>
                      </m:dPr>
                      <m:e>
                        <m:r>
                          <w:rPr>
                            <w:rFonts w:ascii="Cambria Math" w:hAnsi="Cambria Math"/>
                            <w:sz w:val="20"/>
                            <w:szCs w:val="20"/>
                          </w:rPr>
                          <m:t>SPQP</m:t>
                        </m:r>
                        <m:r>
                          <m:rPr>
                            <m:sty m:val="p"/>
                          </m:rPr>
                          <w:rPr>
                            <w:rFonts w:ascii="Cambria Math" w:hAnsi="Cambria Math"/>
                            <w:sz w:val="20"/>
                            <w:szCs w:val="20"/>
                          </w:rPr>
                          <m:t>×</m:t>
                        </m:r>
                        <m:r>
                          <w:rPr>
                            <w:rFonts w:ascii="Cambria Math" w:hAnsi="Cambria Math"/>
                            <w:sz w:val="20"/>
                            <w:szCs w:val="20"/>
                          </w:rPr>
                          <m:t>SPQW</m:t>
                        </m:r>
                        <m:ctrlPr>
                          <w:rPr>
                            <w:rFonts w:ascii="Cambria Math" w:hAnsi="Cambria Math"/>
                            <w:i/>
                            <w:iCs/>
                            <w:sz w:val="20"/>
                            <w:szCs w:val="20"/>
                          </w:rPr>
                        </m:ctrlPr>
                      </m:e>
                    </m:d>
                    <m:r>
                      <m:rPr>
                        <m:sty m:val="p"/>
                      </m:rPr>
                      <w:rPr>
                        <w:rFonts w:ascii="Cambria Math" w:hAnsi="Cambria Math"/>
                        <w:sz w:val="20"/>
                        <w:szCs w:val="20"/>
                      </w:rPr>
                      <m:t>×</m:t>
                    </m:r>
                    <m:r>
                      <w:rPr>
                        <w:rFonts w:ascii="Cambria Math" w:hAnsi="Cambria Math"/>
                        <w:sz w:val="20"/>
                        <w:szCs w:val="20"/>
                      </w:rPr>
                      <m:t>SPCW</m:t>
                    </m:r>
                  </m:e>
                </m:d>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PDW</m:t>
                </m:r>
              </m:oMath>
            </m:oMathPara>
          </w:p>
        </w:tc>
        <w:tc>
          <w:tcPr>
            <w:tcW w:w="2214" w:type="dxa"/>
            <w:vAlign w:val="center"/>
          </w:tcPr>
          <w:p w14:paraId="57BEBCCE" w14:textId="43088668" w:rsidR="008E14A0" w:rsidRPr="008612B7" w:rsidRDefault="008E14A0" w:rsidP="00F256FD">
            <w:pPr>
              <w:spacing w:line="360" w:lineRule="auto"/>
              <w:jc w:val="center"/>
              <w:rPr>
                <w:sz w:val="20"/>
                <w:szCs w:val="20"/>
              </w:rPr>
            </w:pPr>
            <w:r w:rsidRPr="008612B7">
              <w:rPr>
                <w:sz w:val="20"/>
                <w:szCs w:val="20"/>
              </w:rPr>
              <w:t>S&amp;P Global</w:t>
            </w:r>
          </w:p>
        </w:tc>
      </w:tr>
      <w:tr w:rsidR="00D92229" w:rsidRPr="00063811" w14:paraId="6BBB739A" w14:textId="77777777" w:rsidTr="008329A6">
        <w:trPr>
          <w:cnfStyle w:val="000000100000" w:firstRow="0" w:lastRow="0" w:firstColumn="0" w:lastColumn="0" w:oddVBand="0" w:evenVBand="0" w:oddHBand="1" w:evenHBand="0" w:firstRowFirstColumn="0" w:firstRowLastColumn="0" w:lastRowFirstColumn="0" w:lastRowLastColumn="0"/>
          <w:trHeight w:val="576"/>
        </w:trPr>
        <w:tc>
          <w:tcPr>
            <w:tcW w:w="2880" w:type="dxa"/>
            <w:tcBorders>
              <w:right w:val="nil"/>
            </w:tcBorders>
            <w:vAlign w:val="center"/>
          </w:tcPr>
          <w:p w14:paraId="701CFB92" w14:textId="4C269B6B" w:rsidR="008E14A0" w:rsidRPr="008612B7" w:rsidRDefault="008E14A0" w:rsidP="00F256FD">
            <w:pPr>
              <w:spacing w:line="360" w:lineRule="auto"/>
              <w:jc w:val="center"/>
              <w:rPr>
                <w:sz w:val="20"/>
                <w:szCs w:val="20"/>
              </w:rPr>
            </w:pPr>
            <w:r w:rsidRPr="008612B7">
              <w:rPr>
                <w:sz w:val="20"/>
                <w:szCs w:val="20"/>
              </w:rPr>
              <w:t xml:space="preserve">Social </w:t>
            </w:r>
            <w:r w:rsidR="00E258DF" w:rsidRPr="008612B7">
              <w:rPr>
                <w:sz w:val="20"/>
                <w:szCs w:val="20"/>
              </w:rPr>
              <w:t xml:space="preserve">Index </w:t>
            </w:r>
            <w:r w:rsidRPr="008612B7">
              <w:rPr>
                <w:sz w:val="20"/>
                <w:szCs w:val="20"/>
              </w:rPr>
              <w:t>Score</w:t>
            </w:r>
          </w:p>
        </w:tc>
        <w:tc>
          <w:tcPr>
            <w:tcW w:w="4410" w:type="dxa"/>
            <w:tcBorders>
              <w:top w:val="nil"/>
              <w:left w:val="nil"/>
              <w:bottom w:val="nil"/>
            </w:tcBorders>
            <w:vAlign w:val="center"/>
          </w:tcPr>
          <w:p w14:paraId="22EBFD5D" w14:textId="77777777" w:rsidR="008E14A0" w:rsidRPr="008612B7" w:rsidRDefault="008E14A0" w:rsidP="00F256FD">
            <w:pPr>
              <w:spacing w:line="360" w:lineRule="auto"/>
              <w:jc w:val="center"/>
              <w:rPr>
                <w:sz w:val="20"/>
                <w:szCs w:val="20"/>
              </w:rPr>
            </w:pPr>
            <m:oMathPara>
              <m:oMathParaPr>
                <m:jc m:val="center"/>
              </m:oMathParaPr>
              <m:oMath>
                <m:r>
                  <m:rPr>
                    <m:sty m:val="p"/>
                  </m:rPr>
                  <w:rPr>
                    <w:rFonts w:ascii="Cambria Math" w:hAnsi="Cambria Math"/>
                    <w:sz w:val="20"/>
                    <w:szCs w:val="20"/>
                  </w:rPr>
                  <m:t>∑</m:t>
                </m:r>
                <m:d>
                  <m:dPr>
                    <m:ctrlPr>
                      <w:rPr>
                        <w:rFonts w:ascii="Cambria Math" w:hAnsi="Cambria Math"/>
                        <w:i/>
                        <w:iCs/>
                        <w:sz w:val="20"/>
                        <w:szCs w:val="20"/>
                      </w:rPr>
                    </m:ctrlPr>
                  </m:dPr>
                  <m:e>
                    <m:d>
                      <m:dPr>
                        <m:ctrlPr>
                          <w:rPr>
                            <w:rFonts w:ascii="Cambria Math" w:hAnsi="Cambria Math"/>
                            <w:iCs/>
                            <w:sz w:val="20"/>
                            <w:szCs w:val="20"/>
                          </w:rPr>
                        </m:ctrlPr>
                      </m:dPr>
                      <m:e>
                        <m:sSub>
                          <m:sSubPr>
                            <m:ctrlPr>
                              <w:rPr>
                                <w:rFonts w:ascii="Cambria Math" w:hAnsi="Cambria Math"/>
                                <w:i/>
                                <w:iCs/>
                                <w:sz w:val="20"/>
                                <w:szCs w:val="20"/>
                              </w:rPr>
                            </m:ctrlPr>
                          </m:sSubPr>
                          <m:e>
                            <m:r>
                              <m:rPr>
                                <m:nor/>
                              </m:rPr>
                              <w:rPr>
                                <w:iCs/>
                                <w:sz w:val="20"/>
                                <w:szCs w:val="20"/>
                              </w:rPr>
                              <m:t>SPQP</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i/>
                                <w:iCs/>
                                <w:sz w:val="20"/>
                                <w:szCs w:val="20"/>
                              </w:rPr>
                            </m:ctrlPr>
                          </m:sSubPr>
                          <m:e>
                            <m:r>
                              <m:rPr>
                                <m:nor/>
                              </m:rPr>
                              <w:rPr>
                                <w:iCs/>
                                <w:sz w:val="20"/>
                                <w:szCs w:val="20"/>
                              </w:rPr>
                              <m:t>SPQW</m:t>
                            </m:r>
                            <m:ctrlPr>
                              <w:rPr>
                                <w:rFonts w:ascii="Cambria Math" w:hAnsi="Cambria Math"/>
                                <w:iCs/>
                                <w:sz w:val="20"/>
                                <w:szCs w:val="20"/>
                              </w:rPr>
                            </m:ctrlPr>
                          </m:e>
                          <m:sub>
                            <m:r>
                              <w:rPr>
                                <w:rFonts w:ascii="Cambria Math" w:hAnsi="Cambria Math"/>
                                <w:sz w:val="20"/>
                                <w:szCs w:val="20"/>
                              </w:rPr>
                              <m:t>S</m:t>
                            </m:r>
                          </m:sub>
                        </m:sSub>
                        <m:ctrlPr>
                          <w:rPr>
                            <w:rFonts w:ascii="Cambria Math" w:hAnsi="Cambria Math"/>
                            <w:i/>
                            <w:iCs/>
                            <w:sz w:val="20"/>
                            <w:szCs w:val="20"/>
                          </w:rPr>
                        </m:ctrlPr>
                      </m:e>
                    </m:d>
                    <m:r>
                      <m:rPr>
                        <m:sty m:val="p"/>
                      </m:rPr>
                      <w:rPr>
                        <w:rFonts w:ascii="Cambria Math" w:hAnsi="Cambria Math"/>
                        <w:sz w:val="20"/>
                        <w:szCs w:val="20"/>
                      </w:rPr>
                      <m:t>×</m:t>
                    </m:r>
                    <m:sSub>
                      <m:sSubPr>
                        <m:ctrlPr>
                          <w:rPr>
                            <w:rFonts w:ascii="Cambria Math" w:hAnsi="Cambria Math"/>
                            <w:i/>
                            <w:iCs/>
                            <w:sz w:val="20"/>
                            <w:szCs w:val="20"/>
                          </w:rPr>
                        </m:ctrlPr>
                      </m:sSubPr>
                      <m:e>
                        <m:r>
                          <m:rPr>
                            <m:nor/>
                          </m:rPr>
                          <w:rPr>
                            <w:iCs/>
                            <w:sz w:val="20"/>
                            <w:szCs w:val="20"/>
                          </w:rPr>
                          <m:t>SPCW</m:t>
                        </m:r>
                        <m:ctrlPr>
                          <w:rPr>
                            <w:rFonts w:ascii="Cambria Math" w:hAnsi="Cambria Math"/>
                            <w:iCs/>
                            <w:sz w:val="20"/>
                            <w:szCs w:val="20"/>
                          </w:rPr>
                        </m:ctrlPr>
                      </m:e>
                      <m:sub>
                        <m:r>
                          <w:rPr>
                            <w:rFonts w:ascii="Cambria Math" w:hAnsi="Cambria Math"/>
                            <w:sz w:val="20"/>
                            <w:szCs w:val="20"/>
                          </w:rPr>
                          <m:t>S</m:t>
                        </m:r>
                      </m:sub>
                    </m:sSub>
                  </m:e>
                </m:d>
                <m:r>
                  <m:rPr>
                    <m:sty m:val="p"/>
                  </m:rPr>
                  <w:rPr>
                    <w:rFonts w:ascii="Cambria Math" w:hAnsi="Cambria Math"/>
                    <w:sz w:val="20"/>
                    <w:szCs w:val="20"/>
                  </w:rPr>
                  <m:t>×</m:t>
                </m:r>
                <m:sSub>
                  <m:sSubPr>
                    <m:ctrlPr>
                      <w:rPr>
                        <w:rFonts w:ascii="Cambria Math" w:hAnsi="Cambria Math"/>
                        <w:i/>
                        <w:iCs/>
                        <w:sz w:val="20"/>
                        <w:szCs w:val="20"/>
                      </w:rPr>
                    </m:ctrlPr>
                  </m:sSubPr>
                  <m:e>
                    <m:r>
                      <m:rPr>
                        <m:nor/>
                      </m:rPr>
                      <w:rPr>
                        <w:iCs/>
                        <w:sz w:val="20"/>
                        <w:szCs w:val="20"/>
                      </w:rPr>
                      <m:t>SPDW</m:t>
                    </m:r>
                    <m:ctrlPr>
                      <w:rPr>
                        <w:rFonts w:ascii="Cambria Math" w:hAnsi="Cambria Math"/>
                        <w:iCs/>
                        <w:sz w:val="20"/>
                        <w:szCs w:val="20"/>
                      </w:rPr>
                    </m:ctrlPr>
                  </m:e>
                  <m:sub>
                    <m:r>
                      <w:rPr>
                        <w:rFonts w:ascii="Cambria Math" w:hAnsi="Cambria Math"/>
                        <w:sz w:val="20"/>
                        <w:szCs w:val="20"/>
                      </w:rPr>
                      <m:t>S</m:t>
                    </m:r>
                  </m:sub>
                </m:sSub>
              </m:oMath>
            </m:oMathPara>
          </w:p>
        </w:tc>
        <w:tc>
          <w:tcPr>
            <w:tcW w:w="2214" w:type="dxa"/>
            <w:vAlign w:val="center"/>
          </w:tcPr>
          <w:p w14:paraId="501FB6FA" w14:textId="15EBE434" w:rsidR="008E14A0" w:rsidRPr="008612B7" w:rsidRDefault="008E14A0" w:rsidP="00F256FD">
            <w:pPr>
              <w:spacing w:line="360" w:lineRule="auto"/>
              <w:jc w:val="center"/>
              <w:rPr>
                <w:sz w:val="20"/>
                <w:szCs w:val="20"/>
              </w:rPr>
            </w:pPr>
            <w:r w:rsidRPr="008612B7">
              <w:rPr>
                <w:sz w:val="20"/>
                <w:szCs w:val="20"/>
              </w:rPr>
              <w:t>S&amp;P Global</w:t>
            </w:r>
          </w:p>
        </w:tc>
      </w:tr>
      <w:tr w:rsidR="00D92229" w:rsidRPr="00063811" w14:paraId="0960C34A" w14:textId="77777777" w:rsidTr="008329A6">
        <w:trPr>
          <w:trHeight w:val="576"/>
        </w:trPr>
        <w:tc>
          <w:tcPr>
            <w:tcW w:w="2880" w:type="dxa"/>
            <w:tcBorders>
              <w:right w:val="nil"/>
            </w:tcBorders>
            <w:vAlign w:val="center"/>
          </w:tcPr>
          <w:p w14:paraId="114ED289" w14:textId="35917BE8" w:rsidR="008E14A0" w:rsidRPr="008612B7" w:rsidRDefault="008E14A0" w:rsidP="00F256FD">
            <w:pPr>
              <w:spacing w:line="360" w:lineRule="auto"/>
              <w:jc w:val="center"/>
              <w:rPr>
                <w:sz w:val="20"/>
                <w:szCs w:val="20"/>
              </w:rPr>
            </w:pPr>
            <w:r w:rsidRPr="008612B7">
              <w:rPr>
                <w:sz w:val="20"/>
                <w:szCs w:val="20"/>
              </w:rPr>
              <w:t>Environmental</w:t>
            </w:r>
            <w:r w:rsidR="00E258DF" w:rsidRPr="008612B7">
              <w:rPr>
                <w:sz w:val="20"/>
                <w:szCs w:val="20"/>
              </w:rPr>
              <w:t xml:space="preserve"> Index</w:t>
            </w:r>
            <w:r w:rsidRPr="008612B7">
              <w:rPr>
                <w:sz w:val="20"/>
                <w:szCs w:val="20"/>
              </w:rPr>
              <w:t xml:space="preserve"> Score</w:t>
            </w:r>
          </w:p>
        </w:tc>
        <w:tc>
          <w:tcPr>
            <w:tcW w:w="4410" w:type="dxa"/>
            <w:tcBorders>
              <w:top w:val="nil"/>
              <w:left w:val="nil"/>
              <w:bottom w:val="single" w:sz="4" w:space="0" w:color="auto"/>
            </w:tcBorders>
            <w:vAlign w:val="center"/>
          </w:tcPr>
          <w:p w14:paraId="17EF815A" w14:textId="77777777" w:rsidR="008E14A0" w:rsidRPr="008612B7" w:rsidRDefault="008E14A0" w:rsidP="00F256FD">
            <w:pPr>
              <w:spacing w:line="360" w:lineRule="auto"/>
              <w:jc w:val="center"/>
              <w:rPr>
                <w:sz w:val="20"/>
                <w:szCs w:val="20"/>
              </w:rPr>
            </w:pPr>
            <m:oMathPara>
              <m:oMathParaPr>
                <m:jc m:val="center"/>
              </m:oMathParaPr>
              <m:oMath>
                <m:r>
                  <m:rPr>
                    <m:sty m:val="p"/>
                  </m:rPr>
                  <w:rPr>
                    <w:rFonts w:ascii="Cambria Math" w:hAnsi="Cambria Math"/>
                    <w:sz w:val="20"/>
                    <w:szCs w:val="20"/>
                  </w:rPr>
                  <m:t>∑</m:t>
                </m:r>
                <m:d>
                  <m:dPr>
                    <m:ctrlPr>
                      <w:rPr>
                        <w:rFonts w:ascii="Cambria Math" w:hAnsi="Cambria Math"/>
                        <w:i/>
                        <w:iCs/>
                        <w:sz w:val="20"/>
                        <w:szCs w:val="20"/>
                      </w:rPr>
                    </m:ctrlPr>
                  </m:dPr>
                  <m:e>
                    <m:d>
                      <m:dPr>
                        <m:ctrlPr>
                          <w:rPr>
                            <w:rFonts w:ascii="Cambria Math" w:hAnsi="Cambria Math"/>
                            <w:iCs/>
                            <w:sz w:val="20"/>
                            <w:szCs w:val="20"/>
                          </w:rPr>
                        </m:ctrlPr>
                      </m:dPr>
                      <m:e>
                        <m:sSub>
                          <m:sSubPr>
                            <m:ctrlPr>
                              <w:rPr>
                                <w:rFonts w:ascii="Cambria Math" w:hAnsi="Cambria Math"/>
                                <w:i/>
                                <w:iCs/>
                                <w:sz w:val="20"/>
                                <w:szCs w:val="20"/>
                              </w:rPr>
                            </m:ctrlPr>
                          </m:sSubPr>
                          <m:e>
                            <m:r>
                              <m:rPr>
                                <m:nor/>
                              </m:rPr>
                              <w:rPr>
                                <w:iCs/>
                                <w:sz w:val="20"/>
                                <w:szCs w:val="20"/>
                              </w:rPr>
                              <m:t>SPQP</m:t>
                            </m:r>
                          </m:e>
                          <m:sub>
                            <m:r>
                              <w:rPr>
                                <w:rFonts w:ascii="Cambria Math" w:hAnsi="Cambria Math"/>
                                <w:sz w:val="20"/>
                                <w:szCs w:val="20"/>
                              </w:rPr>
                              <m:t>e</m:t>
                            </m:r>
                          </m:sub>
                        </m:sSub>
                        <m:r>
                          <m:rPr>
                            <m:sty m:val="p"/>
                          </m:rPr>
                          <w:rPr>
                            <w:rFonts w:ascii="Cambria Math" w:hAnsi="Cambria Math"/>
                            <w:sz w:val="20"/>
                            <w:szCs w:val="20"/>
                          </w:rPr>
                          <m:t>×</m:t>
                        </m:r>
                        <m:sSub>
                          <m:sSubPr>
                            <m:ctrlPr>
                              <w:rPr>
                                <w:rFonts w:ascii="Cambria Math" w:hAnsi="Cambria Math"/>
                                <w:i/>
                                <w:iCs/>
                                <w:sz w:val="20"/>
                                <w:szCs w:val="20"/>
                              </w:rPr>
                            </m:ctrlPr>
                          </m:sSubPr>
                          <m:e>
                            <m:r>
                              <m:rPr>
                                <m:nor/>
                              </m:rPr>
                              <w:rPr>
                                <w:iCs/>
                                <w:sz w:val="20"/>
                                <w:szCs w:val="20"/>
                              </w:rPr>
                              <m:t>SPQW</m:t>
                            </m:r>
                            <m:ctrlPr>
                              <w:rPr>
                                <w:rFonts w:ascii="Cambria Math" w:hAnsi="Cambria Math"/>
                                <w:iCs/>
                                <w:sz w:val="20"/>
                                <w:szCs w:val="20"/>
                              </w:rPr>
                            </m:ctrlPr>
                          </m:e>
                          <m:sub>
                            <m:r>
                              <w:rPr>
                                <w:rFonts w:ascii="Cambria Math" w:hAnsi="Cambria Math"/>
                                <w:sz w:val="20"/>
                                <w:szCs w:val="20"/>
                              </w:rPr>
                              <m:t>e</m:t>
                            </m:r>
                          </m:sub>
                        </m:sSub>
                        <m:ctrlPr>
                          <w:rPr>
                            <w:rFonts w:ascii="Cambria Math" w:hAnsi="Cambria Math"/>
                            <w:i/>
                            <w:iCs/>
                            <w:sz w:val="20"/>
                            <w:szCs w:val="20"/>
                          </w:rPr>
                        </m:ctrlPr>
                      </m:e>
                    </m:d>
                    <m:r>
                      <m:rPr>
                        <m:sty m:val="p"/>
                      </m:rPr>
                      <w:rPr>
                        <w:rFonts w:ascii="Cambria Math" w:hAnsi="Cambria Math"/>
                        <w:sz w:val="20"/>
                        <w:szCs w:val="20"/>
                      </w:rPr>
                      <m:t>×</m:t>
                    </m:r>
                    <m:sSub>
                      <m:sSubPr>
                        <m:ctrlPr>
                          <w:rPr>
                            <w:rFonts w:ascii="Cambria Math" w:hAnsi="Cambria Math"/>
                            <w:i/>
                            <w:iCs/>
                            <w:sz w:val="20"/>
                            <w:szCs w:val="20"/>
                          </w:rPr>
                        </m:ctrlPr>
                      </m:sSubPr>
                      <m:e>
                        <m:r>
                          <m:rPr>
                            <m:nor/>
                          </m:rPr>
                          <w:rPr>
                            <w:iCs/>
                            <w:sz w:val="20"/>
                            <w:szCs w:val="20"/>
                          </w:rPr>
                          <m:t>SPCW</m:t>
                        </m:r>
                        <m:ctrlPr>
                          <w:rPr>
                            <w:rFonts w:ascii="Cambria Math" w:hAnsi="Cambria Math"/>
                            <w:iCs/>
                            <w:sz w:val="20"/>
                            <w:szCs w:val="20"/>
                          </w:rPr>
                        </m:ctrlPr>
                      </m:e>
                      <m:sub>
                        <m:r>
                          <w:rPr>
                            <w:rFonts w:ascii="Cambria Math" w:hAnsi="Cambria Math"/>
                            <w:sz w:val="20"/>
                            <w:szCs w:val="20"/>
                          </w:rPr>
                          <m:t>e</m:t>
                        </m:r>
                      </m:sub>
                    </m:sSub>
                  </m:e>
                </m:d>
                <m:r>
                  <m:rPr>
                    <m:sty m:val="p"/>
                  </m:rPr>
                  <w:rPr>
                    <w:rFonts w:ascii="Cambria Math" w:hAnsi="Cambria Math"/>
                    <w:sz w:val="20"/>
                    <w:szCs w:val="20"/>
                  </w:rPr>
                  <m:t>×</m:t>
                </m:r>
                <m:sSub>
                  <m:sSubPr>
                    <m:ctrlPr>
                      <w:rPr>
                        <w:rFonts w:ascii="Cambria Math" w:hAnsi="Cambria Math"/>
                        <w:i/>
                        <w:iCs/>
                        <w:sz w:val="20"/>
                        <w:szCs w:val="20"/>
                      </w:rPr>
                    </m:ctrlPr>
                  </m:sSubPr>
                  <m:e>
                    <m:r>
                      <m:rPr>
                        <m:nor/>
                      </m:rPr>
                      <w:rPr>
                        <w:iCs/>
                        <w:sz w:val="20"/>
                        <w:szCs w:val="20"/>
                      </w:rPr>
                      <m:t>SPDW</m:t>
                    </m:r>
                    <m:ctrlPr>
                      <w:rPr>
                        <w:rFonts w:ascii="Cambria Math" w:hAnsi="Cambria Math"/>
                        <w:iCs/>
                        <w:sz w:val="20"/>
                        <w:szCs w:val="20"/>
                      </w:rPr>
                    </m:ctrlPr>
                  </m:e>
                  <m:sub>
                    <m:r>
                      <w:rPr>
                        <w:rFonts w:ascii="Cambria Math" w:hAnsi="Cambria Math"/>
                        <w:sz w:val="20"/>
                        <w:szCs w:val="20"/>
                      </w:rPr>
                      <m:t>e</m:t>
                    </m:r>
                  </m:sub>
                </m:sSub>
              </m:oMath>
            </m:oMathPara>
          </w:p>
        </w:tc>
        <w:tc>
          <w:tcPr>
            <w:tcW w:w="2214" w:type="dxa"/>
            <w:vAlign w:val="center"/>
          </w:tcPr>
          <w:p w14:paraId="34F72C06" w14:textId="2E1043DD" w:rsidR="008E14A0" w:rsidRPr="008612B7" w:rsidRDefault="008E14A0" w:rsidP="00F256FD">
            <w:pPr>
              <w:spacing w:line="360" w:lineRule="auto"/>
              <w:jc w:val="center"/>
              <w:rPr>
                <w:sz w:val="20"/>
                <w:szCs w:val="20"/>
              </w:rPr>
            </w:pPr>
            <w:r w:rsidRPr="008612B7">
              <w:rPr>
                <w:sz w:val="20"/>
                <w:szCs w:val="20"/>
              </w:rPr>
              <w:t>S&amp;P Global</w:t>
            </w:r>
          </w:p>
        </w:tc>
      </w:tr>
    </w:tbl>
    <w:p w14:paraId="347AD64E" w14:textId="77777777" w:rsidR="008E14A0" w:rsidRPr="008612B7" w:rsidRDefault="008E14A0" w:rsidP="00F256FD">
      <w:pPr>
        <w:spacing w:after="240"/>
        <w:jc w:val="both"/>
        <w:rPr>
          <w:sz w:val="20"/>
          <w:szCs w:val="20"/>
        </w:rPr>
      </w:pPr>
      <w:r w:rsidRPr="008612B7">
        <w:rPr>
          <w:i/>
          <w:iCs/>
          <w:sz w:val="20"/>
          <w:szCs w:val="20"/>
        </w:rPr>
        <w:t>Note:</w:t>
      </w:r>
      <w:r w:rsidRPr="008612B7">
        <w:rPr>
          <w:sz w:val="20"/>
          <w:szCs w:val="20"/>
        </w:rPr>
        <w:t xml:space="preserve"> </w:t>
      </w:r>
      <w:r w:rsidRPr="008612B7">
        <w:rPr>
          <w:i/>
          <w:iCs/>
          <w:sz w:val="20"/>
          <w:szCs w:val="20"/>
        </w:rPr>
        <w:t>SPQP</w:t>
      </w:r>
      <w:r w:rsidRPr="008612B7">
        <w:rPr>
          <w:sz w:val="20"/>
          <w:szCs w:val="20"/>
        </w:rPr>
        <w:t xml:space="preserve"> represents question-level performance, </w:t>
      </w:r>
      <w:r w:rsidRPr="008612B7">
        <w:rPr>
          <w:i/>
          <w:iCs/>
          <w:sz w:val="20"/>
          <w:szCs w:val="20"/>
        </w:rPr>
        <w:t>SPQW</w:t>
      </w:r>
      <w:r w:rsidRPr="008612B7">
        <w:rPr>
          <w:sz w:val="20"/>
          <w:szCs w:val="20"/>
        </w:rPr>
        <w:t xml:space="preserve"> denotes question weights, </w:t>
      </w:r>
      <w:r w:rsidRPr="008612B7">
        <w:rPr>
          <w:i/>
          <w:iCs/>
          <w:sz w:val="20"/>
          <w:szCs w:val="20"/>
        </w:rPr>
        <w:t>SPCW</w:t>
      </w:r>
      <w:r w:rsidRPr="008612B7">
        <w:rPr>
          <w:sz w:val="20"/>
          <w:szCs w:val="20"/>
        </w:rPr>
        <w:t xml:space="preserve"> indicates criteria weights, and </w:t>
      </w:r>
      <w:r w:rsidRPr="008612B7">
        <w:rPr>
          <w:i/>
          <w:iCs/>
          <w:sz w:val="20"/>
          <w:szCs w:val="20"/>
        </w:rPr>
        <w:t>SPDW</w:t>
      </w:r>
      <w:r w:rsidRPr="008612B7">
        <w:rPr>
          <w:sz w:val="20"/>
          <w:szCs w:val="20"/>
        </w:rPr>
        <w:t xml:space="preserve"> signifies dimension weights. Personal communications with S&amp;P </w:t>
      </w:r>
      <w:proofErr w:type="spellStart"/>
      <w:r w:rsidRPr="008612B7">
        <w:rPr>
          <w:sz w:val="20"/>
          <w:szCs w:val="20"/>
        </w:rPr>
        <w:t>Global’s</w:t>
      </w:r>
      <w:proofErr w:type="spellEnd"/>
      <w:r w:rsidRPr="008612B7">
        <w:rPr>
          <w:sz w:val="20"/>
          <w:szCs w:val="20"/>
        </w:rPr>
        <w:t xml:space="preserve"> Senior Management reveal these weights are proprietary to S&amp;P Global.</w:t>
      </w:r>
    </w:p>
    <w:p w14:paraId="1E44B728" w14:textId="09E458C9" w:rsidR="005064DE" w:rsidRPr="00063811" w:rsidRDefault="005064DE" w:rsidP="006760A7">
      <w:pPr>
        <w:pStyle w:val="Heading2"/>
      </w:pPr>
      <w:bookmarkStart w:id="19" w:name="_Toc193977943"/>
      <w:r w:rsidRPr="00063811">
        <w:t>Board Data</w:t>
      </w:r>
      <w:bookmarkEnd w:id="19"/>
    </w:p>
    <w:p w14:paraId="5168763E" w14:textId="35936F4A" w:rsidR="00E52BF7" w:rsidRPr="00063811" w:rsidRDefault="00575D2A" w:rsidP="008F1FAE">
      <w:pPr>
        <w:spacing w:line="480" w:lineRule="auto"/>
        <w:ind w:firstLine="720"/>
      </w:pPr>
      <w:r w:rsidRPr="00063811">
        <w:t xml:space="preserve">Board Gender Diversity and Board Tenure </w:t>
      </w:r>
      <w:r w:rsidR="00FD4553" w:rsidRPr="00063811">
        <w:t>are</w:t>
      </w:r>
      <w:r w:rsidR="00E14EFE" w:rsidRPr="00063811">
        <w:t xml:space="preserve"> S&amp;P</w:t>
      </w:r>
      <w:r w:rsidR="00FD4553" w:rsidRPr="00063811">
        <w:t xml:space="preserve"> </w:t>
      </w:r>
      <w:r w:rsidR="00E14EFE" w:rsidRPr="00063811">
        <w:t>analyst calculated weighted</w:t>
      </w:r>
      <w:r w:rsidR="00FD4553" w:rsidRPr="00063811">
        <w:t xml:space="preserve"> indices </w:t>
      </w:r>
      <w:r w:rsidR="00E14EFE" w:rsidRPr="00063811">
        <w:t>in response to answers</w:t>
      </w:r>
      <w:r w:rsidR="00FD4553" w:rsidRPr="00063811">
        <w:t xml:space="preserve"> on Questions 1.2.5 and 1.2.7 in the S&amp;P Global CSA questionnaire </w:t>
      </w:r>
      <w:r w:rsidR="00FD4553" w:rsidRPr="00063811">
        <w:fldChar w:fldCharType="begin"/>
      </w:r>
      <w:r w:rsidR="004A4BE7" w:rsidRPr="00063811">
        <w:instrText xml:space="preserve"> ADDIN ZOTERO_ITEM CSL_CITATION {"citationID":"XQfQOpKo","properties":{"formattedCitation":"(S&amp;P Global, 2024a, pp. 16\\uc0\\u8211{}19)","plainCitation":"(S&amp;P Global, 2024a, pp. 16–19)","noteIndex":0},"citationItems":[{"id":989,"uris":["http://zotero.org/users/13148740/items/6M6GD6SC"],"itemData":{"id":989,"type":"report","publisher":"S&amp;P Global","title":"CSA 2024 sample questionnaire","URL":"https://web.archive.org/web/20250306193812/https://portal.s1.spglobal.com/survey/documents/CSA_2024_Sample_Questionnaire_BNK.pdf","author":[{"literal":"S&amp;P Global"}],"issued":{"date-parts":[["2024"]]}},"locator":"16-19","label":"page"}],"schema":"https://github.com/citation-style-language/schema/raw/master/csl-citation.json"} </w:instrText>
      </w:r>
      <w:r w:rsidR="00FD4553" w:rsidRPr="00063811">
        <w:fldChar w:fldCharType="separate"/>
      </w:r>
      <w:r w:rsidR="004A4BE7" w:rsidRPr="00063811">
        <w:t>(S&amp;P Global, 2024a, pp. 16–19)</w:t>
      </w:r>
      <w:r w:rsidR="00FD4553" w:rsidRPr="00063811">
        <w:fldChar w:fldCharType="end"/>
      </w:r>
      <w:r w:rsidR="00FD4553" w:rsidRPr="00063811">
        <w:t>.</w:t>
      </w:r>
      <w:r w:rsidR="004A4BE7" w:rsidRPr="00063811">
        <w:t xml:space="preserve"> S&amp;P Global </w:t>
      </w:r>
      <w:r w:rsidR="004A4BE7" w:rsidRPr="00063811">
        <w:fldChar w:fldCharType="begin"/>
      </w:r>
      <w:r w:rsidR="004A4BE7" w:rsidRPr="00063811">
        <w:instrText xml:space="preserve"> ADDIN ZOTERO_ITEM CSL_CITATION {"citationID":"LvX8o7X4","properties":{"formattedCitation":"(2024a)","plainCitation":"(2024a)","noteIndex":0},"citationItems":[{"id":989,"uris":["http://zotero.org/users/13148740/items/6M6GD6SC"],"itemData":{"id":989,"type":"report","publisher":"S&amp;P Global","title":"CSA 2024 sample questionnaire","URL":"https://web.archive.org/web/20250306193812/https://portal.s1.spglobal.com/survey/documents/CSA_2024_Sample_Questionnaire_BNK.pdf","author":[{"literal":"S&amp;P Global"}],"issued":{"date-parts":[["2024"]]}},"suppress-author":true}],"schema":"https://github.com/citation-style-language/schema/raw/master/csl-citation.json"} </w:instrText>
      </w:r>
      <w:r w:rsidR="004A4BE7" w:rsidRPr="00063811">
        <w:fldChar w:fldCharType="separate"/>
      </w:r>
      <w:r w:rsidR="004A4BE7" w:rsidRPr="00063811">
        <w:t>(2024a)</w:t>
      </w:r>
      <w:r w:rsidR="004A4BE7" w:rsidRPr="00063811">
        <w:fldChar w:fldCharType="end"/>
      </w:r>
      <w:r w:rsidR="004A4BE7" w:rsidRPr="00063811">
        <w:t xml:space="preserve"> suggests their approach evaluates the actual representation of women rather than merely rewarding disclosure, reflecting research findings correlating gender diversity with improved corporate governance and innovation </w:t>
      </w:r>
      <w:r w:rsidR="004A4BE7" w:rsidRPr="00063811">
        <w:fldChar w:fldCharType="begin"/>
      </w:r>
      <w:r w:rsidR="004A4BE7" w:rsidRPr="00063811">
        <w:instrText xml:space="preserve"> ADDIN ZOTERO_ITEM CSL_CITATION {"citationID":"tSofpVxY","properties":{"formattedCitation":"(Adams &amp; Ferreira, 2009; Dezs\\uc0\\u246{} &amp; Ross, 2012)","plainCitation":"(Adams &amp; Ferreira, 2009; Dezsö &amp; Ross, 2012)","noteIndex":0},"citationItems":[{"id":984,"uris":["http://zotero.org/users/13148740/items/XV2NHDTX"],"itemData":{"id":984,"type":"article-journal","container-title":"Journal of Financial Economics","DOI":"10.1016/j.jfineco.2008.10.007","ISSN":"0304405X","issue":"2","journalAbbreviation":"Journal of Financial Economics","language":"en","license":"https://www.elsevier.com/tdm/userlicense/1.0/","page":"291-309","source":"DOI.org (Crossref)","title":"Women in the boardroom and their impact on governance and performance</w:instrText>
      </w:r>
      <w:r w:rsidR="004A4BE7" w:rsidRPr="00063811">
        <w:rPr>
          <w:rFonts w:ascii="Segoe UI Symbol" w:hAnsi="Segoe UI Symbol" w:cs="Segoe UI Symbol"/>
        </w:rPr>
        <w:instrText>☆</w:instrText>
      </w:r>
      <w:r w:rsidR="004A4BE7" w:rsidRPr="00063811">
        <w:instrText xml:space="preserve">","volume":"94","author":[{"family":"Adams","given":"Renée B."},{"family":"Ferreira","given":"Daniel"}],"issued":{"date-parts":[["2009",11]]}}},{"id":986,"uris":["http://zotero.org/users/13148740/items/4U8YY2PV"],"itemData":{"id":986,"type":"article-journal","abstract":"Abstract\n            We argue that female representation in top management brings informational and social diversity benefits to the top management team, enriches the behaviors exhibited by managers throughout the firm, and motivates women in middle management. The result should be improved managerial task performance and thus better firm performance. We test our theory using 15 years of panel data on the top management teams of the S&amp;P 1,500 firms. We find that female representation in top management improves firm performance but only to the extent that a firm's strategy is focused on innovation, in which context the informational and social benefits of gender diversity and the behaviors associated with women in management are likely to be especially important for managerial task performance. Copyright © 2012 John Wiley &amp; Sons, Ltd.","container-title":"Strategic Management Journal","DOI":"10.1002/smj.1955","ISSN":"0143-2095, 1097-0266","issue":"9","journalAbbreviation":"Strategic Management Journal","language":"en","license":"http://onlinelibrary.wiley.com/termsAndConditions#vor","page":"1072-1089","source":"DOI.org (Crossref)","title":"Does female representation in top management improve firm performance? A panel data investigation","title-short":"Does female representation in top management improve firm performance?","volume":"33","author":[{"family":"Dezsö","given":"Cristian L."},{"family":"Ross","given":"David Gaddis"}],"issued":{"date-parts":[["2012",9]]}}}],"schema":"https://github.com/citation-style-language/schema/raw/master/csl-citation.json"} </w:instrText>
      </w:r>
      <w:r w:rsidR="004A4BE7" w:rsidRPr="00063811">
        <w:fldChar w:fldCharType="separate"/>
      </w:r>
      <w:r w:rsidR="004A4BE7" w:rsidRPr="00063811">
        <w:t>(Adams &amp; Ferreira, 2009; Dezsö &amp; Ross, 2012)</w:t>
      </w:r>
      <w:r w:rsidR="004A4BE7" w:rsidRPr="00063811">
        <w:fldChar w:fldCharType="end"/>
      </w:r>
      <w:r w:rsidR="004A4BE7" w:rsidRPr="00063811">
        <w:t xml:space="preserve">. S&amp;P Global </w:t>
      </w:r>
      <w:r w:rsidR="004A4BE7" w:rsidRPr="00063811">
        <w:fldChar w:fldCharType="begin"/>
      </w:r>
      <w:r w:rsidR="004A4BE7" w:rsidRPr="00063811">
        <w:instrText xml:space="preserve"> ADDIN ZOTERO_ITEM CSL_CITATION {"citationID":"pfEGnIFf","properties":{"formattedCitation":"(2024a)","plainCitation":"(2024a)","noteIndex":0},"citationItems":[{"id":989,"uris":["http://zotero.org/users/13148740/items/6M6GD6SC"],"itemData":{"id":989,"type":"report","publisher":"S&amp;P Global","title":"CSA 2024 sample questionnaire","URL":"https://web.archive.org/web/20250306193812/https://portal.s1.spglobal.com/survey/documents/CSA_2024_Sample_Questionnaire_BNK.pdf","author":[{"literal":"S&amp;P Global"}],"issued":{"date-parts":[["2024"]]}},"suppress-author":true}],"schema":"https://github.com/citation-style-language/schema/raw/master/csl-citation.json"} </w:instrText>
      </w:r>
      <w:r w:rsidR="004A4BE7" w:rsidRPr="00063811">
        <w:fldChar w:fldCharType="separate"/>
      </w:r>
      <w:r w:rsidR="004A4BE7" w:rsidRPr="00063811">
        <w:t>(2024a)</w:t>
      </w:r>
      <w:r w:rsidR="004A4BE7" w:rsidRPr="00063811">
        <w:fldChar w:fldCharType="end"/>
      </w:r>
      <w:r w:rsidR="004A4BE7" w:rsidRPr="00063811">
        <w:t xml:space="preserve"> </w:t>
      </w:r>
      <w:r w:rsidR="001A5FC6" w:rsidRPr="00063811">
        <w:t>further</w:t>
      </w:r>
      <w:r w:rsidR="004A4BE7" w:rsidRPr="00063811">
        <w:t xml:space="preserve"> draws on research indicating optimal board tenure falls in the 7–12-year range  </w:t>
      </w:r>
      <w:r w:rsidR="004A4BE7" w:rsidRPr="00063811">
        <w:fldChar w:fldCharType="begin"/>
      </w:r>
      <w:r w:rsidR="004A4BE7" w:rsidRPr="00063811">
        <w:instrText xml:space="preserve"> ADDIN ZOTERO_ITEM CSL_CITATION {"citationID":"1IwW66AZ","properties":{"formattedCitation":"(Canavan et al., 2004; S. Huang &amp; Hilary, 2018)","plainCitation":"(Canavan et al., 2004; S. Huang &amp; Hilary, 2018)","noteIndex":0},"citationItems":[{"id":988,"uris":["http://zotero.org/users/13148740/items/XABLA5V2"],"itemData":{"id":988,"type":"article-journal","container-title":"Directors &amp; Boards","issue":"2","page":"39-42","title":"Board tenure: How long is too long?","volume":"28","author":[{"family":"Canavan","given":"J."},{"family":"Jones","given":"B."},{"family":"Potter","given":"M. J."}],"issued":{"date-parts":[["2004"]]}}},{"id":987,"uris":["http://zotero.org/users/13148740/items/SJ5ABMH6"],"itemData":{"id":987,"type":"article-journal","abstract":"ABSTRACT\n            We show that board tenure exhibits an inverted U‐shaped relation with firm value and accounting performance. The quality of corporate decisions, such as M&amp;A, financial reporting quality, and CEO compensation, also has a quadratic relation with board tenure. Our results are consistent with the interpretation that directors’ on‐the‐job learning improves firm value up to a threshold, at which point entrenchment dominates and firm performance suffers. To address endogeneity concerns, we use a sample of firms in which an outside director suffered a sudden death, and find that sudden deaths that move board tenure away from (toward) the empirically observed optimum level in the cross‐section are associated with negative (positive) announcement returns. The quality of corporate decisions also follows an inverted U‐shaped pattern in a sample of firms affected by the death of a director.","container-title":"Journal of Accounting Research","DOI":"10.1111/1475-679X.12209","ISSN":"0021-8456, 1475-679X","issue":"4","journalAbbreviation":"J of Accounting Research","language":"en","page":"1285-1329","source":"DOI.org (Crossref)","title":"Zombie Board: Board Tenure and Firm Performance","title-short":"Zombie Board","volume":"56","author":[{"family":"Huang","given":"Sterling"},{"family":"Hilary","given":"Gilles"}],"issued":{"date-parts":[["2018",9]]}}}],"schema":"https://github.com/citation-style-language/schema/raw/master/csl-citation.json"} </w:instrText>
      </w:r>
      <w:r w:rsidR="004A4BE7" w:rsidRPr="00063811">
        <w:fldChar w:fldCharType="separate"/>
      </w:r>
      <w:r w:rsidR="004A4BE7" w:rsidRPr="00063811">
        <w:t>(Canavan et al., 2004; S. Huang &amp; Hilary, 2018)</w:t>
      </w:r>
      <w:r w:rsidR="004A4BE7" w:rsidRPr="00063811">
        <w:fldChar w:fldCharType="end"/>
      </w:r>
      <w:r w:rsidR="004A4BE7" w:rsidRPr="00063811">
        <w:t xml:space="preserve">, with firm value declining as average tenure deviates from this range. </w:t>
      </w:r>
      <w:r w:rsidR="00E14EFE" w:rsidRPr="00063811">
        <w:t xml:space="preserve">S&amp;P analysts use the following model specification </w:t>
      </w:r>
      <w:r w:rsidR="00F05EA2" w:rsidRPr="00063811">
        <w:t xml:space="preserve">(see Table 2) </w:t>
      </w:r>
      <w:r w:rsidR="00E14EFE" w:rsidRPr="00063811">
        <w:t>to calculate the indices:</w:t>
      </w:r>
    </w:p>
    <w:p w14:paraId="69860103" w14:textId="5B059397" w:rsidR="008F1FAE" w:rsidRPr="008612B7" w:rsidRDefault="008F1FAE" w:rsidP="008F1FAE">
      <w:pPr>
        <w:pStyle w:val="Caption"/>
        <w:keepNext/>
        <w:spacing w:after="0"/>
        <w:rPr>
          <w:rFonts w:ascii="Times New Roman" w:hAnsi="Times New Roman" w:cs="Times New Roman"/>
          <w:b/>
          <w:bCs/>
          <w:i w:val="0"/>
          <w:iCs w:val="0"/>
          <w:color w:val="000000" w:themeColor="text1"/>
          <w:sz w:val="20"/>
          <w:szCs w:val="20"/>
        </w:rPr>
      </w:pPr>
      <w:r w:rsidRPr="008612B7">
        <w:rPr>
          <w:rFonts w:ascii="Times New Roman" w:hAnsi="Times New Roman" w:cs="Times New Roman"/>
          <w:b/>
          <w:bCs/>
          <w:i w:val="0"/>
          <w:iCs w:val="0"/>
          <w:color w:val="000000" w:themeColor="text1"/>
          <w:sz w:val="20"/>
          <w:szCs w:val="20"/>
        </w:rPr>
        <w:t xml:space="preserve">Table </w:t>
      </w:r>
      <w:r w:rsidRPr="008612B7">
        <w:rPr>
          <w:rFonts w:ascii="Times New Roman" w:hAnsi="Times New Roman" w:cs="Times New Roman"/>
          <w:b/>
          <w:bCs/>
          <w:i w:val="0"/>
          <w:iCs w:val="0"/>
          <w:color w:val="000000" w:themeColor="text1"/>
          <w:sz w:val="20"/>
          <w:szCs w:val="20"/>
        </w:rPr>
        <w:fldChar w:fldCharType="begin"/>
      </w:r>
      <w:r w:rsidRPr="008612B7">
        <w:rPr>
          <w:rFonts w:ascii="Times New Roman" w:hAnsi="Times New Roman" w:cs="Times New Roman"/>
          <w:b/>
          <w:bCs/>
          <w:i w:val="0"/>
          <w:iCs w:val="0"/>
          <w:color w:val="000000" w:themeColor="text1"/>
          <w:sz w:val="20"/>
          <w:szCs w:val="20"/>
        </w:rPr>
        <w:instrText xml:space="preserve"> SEQ Table \* ARABIC </w:instrText>
      </w:r>
      <w:r w:rsidRPr="008612B7">
        <w:rPr>
          <w:rFonts w:ascii="Times New Roman" w:hAnsi="Times New Roman" w:cs="Times New Roman"/>
          <w:b/>
          <w:bCs/>
          <w:i w:val="0"/>
          <w:iCs w:val="0"/>
          <w:color w:val="000000" w:themeColor="text1"/>
          <w:sz w:val="20"/>
          <w:szCs w:val="20"/>
        </w:rPr>
        <w:fldChar w:fldCharType="separate"/>
      </w:r>
      <w:r w:rsidR="00063811">
        <w:rPr>
          <w:rFonts w:ascii="Times New Roman" w:hAnsi="Times New Roman" w:cs="Times New Roman"/>
          <w:b/>
          <w:bCs/>
          <w:i w:val="0"/>
          <w:iCs w:val="0"/>
          <w:noProof/>
          <w:color w:val="000000" w:themeColor="text1"/>
          <w:sz w:val="20"/>
          <w:szCs w:val="20"/>
        </w:rPr>
        <w:t>2</w:t>
      </w:r>
      <w:r w:rsidRPr="008612B7">
        <w:rPr>
          <w:rFonts w:ascii="Times New Roman" w:hAnsi="Times New Roman" w:cs="Times New Roman"/>
          <w:b/>
          <w:bCs/>
          <w:i w:val="0"/>
          <w:iCs w:val="0"/>
          <w:color w:val="000000" w:themeColor="text1"/>
          <w:sz w:val="20"/>
          <w:szCs w:val="20"/>
        </w:rPr>
        <w:fldChar w:fldCharType="end"/>
      </w:r>
      <w:r w:rsidRPr="008612B7">
        <w:rPr>
          <w:rFonts w:ascii="Times New Roman" w:hAnsi="Times New Roman" w:cs="Times New Roman"/>
          <w:b/>
          <w:bCs/>
          <w:i w:val="0"/>
          <w:iCs w:val="0"/>
          <w:color w:val="000000" w:themeColor="text1"/>
          <w:sz w:val="20"/>
          <w:szCs w:val="20"/>
        </w:rPr>
        <w:t xml:space="preserve">. </w:t>
      </w:r>
      <w:bookmarkStart w:id="20" w:name="_Toc193976795"/>
      <w:r w:rsidRPr="008612B7">
        <w:rPr>
          <w:rFonts w:ascii="Times New Roman" w:hAnsi="Times New Roman" w:cs="Times New Roman"/>
          <w:b/>
          <w:bCs/>
          <w:i w:val="0"/>
          <w:iCs w:val="0"/>
          <w:color w:val="000000" w:themeColor="text1"/>
          <w:sz w:val="20"/>
          <w:szCs w:val="20"/>
        </w:rPr>
        <w:t>S&amp;P Global Gender Diversity and Tenure Indices Calculations</w:t>
      </w:r>
      <w:bookmarkEnd w:id="20"/>
    </w:p>
    <w:tbl>
      <w:tblPr>
        <w:tblStyle w:val="PlainTable3"/>
        <w:tblW w:w="9504" w:type="dxa"/>
        <w:tblLayout w:type="fixed"/>
        <w:tblLook w:val="0480" w:firstRow="0" w:lastRow="0" w:firstColumn="1" w:lastColumn="0" w:noHBand="0" w:noVBand="1"/>
      </w:tblPr>
      <w:tblGrid>
        <w:gridCol w:w="2250"/>
        <w:gridCol w:w="5220"/>
        <w:gridCol w:w="2034"/>
      </w:tblGrid>
      <w:tr w:rsidR="00D92229" w:rsidRPr="00063811" w14:paraId="07184C75" w14:textId="77777777" w:rsidTr="008329A6">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250" w:type="dxa"/>
            <w:tcBorders>
              <w:top w:val="single" w:sz="4" w:space="0" w:color="auto"/>
              <w:right w:val="none" w:sz="0" w:space="0" w:color="auto"/>
            </w:tcBorders>
            <w:vAlign w:val="center"/>
            <w:hideMark/>
          </w:tcPr>
          <w:p w14:paraId="04720503" w14:textId="361D572D" w:rsidR="008E14A0" w:rsidRPr="008612B7" w:rsidRDefault="00D92229" w:rsidP="00F256FD">
            <w:pPr>
              <w:spacing w:line="360" w:lineRule="auto"/>
              <w:jc w:val="center"/>
              <w:rPr>
                <w:sz w:val="20"/>
                <w:szCs w:val="20"/>
              </w:rPr>
            </w:pPr>
            <w:r w:rsidRPr="008612B7">
              <w:rPr>
                <w:sz w:val="20"/>
                <w:szCs w:val="20"/>
              </w:rPr>
              <w:t>Variable</w:t>
            </w:r>
          </w:p>
        </w:tc>
        <w:tc>
          <w:tcPr>
            <w:tcW w:w="5220" w:type="dxa"/>
            <w:tcBorders>
              <w:top w:val="single" w:sz="4" w:space="0" w:color="auto"/>
            </w:tcBorders>
            <w:vAlign w:val="center"/>
            <w:hideMark/>
          </w:tcPr>
          <w:p w14:paraId="2536F2C6" w14:textId="77777777" w:rsidR="008E14A0" w:rsidRPr="008612B7" w:rsidRDefault="008E14A0" w:rsidP="00F256F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8612B7">
              <w:rPr>
                <w:b/>
                <w:bCs/>
                <w:sz w:val="20"/>
                <w:szCs w:val="20"/>
              </w:rPr>
              <w:t>Formula</w:t>
            </w:r>
          </w:p>
        </w:tc>
        <w:tc>
          <w:tcPr>
            <w:tcW w:w="2034" w:type="dxa"/>
            <w:tcBorders>
              <w:top w:val="single" w:sz="4" w:space="0" w:color="auto"/>
            </w:tcBorders>
            <w:vAlign w:val="center"/>
          </w:tcPr>
          <w:p w14:paraId="1B5781B9" w14:textId="77777777" w:rsidR="008E14A0" w:rsidRPr="008612B7" w:rsidRDefault="008E14A0" w:rsidP="00F256F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8612B7">
              <w:rPr>
                <w:b/>
                <w:bCs/>
                <w:sz w:val="20"/>
                <w:szCs w:val="20"/>
              </w:rPr>
              <w:t>Source</w:t>
            </w:r>
          </w:p>
        </w:tc>
      </w:tr>
      <w:tr w:rsidR="00D92229" w:rsidRPr="00063811" w14:paraId="3FAE5B8E" w14:textId="77777777" w:rsidTr="008329A6">
        <w:trPr>
          <w:trHeight w:val="576"/>
        </w:trPr>
        <w:tc>
          <w:tcPr>
            <w:cnfStyle w:val="001000000000" w:firstRow="0" w:lastRow="0" w:firstColumn="1" w:lastColumn="0" w:oddVBand="0" w:evenVBand="0" w:oddHBand="0" w:evenHBand="0" w:firstRowFirstColumn="0" w:firstRowLastColumn="0" w:lastRowFirstColumn="0" w:lastRowLastColumn="0"/>
            <w:tcW w:w="2250" w:type="dxa"/>
            <w:tcBorders>
              <w:right w:val="none" w:sz="0" w:space="0" w:color="auto"/>
            </w:tcBorders>
            <w:vAlign w:val="center"/>
            <w:hideMark/>
          </w:tcPr>
          <w:p w14:paraId="4A39EB76" w14:textId="168DBB44" w:rsidR="008E14A0" w:rsidRPr="008612B7" w:rsidRDefault="008E14A0" w:rsidP="00F256FD">
            <w:pPr>
              <w:spacing w:line="360" w:lineRule="auto"/>
              <w:jc w:val="center"/>
              <w:rPr>
                <w:b w:val="0"/>
                <w:bCs w:val="0"/>
                <w:sz w:val="20"/>
                <w:szCs w:val="20"/>
              </w:rPr>
            </w:pPr>
            <w:r w:rsidRPr="008612B7">
              <w:rPr>
                <w:b w:val="0"/>
                <w:bCs w:val="0"/>
                <w:sz w:val="20"/>
                <w:szCs w:val="20"/>
              </w:rPr>
              <w:t>G</w:t>
            </w:r>
            <w:r w:rsidR="00D92229" w:rsidRPr="008612B7">
              <w:rPr>
                <w:b w:val="0"/>
                <w:bCs w:val="0"/>
                <w:sz w:val="20"/>
                <w:szCs w:val="20"/>
              </w:rPr>
              <w:t>ender</w:t>
            </w:r>
            <w:r w:rsidR="00D0244D" w:rsidRPr="008612B7">
              <w:rPr>
                <w:b w:val="0"/>
                <w:bCs w:val="0"/>
                <w:sz w:val="20"/>
                <w:szCs w:val="20"/>
              </w:rPr>
              <w:t xml:space="preserve"> </w:t>
            </w:r>
            <w:r w:rsidR="00D92229" w:rsidRPr="008612B7">
              <w:rPr>
                <w:b w:val="0"/>
                <w:bCs w:val="0"/>
                <w:sz w:val="20"/>
                <w:szCs w:val="20"/>
              </w:rPr>
              <w:t>Diversity</w:t>
            </w:r>
          </w:p>
        </w:tc>
        <w:tc>
          <w:tcPr>
            <w:tcW w:w="5220" w:type="dxa"/>
            <w:vAlign w:val="center"/>
            <w:hideMark/>
          </w:tcPr>
          <w:p w14:paraId="2B0AE83B" w14:textId="68DD9302" w:rsidR="008E14A0" w:rsidRPr="008612B7" w:rsidRDefault="00000000" w:rsidP="00F256FD">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m:oMathPara>
              <m:oMathParaPr>
                <m:jc m:val="center"/>
              </m:oMathParaPr>
              <m:oMath>
                <m:f>
                  <m:fPr>
                    <m:ctrlPr>
                      <w:rPr>
                        <w:rFonts w:ascii="Cambria Math" w:hAnsi="Cambria Math"/>
                        <w:sz w:val="20"/>
                        <w:szCs w:val="20"/>
                      </w:rPr>
                    </m:ctrlPr>
                  </m:fPr>
                  <m:num>
                    <m:r>
                      <m:rPr>
                        <m:sty m:val="p"/>
                      </m:rPr>
                      <w:rPr>
                        <w:rFonts w:ascii="Cambria Math" w:hAnsi="Cambria Math"/>
                        <w:sz w:val="20"/>
                        <w:szCs w:val="20"/>
                      </w:rPr>
                      <m:t># Women</m:t>
                    </m:r>
                  </m:num>
                  <m:den>
                    <m:r>
                      <m:rPr>
                        <m:sty m:val="p"/>
                      </m:rPr>
                      <w:rPr>
                        <w:rFonts w:ascii="Cambria Math" w:hAnsi="Cambria Math"/>
                        <w:sz w:val="20"/>
                        <w:szCs w:val="20"/>
                      </w:rPr>
                      <m:t># Board Members</m:t>
                    </m:r>
                  </m:den>
                </m:f>
                <m:r>
                  <m:rPr>
                    <m:sty m:val="p"/>
                  </m:rPr>
                  <w:rPr>
                    <w:rFonts w:ascii="Cambria Math" w:hAnsi="Cambria Math"/>
                    <w:sz w:val="20"/>
                    <w:szCs w:val="20"/>
                  </w:rPr>
                  <m:t>×SPQW</m:t>
                </m:r>
              </m:oMath>
            </m:oMathPara>
          </w:p>
        </w:tc>
        <w:tc>
          <w:tcPr>
            <w:tcW w:w="2034" w:type="dxa"/>
            <w:vAlign w:val="center"/>
          </w:tcPr>
          <w:p w14:paraId="1B6D0039" w14:textId="6BA919E5" w:rsidR="008E14A0" w:rsidRPr="008612B7" w:rsidRDefault="008E14A0" w:rsidP="00F256FD">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S&amp;P Global</w:t>
            </w:r>
          </w:p>
        </w:tc>
      </w:tr>
      <w:tr w:rsidR="00D92229" w:rsidRPr="00063811" w14:paraId="56DE7DD7" w14:textId="77777777" w:rsidTr="008329A6">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right w:val="none" w:sz="0" w:space="0" w:color="auto"/>
            </w:tcBorders>
            <w:vAlign w:val="center"/>
            <w:hideMark/>
          </w:tcPr>
          <w:p w14:paraId="1EFB300D" w14:textId="7A5D508C" w:rsidR="008E14A0" w:rsidRPr="008612B7" w:rsidRDefault="00D92229" w:rsidP="00F256FD">
            <w:pPr>
              <w:spacing w:line="360" w:lineRule="auto"/>
              <w:jc w:val="center"/>
              <w:rPr>
                <w:b w:val="0"/>
                <w:bCs w:val="0"/>
                <w:sz w:val="20"/>
                <w:szCs w:val="20"/>
              </w:rPr>
            </w:pPr>
            <w:r w:rsidRPr="008612B7">
              <w:rPr>
                <w:b w:val="0"/>
                <w:bCs w:val="0"/>
                <w:sz w:val="20"/>
                <w:szCs w:val="20"/>
              </w:rPr>
              <w:t>Tenure</w:t>
            </w:r>
          </w:p>
        </w:tc>
        <w:tc>
          <w:tcPr>
            <w:tcW w:w="5220" w:type="dxa"/>
            <w:tcBorders>
              <w:bottom w:val="single" w:sz="4" w:space="0" w:color="auto"/>
            </w:tcBorders>
            <w:vAlign w:val="center"/>
            <w:hideMark/>
          </w:tcPr>
          <w:p w14:paraId="256F37EB" w14:textId="4388F013" w:rsidR="008E14A0" w:rsidRPr="008612B7" w:rsidRDefault="00833A39" w:rsidP="00F256FD">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20"/>
              </w:rPr>
            </w:pPr>
            <m:oMathPara>
              <m:oMathParaPr>
                <m:jc m:val="center"/>
              </m:oMathParaPr>
              <m:oMath>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Current Year-Appointment Year</m:t>
                    </m:r>
                  </m:num>
                  <m:den>
                    <m:r>
                      <m:rPr>
                        <m:sty m:val="p"/>
                      </m:rPr>
                      <w:rPr>
                        <w:rFonts w:ascii="Cambria Math" w:hAnsi="Cambria Math"/>
                        <w:sz w:val="20"/>
                        <w:szCs w:val="20"/>
                      </w:rPr>
                      <m:t>Number of Directors</m:t>
                    </m:r>
                  </m:den>
                </m:f>
                <m:r>
                  <m:rPr>
                    <m:sty m:val="p"/>
                  </m:rPr>
                  <w:rPr>
                    <w:rFonts w:ascii="Cambria Math" w:hAnsi="Cambria Math"/>
                    <w:sz w:val="20"/>
                    <w:szCs w:val="20"/>
                  </w:rPr>
                  <m:t>×SPQW</m:t>
                </m:r>
              </m:oMath>
            </m:oMathPara>
          </w:p>
        </w:tc>
        <w:tc>
          <w:tcPr>
            <w:tcW w:w="2034" w:type="dxa"/>
            <w:tcBorders>
              <w:bottom w:val="single" w:sz="4" w:space="0" w:color="auto"/>
            </w:tcBorders>
            <w:vAlign w:val="center"/>
          </w:tcPr>
          <w:p w14:paraId="2443C4B8" w14:textId="1B98295B" w:rsidR="008E14A0" w:rsidRPr="008612B7" w:rsidRDefault="008E14A0" w:rsidP="00F256FD">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S&amp;P Global</w:t>
            </w:r>
          </w:p>
        </w:tc>
      </w:tr>
    </w:tbl>
    <w:p w14:paraId="257F21E8" w14:textId="77777777" w:rsidR="008E14A0" w:rsidRPr="008612B7" w:rsidRDefault="008E14A0" w:rsidP="00F256FD">
      <w:pPr>
        <w:spacing w:after="240"/>
        <w:jc w:val="both"/>
        <w:rPr>
          <w:sz w:val="20"/>
          <w:szCs w:val="20"/>
        </w:rPr>
      </w:pPr>
      <w:r w:rsidRPr="008612B7">
        <w:rPr>
          <w:i/>
          <w:iCs/>
          <w:sz w:val="20"/>
          <w:szCs w:val="20"/>
        </w:rPr>
        <w:t>Note:</w:t>
      </w:r>
      <w:r w:rsidRPr="008612B7">
        <w:rPr>
          <w:sz w:val="20"/>
          <w:szCs w:val="20"/>
        </w:rPr>
        <w:t xml:space="preserve"> </w:t>
      </w:r>
      <w:r w:rsidRPr="008612B7">
        <w:rPr>
          <w:i/>
          <w:iCs/>
          <w:sz w:val="20"/>
          <w:szCs w:val="20"/>
        </w:rPr>
        <w:t>SPQW</w:t>
      </w:r>
      <w:r w:rsidRPr="008612B7">
        <w:rPr>
          <w:sz w:val="20"/>
          <w:szCs w:val="20"/>
        </w:rPr>
        <w:t xml:space="preserve"> denotes question weights. Both these Indices are components of the broader governance dimension score and are weighted according to industry-specific materiality assessments, reflecting their importance in corporate decision-making and long-term shareholder value. </w:t>
      </w:r>
    </w:p>
    <w:p w14:paraId="28A06183" w14:textId="77777777" w:rsidR="00F256FD" w:rsidRPr="00063811" w:rsidRDefault="00F256FD">
      <w:pPr>
        <w:spacing w:after="160" w:line="278" w:lineRule="auto"/>
        <w:rPr>
          <w:b/>
          <w:bCs/>
        </w:rPr>
      </w:pPr>
      <w:r w:rsidRPr="00063811">
        <w:br w:type="page"/>
      </w:r>
    </w:p>
    <w:p w14:paraId="34763709" w14:textId="72E725C1" w:rsidR="00484CA6" w:rsidRPr="00063811" w:rsidRDefault="0097023F" w:rsidP="006760A7">
      <w:pPr>
        <w:pStyle w:val="Heading2"/>
      </w:pPr>
      <w:bookmarkStart w:id="21" w:name="_Toc193977944"/>
      <w:r w:rsidRPr="00063811">
        <w:lastRenderedPageBreak/>
        <w:t>Firm</w:t>
      </w:r>
      <w:r w:rsidR="00484CA6" w:rsidRPr="00063811">
        <w:t xml:space="preserve"> Data</w:t>
      </w:r>
      <w:bookmarkEnd w:id="21"/>
    </w:p>
    <w:p w14:paraId="47B96005" w14:textId="77777777" w:rsidR="0097023F" w:rsidRPr="00063811" w:rsidRDefault="00484CA6" w:rsidP="00F256FD">
      <w:pPr>
        <w:spacing w:line="480" w:lineRule="auto"/>
        <w:ind w:firstLine="720"/>
      </w:pPr>
      <w:r w:rsidRPr="00063811">
        <w:t>Firm-specific financial characteristics are drawn from the Standard &amp; Poor's (S&amp;P) Compustat Annual database for the years 2019-2024. Compustat provides standardized accounting information for publicly listed companies, including key balance sheet, income statement, and cash flow items.</w:t>
      </w:r>
      <w:r w:rsidR="001D0C07" w:rsidRPr="00063811">
        <w:t xml:space="preserve"> </w:t>
      </w:r>
    </w:p>
    <w:p w14:paraId="4F9326F0" w14:textId="20E44B37" w:rsidR="00E52BF7" w:rsidRPr="00063811" w:rsidRDefault="00484CA6" w:rsidP="008F1FAE">
      <w:pPr>
        <w:spacing w:line="480" w:lineRule="auto"/>
        <w:ind w:firstLine="720"/>
      </w:pPr>
      <w:r w:rsidRPr="00063811">
        <w:t xml:space="preserve">From this dataset, </w:t>
      </w:r>
      <w:r w:rsidR="001A5FC6" w:rsidRPr="00063811">
        <w:t>I</w:t>
      </w:r>
      <w:r w:rsidRPr="00063811">
        <w:t xml:space="preserve"> construct several control variables</w:t>
      </w:r>
      <w:r w:rsidR="0097023F" w:rsidRPr="00063811">
        <w:t xml:space="preserve"> (see table 3). Leverage, calculated as </w:t>
      </w:r>
      <m:oMath>
        <m:f>
          <m:fPr>
            <m:ctrlPr>
              <w:rPr>
                <w:rFonts w:ascii="Cambria Math" w:hAnsi="Cambria Math"/>
                <w:i/>
              </w:rPr>
            </m:ctrlPr>
          </m:fPr>
          <m:num>
            <m:r>
              <m:rPr>
                <m:nor/>
              </m:rPr>
              <w:rPr>
                <w:i/>
              </w:rPr>
              <m:t>DLTT + DLC</m:t>
            </m:r>
          </m:num>
          <m:den>
            <m:r>
              <m:rPr>
                <m:nor/>
              </m:rPr>
              <w:rPr>
                <w:i/>
              </w:rPr>
              <m:t>SEQ</m:t>
            </m:r>
          </m:den>
        </m:f>
      </m:oMath>
      <w:r w:rsidR="0097023F" w:rsidRPr="00063811">
        <w:t xml:space="preserve">, where </w:t>
      </w:r>
      <w:r w:rsidR="0097023F" w:rsidRPr="00063811">
        <w:rPr>
          <w:i/>
          <w:iCs/>
        </w:rPr>
        <w:t>DLTT</w:t>
      </w:r>
      <w:r w:rsidR="0097023F" w:rsidRPr="00063811">
        <w:t xml:space="preserve"> represents long-term debt, </w:t>
      </w:r>
      <w:r w:rsidR="0097023F" w:rsidRPr="00063811">
        <w:rPr>
          <w:i/>
          <w:iCs/>
        </w:rPr>
        <w:t>DLC</w:t>
      </w:r>
      <w:r w:rsidR="0097023F" w:rsidRPr="00063811">
        <w:t xml:space="preserve"> denotes debt in current liabilities, and </w:t>
      </w:r>
      <w:r w:rsidR="0097023F" w:rsidRPr="00063811">
        <w:rPr>
          <w:i/>
          <w:iCs/>
        </w:rPr>
        <w:t>SEQ</w:t>
      </w:r>
      <w:r w:rsidR="0097023F" w:rsidRPr="00063811">
        <w:t xml:space="preserve"> indicates shareholders' equity. Company Size, measured as the natural logarithm of total assets: </w:t>
      </w:r>
      <m:oMath>
        <m:func>
          <m:funcPr>
            <m:ctrlPr>
              <w:rPr>
                <w:rFonts w:ascii="Cambria Math" w:hAnsi="Cambria Math"/>
                <w:i/>
              </w:rPr>
            </m:ctrlPr>
          </m:funcPr>
          <m:fName>
            <m:r>
              <w:rPr>
                <w:rFonts w:ascii="Cambria Math" w:hAnsi="Cambria Math"/>
              </w:rPr>
              <m:t>log</m:t>
            </m:r>
          </m:fName>
          <m:e>
            <m:d>
              <m:dPr>
                <m:ctrlPr>
                  <w:rPr>
                    <w:rFonts w:ascii="Cambria Math" w:hAnsi="Cambria Math"/>
                    <w:i/>
                  </w:rPr>
                </m:ctrlPr>
              </m:dPr>
              <m:e>
                <m:r>
                  <m:rPr>
                    <m:nor/>
                  </m:rPr>
                  <w:rPr>
                    <w:i/>
                  </w:rPr>
                  <m:t>AT</m:t>
                </m:r>
              </m:e>
            </m:d>
          </m:e>
        </m:func>
      </m:oMath>
      <w:r w:rsidR="0097023F" w:rsidRPr="00063811">
        <w:t xml:space="preserve">. Return on Assets (ROA), computed as </w:t>
      </w:r>
      <m:oMath>
        <m:f>
          <m:fPr>
            <m:ctrlPr>
              <w:rPr>
                <w:rFonts w:ascii="Cambria Math" w:hAnsi="Cambria Math"/>
                <w:i/>
              </w:rPr>
            </m:ctrlPr>
          </m:fPr>
          <m:num>
            <m:r>
              <m:rPr>
                <m:nor/>
              </m:rPr>
              <w:rPr>
                <w:i/>
              </w:rPr>
              <m:t>NI</m:t>
            </m:r>
          </m:num>
          <m:den>
            <m:r>
              <m:rPr>
                <m:nor/>
              </m:rPr>
              <w:rPr>
                <w:i/>
              </w:rPr>
              <m:t>AT</m:t>
            </m:r>
          </m:den>
        </m:f>
      </m:oMath>
      <w:r w:rsidR="0097023F" w:rsidRPr="00063811">
        <w:t xml:space="preserve">, where </w:t>
      </w:r>
      <w:r w:rsidR="0097023F" w:rsidRPr="00063811">
        <w:rPr>
          <w:i/>
          <w:iCs/>
        </w:rPr>
        <w:t>NI</w:t>
      </w:r>
      <w:r w:rsidR="0097023F" w:rsidRPr="00063811">
        <w:t xml:space="preserve"> represents net income and </w:t>
      </w:r>
      <w:r w:rsidR="0097023F" w:rsidRPr="00063811">
        <w:rPr>
          <w:i/>
          <w:iCs/>
        </w:rPr>
        <w:t>AT</w:t>
      </w:r>
      <w:r w:rsidR="0097023F" w:rsidRPr="00063811">
        <w:t xml:space="preserve"> denotes total assets. Tobin's Q, calculated as </w:t>
      </w:r>
      <m:oMath>
        <m:f>
          <m:fPr>
            <m:ctrlPr>
              <w:rPr>
                <w:rFonts w:ascii="Cambria Math" w:hAnsi="Cambria Math"/>
                <w:i/>
              </w:rPr>
            </m:ctrlPr>
          </m:fPr>
          <m:num>
            <m:r>
              <m:rPr>
                <m:nor/>
              </m:rPr>
              <w:rPr>
                <w:i/>
              </w:rPr>
              <m:t>AT + (CSHO</m:t>
            </m:r>
            <m:r>
              <w:rPr>
                <w:rFonts w:ascii="Cambria Math" w:hAnsi="Cambria Math"/>
              </w:rPr>
              <m:t>×</m:t>
            </m:r>
            <m:r>
              <m:rPr>
                <m:nor/>
              </m:rPr>
              <w:rPr>
                <w:i/>
              </w:rPr>
              <m:t>PRCC_F) - CEQ</m:t>
            </m:r>
          </m:num>
          <m:den>
            <m:r>
              <m:rPr>
                <m:nor/>
              </m:rPr>
              <w:rPr>
                <w:i/>
              </w:rPr>
              <m:t>AT</m:t>
            </m:r>
          </m:den>
        </m:f>
      </m:oMath>
      <w:r w:rsidR="0097023F" w:rsidRPr="00063811">
        <w:t xml:space="preserve">, where </w:t>
      </w:r>
      <w:r w:rsidR="0097023F" w:rsidRPr="00063811">
        <w:rPr>
          <w:i/>
          <w:iCs/>
        </w:rPr>
        <w:t>CSHO</w:t>
      </w:r>
      <w:r w:rsidR="0097023F" w:rsidRPr="00063811">
        <w:t xml:space="preserve"> represents common shares outstanding, </w:t>
      </w:r>
      <w:r w:rsidR="0097023F" w:rsidRPr="00063811">
        <w:rPr>
          <w:i/>
          <w:iCs/>
        </w:rPr>
        <w:t>PRCC_F</w:t>
      </w:r>
      <w:r w:rsidR="0097023F" w:rsidRPr="00063811">
        <w:t xml:space="preserve"> denotes fiscal-year closing share price, </w:t>
      </w:r>
      <w:r w:rsidR="0097023F" w:rsidRPr="00063811">
        <w:rPr>
          <w:i/>
          <w:iCs/>
        </w:rPr>
        <w:t>CEQ</w:t>
      </w:r>
      <w:r w:rsidR="0097023F" w:rsidRPr="00063811">
        <w:t xml:space="preserve"> indicates common equity, and </w:t>
      </w:r>
      <w:r w:rsidR="0097023F" w:rsidRPr="00063811">
        <w:rPr>
          <w:i/>
          <w:iCs/>
        </w:rPr>
        <w:t>AT</w:t>
      </w:r>
      <w:r w:rsidR="0097023F" w:rsidRPr="00063811">
        <w:t xml:space="preserve"> is total assets.</w:t>
      </w:r>
    </w:p>
    <w:p w14:paraId="3205595F" w14:textId="26CEC15A" w:rsidR="008F1FAE" w:rsidRPr="008612B7" w:rsidRDefault="008F1FAE" w:rsidP="008F1FAE">
      <w:pPr>
        <w:pStyle w:val="Caption"/>
        <w:keepNext/>
        <w:spacing w:after="0"/>
        <w:rPr>
          <w:rFonts w:ascii="Times New Roman" w:hAnsi="Times New Roman" w:cs="Times New Roman"/>
          <w:b/>
          <w:bCs/>
          <w:i w:val="0"/>
          <w:iCs w:val="0"/>
          <w:color w:val="000000" w:themeColor="text1"/>
          <w:sz w:val="20"/>
          <w:szCs w:val="20"/>
        </w:rPr>
      </w:pPr>
      <w:r w:rsidRPr="008612B7">
        <w:rPr>
          <w:rFonts w:ascii="Times New Roman" w:hAnsi="Times New Roman" w:cs="Times New Roman"/>
          <w:b/>
          <w:bCs/>
          <w:i w:val="0"/>
          <w:iCs w:val="0"/>
          <w:color w:val="000000" w:themeColor="text1"/>
          <w:sz w:val="20"/>
          <w:szCs w:val="20"/>
        </w:rPr>
        <w:t xml:space="preserve">Table </w:t>
      </w:r>
      <w:r w:rsidRPr="008612B7">
        <w:rPr>
          <w:rFonts w:ascii="Times New Roman" w:hAnsi="Times New Roman" w:cs="Times New Roman"/>
          <w:b/>
          <w:bCs/>
          <w:i w:val="0"/>
          <w:iCs w:val="0"/>
          <w:color w:val="000000" w:themeColor="text1"/>
          <w:sz w:val="20"/>
          <w:szCs w:val="20"/>
        </w:rPr>
        <w:fldChar w:fldCharType="begin"/>
      </w:r>
      <w:r w:rsidRPr="008612B7">
        <w:rPr>
          <w:rFonts w:ascii="Times New Roman" w:hAnsi="Times New Roman" w:cs="Times New Roman"/>
          <w:b/>
          <w:bCs/>
          <w:i w:val="0"/>
          <w:iCs w:val="0"/>
          <w:color w:val="000000" w:themeColor="text1"/>
          <w:sz w:val="20"/>
          <w:szCs w:val="20"/>
        </w:rPr>
        <w:instrText xml:space="preserve"> SEQ Table \* ARABIC </w:instrText>
      </w:r>
      <w:r w:rsidRPr="008612B7">
        <w:rPr>
          <w:rFonts w:ascii="Times New Roman" w:hAnsi="Times New Roman" w:cs="Times New Roman"/>
          <w:b/>
          <w:bCs/>
          <w:i w:val="0"/>
          <w:iCs w:val="0"/>
          <w:color w:val="000000" w:themeColor="text1"/>
          <w:sz w:val="20"/>
          <w:szCs w:val="20"/>
        </w:rPr>
        <w:fldChar w:fldCharType="separate"/>
      </w:r>
      <w:r w:rsidR="00063811">
        <w:rPr>
          <w:rFonts w:ascii="Times New Roman" w:hAnsi="Times New Roman" w:cs="Times New Roman"/>
          <w:b/>
          <w:bCs/>
          <w:i w:val="0"/>
          <w:iCs w:val="0"/>
          <w:noProof/>
          <w:color w:val="000000" w:themeColor="text1"/>
          <w:sz w:val="20"/>
          <w:szCs w:val="20"/>
        </w:rPr>
        <w:t>3</w:t>
      </w:r>
      <w:r w:rsidRPr="008612B7">
        <w:rPr>
          <w:rFonts w:ascii="Times New Roman" w:hAnsi="Times New Roman" w:cs="Times New Roman"/>
          <w:b/>
          <w:bCs/>
          <w:i w:val="0"/>
          <w:iCs w:val="0"/>
          <w:color w:val="000000" w:themeColor="text1"/>
          <w:sz w:val="20"/>
          <w:szCs w:val="20"/>
        </w:rPr>
        <w:fldChar w:fldCharType="end"/>
      </w:r>
      <w:r w:rsidRPr="008612B7">
        <w:rPr>
          <w:rFonts w:ascii="Times New Roman" w:hAnsi="Times New Roman" w:cs="Times New Roman"/>
          <w:b/>
          <w:bCs/>
          <w:i w:val="0"/>
          <w:iCs w:val="0"/>
          <w:color w:val="000000" w:themeColor="text1"/>
          <w:sz w:val="20"/>
          <w:szCs w:val="20"/>
        </w:rPr>
        <w:t xml:space="preserve">. </w:t>
      </w:r>
      <w:bookmarkStart w:id="22" w:name="_Toc193976796"/>
      <w:r w:rsidRPr="008612B7">
        <w:rPr>
          <w:rFonts w:ascii="Times New Roman" w:hAnsi="Times New Roman" w:cs="Times New Roman"/>
          <w:b/>
          <w:bCs/>
          <w:i w:val="0"/>
          <w:iCs w:val="0"/>
          <w:color w:val="000000" w:themeColor="text1"/>
          <w:sz w:val="20"/>
          <w:szCs w:val="20"/>
        </w:rPr>
        <w:t>Control Variable Calculations.</w:t>
      </w:r>
      <w:bookmarkEnd w:id="22"/>
    </w:p>
    <w:tbl>
      <w:tblPr>
        <w:tblStyle w:val="PlainTable4"/>
        <w:tblpPr w:leftFromText="180" w:rightFromText="180" w:vertAnchor="text" w:horzAnchor="margin" w:tblpY="160"/>
        <w:tblW w:w="9504" w:type="dxa"/>
        <w:tblBorders>
          <w:top w:val="single" w:sz="4" w:space="0" w:color="auto"/>
          <w:bottom w:val="single" w:sz="4" w:space="0" w:color="auto"/>
        </w:tblBorders>
        <w:tblLayout w:type="fixed"/>
        <w:tblLook w:val="0480" w:firstRow="0" w:lastRow="0" w:firstColumn="1" w:lastColumn="0" w:noHBand="0" w:noVBand="1"/>
      </w:tblPr>
      <w:tblGrid>
        <w:gridCol w:w="3168"/>
        <w:gridCol w:w="4302"/>
        <w:gridCol w:w="2034"/>
      </w:tblGrid>
      <w:tr w:rsidR="00D92229" w:rsidRPr="00063811" w14:paraId="0222F8B7" w14:textId="77777777" w:rsidTr="008329A6">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168" w:type="dxa"/>
            <w:vAlign w:val="center"/>
            <w:hideMark/>
          </w:tcPr>
          <w:p w14:paraId="29CFE3D4" w14:textId="77777777" w:rsidR="00D92229" w:rsidRPr="008612B7" w:rsidRDefault="00D92229" w:rsidP="00F256FD">
            <w:pPr>
              <w:jc w:val="center"/>
              <w:rPr>
                <w:sz w:val="20"/>
                <w:szCs w:val="20"/>
              </w:rPr>
            </w:pPr>
            <w:r w:rsidRPr="008612B7">
              <w:rPr>
                <w:sz w:val="20"/>
                <w:szCs w:val="20"/>
              </w:rPr>
              <w:t>Variable</w:t>
            </w:r>
          </w:p>
        </w:tc>
        <w:tc>
          <w:tcPr>
            <w:tcW w:w="4302" w:type="dxa"/>
            <w:vAlign w:val="center"/>
            <w:hideMark/>
          </w:tcPr>
          <w:p w14:paraId="2764011A" w14:textId="77777777" w:rsidR="00D92229" w:rsidRPr="008612B7" w:rsidRDefault="00D92229" w:rsidP="00F256FD">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8612B7">
              <w:rPr>
                <w:b/>
                <w:bCs/>
                <w:sz w:val="20"/>
                <w:szCs w:val="20"/>
              </w:rPr>
              <w:t>Formula</w:t>
            </w:r>
          </w:p>
        </w:tc>
        <w:tc>
          <w:tcPr>
            <w:tcW w:w="2034" w:type="dxa"/>
            <w:vAlign w:val="center"/>
          </w:tcPr>
          <w:p w14:paraId="6AC0D11B" w14:textId="77777777" w:rsidR="00D92229" w:rsidRPr="008612B7" w:rsidRDefault="00D92229" w:rsidP="00F256FD">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8612B7">
              <w:rPr>
                <w:b/>
                <w:bCs/>
                <w:sz w:val="20"/>
                <w:szCs w:val="20"/>
              </w:rPr>
              <w:t>Source</w:t>
            </w:r>
          </w:p>
        </w:tc>
      </w:tr>
      <w:tr w:rsidR="00D92229" w:rsidRPr="00063811" w14:paraId="267F8176" w14:textId="77777777" w:rsidTr="008329A6">
        <w:trPr>
          <w:trHeight w:val="576"/>
        </w:trPr>
        <w:tc>
          <w:tcPr>
            <w:cnfStyle w:val="001000000000" w:firstRow="0" w:lastRow="0" w:firstColumn="1" w:lastColumn="0" w:oddVBand="0" w:evenVBand="0" w:oddHBand="0" w:evenHBand="0" w:firstRowFirstColumn="0" w:firstRowLastColumn="0" w:lastRowFirstColumn="0" w:lastRowLastColumn="0"/>
            <w:tcW w:w="3168" w:type="dxa"/>
            <w:vAlign w:val="center"/>
            <w:hideMark/>
          </w:tcPr>
          <w:p w14:paraId="12AC3A48" w14:textId="77777777" w:rsidR="00D92229" w:rsidRPr="008612B7" w:rsidRDefault="00D92229" w:rsidP="00F256FD">
            <w:pPr>
              <w:jc w:val="center"/>
              <w:rPr>
                <w:b w:val="0"/>
                <w:bCs w:val="0"/>
                <w:sz w:val="20"/>
                <w:szCs w:val="20"/>
              </w:rPr>
            </w:pPr>
            <w:r w:rsidRPr="008612B7">
              <w:rPr>
                <w:b w:val="0"/>
                <w:bCs w:val="0"/>
                <w:sz w:val="20"/>
                <w:szCs w:val="20"/>
              </w:rPr>
              <w:t>Leverage</w:t>
            </w:r>
          </w:p>
        </w:tc>
        <w:tc>
          <w:tcPr>
            <w:tcW w:w="4302" w:type="dxa"/>
            <w:vAlign w:val="center"/>
            <w:hideMark/>
          </w:tcPr>
          <w:p w14:paraId="74449FAB" w14:textId="0F2C5ED6" w:rsidR="00D92229" w:rsidRPr="008612B7" w:rsidRDefault="00000000" w:rsidP="00F256FD">
            <w:pPr>
              <w:jc w:val="center"/>
              <w:cnfStyle w:val="000000000000" w:firstRow="0" w:lastRow="0" w:firstColumn="0" w:lastColumn="0" w:oddVBand="0" w:evenVBand="0" w:oddHBand="0" w:evenHBand="0" w:firstRowFirstColumn="0" w:firstRowLastColumn="0" w:lastRowFirstColumn="0" w:lastRowLastColumn="0"/>
              <w:rPr>
                <w:sz w:val="20"/>
                <w:szCs w:val="20"/>
              </w:rPr>
            </w:pPr>
            <m:oMathPara>
              <m:oMathParaPr>
                <m:jc m:val="center"/>
              </m:oMathParaPr>
              <m:oMath>
                <m:f>
                  <m:fPr>
                    <m:ctrlPr>
                      <w:rPr>
                        <w:rFonts w:ascii="Cambria Math" w:hAnsi="Cambria Math"/>
                        <w:sz w:val="20"/>
                        <w:szCs w:val="20"/>
                      </w:rPr>
                    </m:ctrlPr>
                  </m:fPr>
                  <m:num>
                    <m:r>
                      <w:rPr>
                        <w:rFonts w:ascii="Cambria Math" w:hAnsi="Cambria Math"/>
                        <w:sz w:val="20"/>
                        <w:szCs w:val="20"/>
                      </w:rPr>
                      <m:t>DLTT+DLC</m:t>
                    </m:r>
                  </m:num>
                  <m:den>
                    <m:r>
                      <w:rPr>
                        <w:rFonts w:ascii="Cambria Math" w:hAnsi="Cambria Math"/>
                        <w:sz w:val="20"/>
                        <w:szCs w:val="20"/>
                      </w:rPr>
                      <m:t>SEQ</m:t>
                    </m:r>
                  </m:den>
                </m:f>
              </m:oMath>
            </m:oMathPara>
          </w:p>
        </w:tc>
        <w:tc>
          <w:tcPr>
            <w:tcW w:w="2034" w:type="dxa"/>
            <w:vAlign w:val="center"/>
          </w:tcPr>
          <w:p w14:paraId="43E0EA0B" w14:textId="20F314D7" w:rsidR="00D92229" w:rsidRPr="008612B7" w:rsidRDefault="00D92229" w:rsidP="00F256FD">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Compustat</w:t>
            </w:r>
          </w:p>
        </w:tc>
      </w:tr>
      <w:tr w:rsidR="00D92229" w:rsidRPr="00063811" w14:paraId="50350197" w14:textId="77777777" w:rsidTr="008329A6">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168" w:type="dxa"/>
            <w:vAlign w:val="center"/>
            <w:hideMark/>
          </w:tcPr>
          <w:p w14:paraId="04966111" w14:textId="77777777" w:rsidR="00D92229" w:rsidRPr="008612B7" w:rsidRDefault="00D92229" w:rsidP="00F256FD">
            <w:pPr>
              <w:jc w:val="center"/>
              <w:rPr>
                <w:b w:val="0"/>
                <w:bCs w:val="0"/>
                <w:sz w:val="20"/>
                <w:szCs w:val="20"/>
              </w:rPr>
            </w:pPr>
            <w:r w:rsidRPr="008612B7">
              <w:rPr>
                <w:b w:val="0"/>
                <w:bCs w:val="0"/>
                <w:sz w:val="20"/>
                <w:szCs w:val="20"/>
              </w:rPr>
              <w:t>Company Size</w:t>
            </w:r>
          </w:p>
        </w:tc>
        <w:tc>
          <w:tcPr>
            <w:tcW w:w="4302" w:type="dxa"/>
            <w:vAlign w:val="center"/>
            <w:hideMark/>
          </w:tcPr>
          <w:p w14:paraId="18166A72" w14:textId="6C9BD61D" w:rsidR="00D92229" w:rsidRPr="008612B7" w:rsidRDefault="00833A39" w:rsidP="00F256FD">
            <w:pPr>
              <w:jc w:val="center"/>
              <w:cnfStyle w:val="000000100000" w:firstRow="0" w:lastRow="0" w:firstColumn="0" w:lastColumn="0" w:oddVBand="0" w:evenVBand="0" w:oddHBand="1" w:evenHBand="0" w:firstRowFirstColumn="0" w:firstRowLastColumn="0" w:lastRowFirstColumn="0" w:lastRowLastColumn="0"/>
              <w:rPr>
                <w:sz w:val="20"/>
                <w:szCs w:val="20"/>
              </w:rPr>
            </w:pPr>
            <m:oMathPara>
              <m:oMathParaPr>
                <m:jc m:val="center"/>
              </m:oMathParaPr>
              <m:oMath>
                <m:r>
                  <w:rPr>
                    <w:rFonts w:ascii="Cambria Math" w:hAnsi="Cambria Math"/>
                    <w:sz w:val="20"/>
                    <w:szCs w:val="20"/>
                  </w:rPr>
                  <m:t>log</m:t>
                </m:r>
                <m:d>
                  <m:dPr>
                    <m:ctrlPr>
                      <w:rPr>
                        <w:rFonts w:ascii="Cambria Math" w:hAnsi="Cambria Math"/>
                        <w:sz w:val="20"/>
                        <w:szCs w:val="20"/>
                      </w:rPr>
                    </m:ctrlPr>
                  </m:dPr>
                  <m:e>
                    <m:r>
                      <w:rPr>
                        <w:rFonts w:ascii="Cambria Math" w:hAnsi="Cambria Math"/>
                        <w:sz w:val="20"/>
                        <w:szCs w:val="20"/>
                      </w:rPr>
                      <m:t>AT</m:t>
                    </m:r>
                    <m:ctrlPr>
                      <w:rPr>
                        <w:rFonts w:ascii="Cambria Math" w:hAnsi="Cambria Math"/>
                        <w:i/>
                        <w:sz w:val="20"/>
                        <w:szCs w:val="20"/>
                      </w:rPr>
                    </m:ctrlPr>
                  </m:e>
                </m:d>
              </m:oMath>
            </m:oMathPara>
          </w:p>
        </w:tc>
        <w:tc>
          <w:tcPr>
            <w:tcW w:w="2034" w:type="dxa"/>
            <w:vAlign w:val="center"/>
          </w:tcPr>
          <w:p w14:paraId="70463390" w14:textId="10C1D458" w:rsidR="00D92229" w:rsidRPr="008612B7" w:rsidRDefault="00D92229" w:rsidP="00F256FD">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Compustat</w:t>
            </w:r>
          </w:p>
        </w:tc>
      </w:tr>
      <w:tr w:rsidR="00D92229" w:rsidRPr="00063811" w14:paraId="02DDC7F4" w14:textId="77777777" w:rsidTr="008329A6">
        <w:trPr>
          <w:trHeight w:val="576"/>
        </w:trPr>
        <w:tc>
          <w:tcPr>
            <w:cnfStyle w:val="001000000000" w:firstRow="0" w:lastRow="0" w:firstColumn="1" w:lastColumn="0" w:oddVBand="0" w:evenVBand="0" w:oddHBand="0" w:evenHBand="0" w:firstRowFirstColumn="0" w:firstRowLastColumn="0" w:lastRowFirstColumn="0" w:lastRowLastColumn="0"/>
            <w:tcW w:w="3168" w:type="dxa"/>
            <w:vAlign w:val="center"/>
            <w:hideMark/>
          </w:tcPr>
          <w:p w14:paraId="1C8AD573" w14:textId="77777777" w:rsidR="00D92229" w:rsidRPr="008612B7" w:rsidRDefault="00D92229" w:rsidP="00F256FD">
            <w:pPr>
              <w:jc w:val="center"/>
              <w:rPr>
                <w:b w:val="0"/>
                <w:bCs w:val="0"/>
                <w:sz w:val="20"/>
                <w:szCs w:val="20"/>
              </w:rPr>
            </w:pPr>
            <w:r w:rsidRPr="008612B7">
              <w:rPr>
                <w:b w:val="0"/>
                <w:bCs w:val="0"/>
                <w:sz w:val="20"/>
                <w:szCs w:val="20"/>
              </w:rPr>
              <w:t>Return on Assets</w:t>
            </w:r>
          </w:p>
        </w:tc>
        <w:tc>
          <w:tcPr>
            <w:tcW w:w="4302" w:type="dxa"/>
            <w:vAlign w:val="center"/>
            <w:hideMark/>
          </w:tcPr>
          <w:p w14:paraId="152B5D38" w14:textId="2978783A" w:rsidR="00D92229" w:rsidRPr="008612B7" w:rsidRDefault="00000000" w:rsidP="00F256FD">
            <w:pPr>
              <w:jc w:val="center"/>
              <w:cnfStyle w:val="000000000000" w:firstRow="0" w:lastRow="0" w:firstColumn="0" w:lastColumn="0" w:oddVBand="0" w:evenVBand="0" w:oddHBand="0" w:evenHBand="0" w:firstRowFirstColumn="0" w:firstRowLastColumn="0" w:lastRowFirstColumn="0" w:lastRowLastColumn="0"/>
              <w:rPr>
                <w:sz w:val="20"/>
                <w:szCs w:val="20"/>
              </w:rPr>
            </w:pPr>
            <m:oMathPara>
              <m:oMathParaPr>
                <m:jc m:val="center"/>
              </m:oMathParaPr>
              <m:oMath>
                <m:f>
                  <m:fPr>
                    <m:ctrlPr>
                      <w:rPr>
                        <w:rFonts w:ascii="Cambria Math" w:hAnsi="Cambria Math"/>
                        <w:sz w:val="20"/>
                        <w:szCs w:val="20"/>
                      </w:rPr>
                    </m:ctrlPr>
                  </m:fPr>
                  <m:num>
                    <m:r>
                      <w:rPr>
                        <w:rFonts w:ascii="Cambria Math" w:hAnsi="Cambria Math"/>
                        <w:sz w:val="20"/>
                        <w:szCs w:val="20"/>
                      </w:rPr>
                      <m:t>NI</m:t>
                    </m:r>
                  </m:num>
                  <m:den>
                    <m:r>
                      <w:rPr>
                        <w:rFonts w:ascii="Cambria Math" w:hAnsi="Cambria Math"/>
                        <w:sz w:val="20"/>
                        <w:szCs w:val="20"/>
                      </w:rPr>
                      <m:t>AT</m:t>
                    </m:r>
                  </m:den>
                </m:f>
              </m:oMath>
            </m:oMathPara>
          </w:p>
        </w:tc>
        <w:tc>
          <w:tcPr>
            <w:tcW w:w="2034" w:type="dxa"/>
            <w:vAlign w:val="center"/>
          </w:tcPr>
          <w:p w14:paraId="1A2B1BFF" w14:textId="534CA719" w:rsidR="00D92229" w:rsidRPr="008612B7" w:rsidRDefault="00D92229" w:rsidP="00F256FD">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Compustat</w:t>
            </w:r>
          </w:p>
        </w:tc>
      </w:tr>
      <w:tr w:rsidR="00D92229" w:rsidRPr="00063811" w14:paraId="44D05CC3" w14:textId="77777777" w:rsidTr="008329A6">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168" w:type="dxa"/>
            <w:vAlign w:val="center"/>
            <w:hideMark/>
          </w:tcPr>
          <w:p w14:paraId="114C859B" w14:textId="77777777" w:rsidR="00D92229" w:rsidRPr="008612B7" w:rsidRDefault="00D92229" w:rsidP="00F256FD">
            <w:pPr>
              <w:jc w:val="center"/>
              <w:rPr>
                <w:b w:val="0"/>
                <w:bCs w:val="0"/>
                <w:sz w:val="20"/>
                <w:szCs w:val="20"/>
              </w:rPr>
            </w:pPr>
            <w:r w:rsidRPr="008612B7">
              <w:rPr>
                <w:b w:val="0"/>
                <w:bCs w:val="0"/>
                <w:sz w:val="20"/>
                <w:szCs w:val="20"/>
              </w:rPr>
              <w:t>Tobin's Q</w:t>
            </w:r>
          </w:p>
        </w:tc>
        <w:tc>
          <w:tcPr>
            <w:tcW w:w="4302" w:type="dxa"/>
            <w:vAlign w:val="center"/>
            <w:hideMark/>
          </w:tcPr>
          <w:p w14:paraId="3FAE33FF" w14:textId="4FDA41A5" w:rsidR="00D92229" w:rsidRPr="008612B7" w:rsidRDefault="00000000" w:rsidP="00F256FD">
            <w:pPr>
              <w:jc w:val="center"/>
              <w:cnfStyle w:val="000000100000" w:firstRow="0" w:lastRow="0" w:firstColumn="0" w:lastColumn="0" w:oddVBand="0" w:evenVBand="0" w:oddHBand="1" w:evenHBand="0" w:firstRowFirstColumn="0" w:firstRowLastColumn="0" w:lastRowFirstColumn="0" w:lastRowLastColumn="0"/>
              <w:rPr>
                <w:sz w:val="20"/>
                <w:szCs w:val="20"/>
              </w:rPr>
            </w:pPr>
            <m:oMathPara>
              <m:oMathParaPr>
                <m:jc m:val="center"/>
              </m:oMathParaPr>
              <m:oMath>
                <m:f>
                  <m:fPr>
                    <m:ctrlPr>
                      <w:rPr>
                        <w:rFonts w:ascii="Cambria Math" w:hAnsi="Cambria Math"/>
                        <w:sz w:val="20"/>
                        <w:szCs w:val="20"/>
                      </w:rPr>
                    </m:ctrlPr>
                  </m:fPr>
                  <m:num>
                    <m:r>
                      <w:rPr>
                        <w:rFonts w:ascii="Cambria Math" w:hAnsi="Cambria Math"/>
                        <w:sz w:val="20"/>
                        <w:szCs w:val="20"/>
                      </w:rPr>
                      <m:t>AT+</m:t>
                    </m:r>
                    <m:d>
                      <m:dPr>
                        <m:ctrlPr>
                          <w:rPr>
                            <w:rFonts w:ascii="Cambria Math" w:hAnsi="Cambria Math"/>
                            <w:sz w:val="20"/>
                            <w:szCs w:val="20"/>
                          </w:rPr>
                        </m:ctrlPr>
                      </m:dPr>
                      <m:e>
                        <m:r>
                          <w:rPr>
                            <w:rFonts w:ascii="Cambria Math" w:hAnsi="Cambria Math"/>
                            <w:sz w:val="20"/>
                            <w:szCs w:val="20"/>
                          </w:rPr>
                          <m:t>CSHO</m:t>
                        </m:r>
                        <m:r>
                          <m:rPr>
                            <m:sty m:val="p"/>
                          </m:rPr>
                          <w:rPr>
                            <w:rFonts w:ascii="Cambria Math" w:hAnsi="Cambria Math"/>
                            <w:sz w:val="20"/>
                            <w:szCs w:val="20"/>
                          </w:rPr>
                          <m:t>×</m:t>
                        </m:r>
                        <m:r>
                          <w:rPr>
                            <w:rFonts w:ascii="Cambria Math" w:hAnsi="Cambria Math"/>
                            <w:sz w:val="20"/>
                            <w:szCs w:val="20"/>
                          </w:rPr>
                          <m:t>PRC</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F</m:t>
                            </m:r>
                          </m:sub>
                        </m:sSub>
                        <m:ctrlPr>
                          <w:rPr>
                            <w:rFonts w:ascii="Cambria Math" w:hAnsi="Cambria Math"/>
                            <w:i/>
                            <w:sz w:val="20"/>
                            <w:szCs w:val="20"/>
                          </w:rPr>
                        </m:ctrlPr>
                      </m:e>
                    </m:d>
                    <m:r>
                      <w:rPr>
                        <w:rFonts w:ascii="Cambria Math" w:hAnsi="Cambria Math"/>
                        <w:sz w:val="20"/>
                        <w:szCs w:val="20"/>
                      </w:rPr>
                      <m:t>-CEQ</m:t>
                    </m:r>
                  </m:num>
                  <m:den>
                    <m:r>
                      <w:rPr>
                        <w:rFonts w:ascii="Cambria Math" w:hAnsi="Cambria Math"/>
                        <w:sz w:val="20"/>
                        <w:szCs w:val="20"/>
                      </w:rPr>
                      <m:t>AT</m:t>
                    </m:r>
                  </m:den>
                </m:f>
              </m:oMath>
            </m:oMathPara>
          </w:p>
        </w:tc>
        <w:tc>
          <w:tcPr>
            <w:tcW w:w="2034" w:type="dxa"/>
            <w:vAlign w:val="center"/>
          </w:tcPr>
          <w:p w14:paraId="3ACC25BB" w14:textId="7EB03566" w:rsidR="00D92229" w:rsidRPr="008612B7" w:rsidRDefault="00D92229" w:rsidP="00F256FD">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Compustat</w:t>
            </w:r>
          </w:p>
        </w:tc>
      </w:tr>
      <w:tr w:rsidR="00D92229" w:rsidRPr="00063811" w14:paraId="4B256AEF" w14:textId="77777777" w:rsidTr="008329A6">
        <w:trPr>
          <w:trHeight w:val="576"/>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43A579D6" w14:textId="623705B3" w:rsidR="00D92229" w:rsidRPr="008612B7" w:rsidRDefault="00D92229" w:rsidP="00F256FD">
            <w:pPr>
              <w:jc w:val="center"/>
              <w:rPr>
                <w:b w:val="0"/>
                <w:bCs w:val="0"/>
                <w:sz w:val="20"/>
                <w:szCs w:val="20"/>
              </w:rPr>
            </w:pPr>
            <w:r w:rsidRPr="008612B7">
              <w:rPr>
                <w:b w:val="0"/>
                <w:bCs w:val="0"/>
                <w:sz w:val="20"/>
                <w:szCs w:val="20"/>
              </w:rPr>
              <w:t>Firm Age</w:t>
            </w:r>
          </w:p>
        </w:tc>
        <w:tc>
          <w:tcPr>
            <w:tcW w:w="4302" w:type="dxa"/>
            <w:vAlign w:val="center"/>
          </w:tcPr>
          <w:p w14:paraId="3E3FD664" w14:textId="768DCCD5" w:rsidR="00D92229" w:rsidRPr="008612B7" w:rsidRDefault="00833A39" w:rsidP="00F256FD">
            <w:pPr>
              <w:jc w:val="center"/>
              <w:cnfStyle w:val="000000000000" w:firstRow="0" w:lastRow="0" w:firstColumn="0" w:lastColumn="0" w:oddVBand="0" w:evenVBand="0" w:oddHBand="0" w:evenHBand="0" w:firstRowFirstColumn="0" w:firstRowLastColumn="0" w:lastRowFirstColumn="0" w:lastRowLastColumn="0"/>
              <w:rPr>
                <w:i/>
                <w:sz w:val="20"/>
                <w:szCs w:val="20"/>
              </w:rPr>
            </w:pPr>
            <m:oMathPara>
              <m:oMath>
                <m:r>
                  <w:rPr>
                    <w:rFonts w:ascii="Cambria Math" w:hAnsi="Cambria Math"/>
                    <w:sz w:val="20"/>
                    <w:szCs w:val="20"/>
                  </w:rPr>
                  <m:t>Observation</m:t>
                </m:r>
                <m:r>
                  <m:rPr>
                    <m:sty m:val="p"/>
                  </m:rPr>
                  <w:rPr>
                    <w:rFonts w:ascii="Cambria Math" w:hAnsi="Cambria Math"/>
                    <w:sz w:val="20"/>
                    <w:szCs w:val="20"/>
                  </w:rPr>
                  <m:t> </m:t>
                </m:r>
                <m:r>
                  <w:rPr>
                    <w:rFonts w:ascii="Cambria Math" w:hAnsi="Cambria Math"/>
                    <w:sz w:val="20"/>
                    <w:szCs w:val="20"/>
                  </w:rPr>
                  <m:t>Year</m:t>
                </m:r>
                <m:r>
                  <m:rPr>
                    <m:sty m:val="p"/>
                  </m:rPr>
                  <w:rPr>
                    <w:rFonts w:ascii="Cambria Math" w:hAnsi="Cambria Math"/>
                    <w:sz w:val="20"/>
                    <w:szCs w:val="20"/>
                  </w:rPr>
                  <m:t xml:space="preserve"> - </m:t>
                </m:r>
                <m:r>
                  <w:rPr>
                    <w:rFonts w:ascii="Cambria Math" w:hAnsi="Cambria Math"/>
                    <w:sz w:val="20"/>
                    <w:szCs w:val="20"/>
                  </w:rPr>
                  <m:t>Year</m:t>
                </m:r>
                <m:r>
                  <m:rPr>
                    <m:sty m:val="p"/>
                  </m:rPr>
                  <w:rPr>
                    <w:rFonts w:ascii="Cambria Math" w:hAnsi="Cambria Math"/>
                    <w:sz w:val="20"/>
                    <w:szCs w:val="20"/>
                  </w:rPr>
                  <m:t xml:space="preserve"> </m:t>
                </m:r>
                <m:r>
                  <w:rPr>
                    <w:rFonts w:ascii="Cambria Math" w:hAnsi="Cambria Math"/>
                    <w:sz w:val="20"/>
                    <w:szCs w:val="20"/>
                  </w:rPr>
                  <m:t>Founded</m:t>
                </m:r>
              </m:oMath>
            </m:oMathPara>
          </w:p>
        </w:tc>
        <w:tc>
          <w:tcPr>
            <w:tcW w:w="2034" w:type="dxa"/>
            <w:vAlign w:val="center"/>
          </w:tcPr>
          <w:p w14:paraId="418CA1BB" w14:textId="264D8E1A" w:rsidR="00D92229" w:rsidRPr="008612B7" w:rsidRDefault="00D92229" w:rsidP="00F256FD">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S&amp;P Global</w:t>
            </w:r>
          </w:p>
        </w:tc>
      </w:tr>
    </w:tbl>
    <w:p w14:paraId="1B880A9A" w14:textId="39C06045" w:rsidR="004579CF" w:rsidRPr="008612B7" w:rsidRDefault="00D92229" w:rsidP="00F256FD">
      <w:pPr>
        <w:spacing w:after="240"/>
        <w:rPr>
          <w:sz w:val="20"/>
          <w:szCs w:val="20"/>
        </w:rPr>
      </w:pPr>
      <w:r w:rsidRPr="008612B7">
        <w:rPr>
          <w:i/>
          <w:iCs/>
          <w:sz w:val="20"/>
          <w:szCs w:val="20"/>
        </w:rPr>
        <w:t>Note:</w:t>
      </w:r>
      <w:r w:rsidRPr="008612B7">
        <w:rPr>
          <w:sz w:val="20"/>
          <w:szCs w:val="20"/>
        </w:rPr>
        <w:t xml:space="preserve"> </w:t>
      </w:r>
      <w:r w:rsidR="0097023F" w:rsidRPr="008612B7">
        <w:rPr>
          <w:sz w:val="20"/>
          <w:szCs w:val="20"/>
        </w:rPr>
        <w:t xml:space="preserve">Control variables are calculated using Compustat data except for Firm Age (S&amp;P Global). All financial variables were </w:t>
      </w:r>
      <w:proofErr w:type="spellStart"/>
      <w:r w:rsidR="0097023F" w:rsidRPr="008612B7">
        <w:rPr>
          <w:sz w:val="20"/>
          <w:szCs w:val="20"/>
        </w:rPr>
        <w:t>winsorized</w:t>
      </w:r>
      <w:proofErr w:type="spellEnd"/>
      <w:r w:rsidR="0097023F" w:rsidRPr="008612B7">
        <w:rPr>
          <w:sz w:val="20"/>
          <w:szCs w:val="20"/>
        </w:rPr>
        <w:t xml:space="preserve"> at 1% and 99% levels to mitigate outliers. Firms with negative leverage and ROA values were excluded as these typically represent distressed companies with negative equity, potentially distorting financial relationship interpretations.</w:t>
      </w:r>
    </w:p>
    <w:p w14:paraId="78DDDFFF" w14:textId="77777777" w:rsidR="00F256FD" w:rsidRPr="00063811" w:rsidRDefault="00F256FD">
      <w:pPr>
        <w:spacing w:after="160" w:line="278" w:lineRule="auto"/>
        <w:rPr>
          <w:b/>
          <w:bCs/>
        </w:rPr>
      </w:pPr>
      <w:r w:rsidRPr="00063811">
        <w:br w:type="page"/>
      </w:r>
    </w:p>
    <w:p w14:paraId="176BB115" w14:textId="762EB4E0" w:rsidR="00484CA6" w:rsidRPr="00063811" w:rsidRDefault="00484CA6" w:rsidP="006760A7">
      <w:pPr>
        <w:pStyle w:val="Heading2"/>
      </w:pPr>
      <w:bookmarkStart w:id="23" w:name="_Toc193977945"/>
      <w:r w:rsidRPr="00063811">
        <w:lastRenderedPageBreak/>
        <w:t>Legislative Data</w:t>
      </w:r>
      <w:bookmarkEnd w:id="23"/>
    </w:p>
    <w:p w14:paraId="6261F29D" w14:textId="50771BBD" w:rsidR="00F256FD" w:rsidRPr="00063811" w:rsidRDefault="00C718F6" w:rsidP="00F256FD">
      <w:pPr>
        <w:spacing w:line="480" w:lineRule="auto"/>
        <w:ind w:firstLine="720"/>
      </w:pPr>
      <w:r w:rsidRPr="00063811">
        <w:t xml:space="preserve">State-level ESG legislation data for this study were compiled from two comprehensive sources: </w:t>
      </w:r>
      <w:proofErr w:type="spellStart"/>
      <w:r w:rsidRPr="00063811">
        <w:t>LegiScan</w:t>
      </w:r>
      <w:proofErr w:type="spellEnd"/>
      <w:r w:rsidRPr="00063811">
        <w:t xml:space="preserve"> and Ballotpedia. Ballotpedia's ESG Tracker</w:t>
      </w:r>
      <w:r w:rsidR="009C2E7C" w:rsidRPr="00063811">
        <w:t xml:space="preserve"> </w:t>
      </w:r>
      <w:r w:rsidR="009C2E7C" w:rsidRPr="00063811">
        <w:fldChar w:fldCharType="begin"/>
      </w:r>
      <w:r w:rsidR="00F256FD" w:rsidRPr="00063811">
        <w:instrText xml:space="preserve"> ADDIN ZOTERO_ITEM CSL_CITATION {"citationID":"dAiff5Ro","properties":{"formattedCitation":"(2024)","plainCitation":"(2024)","noteIndex":0},"citationItems":[{"id":991,"uris":["http://zotero.org/users/13148740/items/YCWFGXC8"],"itemData":{"id":991,"type":"article-newspaper","container-title":"Ballotpedia","title":"Enacted state ESG legislation by trifecta status, 2020-2024","URL":"https://ballotpedia.org/Enacted_state_ESG_legislation_by_trifecta_status,_2020-2024","issued":{"date-parts":[["2024"]]}},"suppress-author":true}],"schema":"https://github.com/citation-style-language/schema/raw/master/csl-citation.json"} </w:instrText>
      </w:r>
      <w:r w:rsidR="009C2E7C" w:rsidRPr="00063811">
        <w:fldChar w:fldCharType="separate"/>
      </w:r>
      <w:r w:rsidR="009C2E7C" w:rsidRPr="00063811">
        <w:t>(2024)</w:t>
      </w:r>
      <w:r w:rsidR="009C2E7C" w:rsidRPr="00063811">
        <w:fldChar w:fldCharType="end"/>
      </w:r>
      <w:r w:rsidRPr="00063811">
        <w:t xml:space="preserve"> webpage provides a collection of links to all ESG bills enacted between 2020 and 2024, while </w:t>
      </w:r>
      <w:proofErr w:type="spellStart"/>
      <w:r w:rsidRPr="00063811">
        <w:t>LegiScan</w:t>
      </w:r>
      <w:proofErr w:type="spellEnd"/>
      <w:r w:rsidRPr="00063811">
        <w:t xml:space="preserve"> offers access to the complete corpus of U.S. legislation in the form of PDFs and text files. The methodology section will provide detailed information on the techniques employed to integrate these two data sources. Through this integration process, a total of 85 ESG legislative bills were identified for analysis.</w:t>
      </w:r>
      <w:r w:rsidR="00F708B5" w:rsidRPr="00063811">
        <w:t xml:space="preserve"> </w:t>
      </w:r>
      <w:r w:rsidRPr="00063811">
        <w:t xml:space="preserve">The temporal distribution of these bills reveals interesting patterns in ESG legislative activity (see figure 1). </w:t>
      </w:r>
    </w:p>
    <w:p w14:paraId="62E87358" w14:textId="34F14286" w:rsidR="00A7695F" w:rsidRPr="008612B7" w:rsidRDefault="00A7695F" w:rsidP="00A7695F">
      <w:pPr>
        <w:rPr>
          <w:color w:val="000000" w:themeColor="text1"/>
          <w:sz w:val="20"/>
          <w:szCs w:val="20"/>
        </w:rPr>
      </w:pPr>
    </w:p>
    <w:p w14:paraId="13BD58AC" w14:textId="16F39491" w:rsidR="008F1FAE" w:rsidRPr="008612B7" w:rsidRDefault="008F1FAE" w:rsidP="008F1FAE">
      <w:pPr>
        <w:pStyle w:val="Caption"/>
        <w:keepNext/>
        <w:spacing w:after="0"/>
        <w:rPr>
          <w:rFonts w:ascii="Times New Roman" w:hAnsi="Times New Roman" w:cs="Times New Roman"/>
          <w:b/>
          <w:bCs/>
          <w:i w:val="0"/>
          <w:iCs w:val="0"/>
          <w:color w:val="000000" w:themeColor="text1"/>
          <w:sz w:val="20"/>
          <w:szCs w:val="20"/>
        </w:rPr>
      </w:pPr>
      <w:r w:rsidRPr="008612B7">
        <w:rPr>
          <w:rFonts w:ascii="Times New Roman" w:hAnsi="Times New Roman" w:cs="Times New Roman"/>
          <w:b/>
          <w:bCs/>
          <w:i w:val="0"/>
          <w:iCs w:val="0"/>
          <w:color w:val="000000" w:themeColor="text1"/>
          <w:sz w:val="20"/>
          <w:szCs w:val="20"/>
        </w:rPr>
        <w:t xml:space="preserve">Figure </w:t>
      </w:r>
      <w:r w:rsidRPr="008612B7">
        <w:rPr>
          <w:rFonts w:ascii="Times New Roman" w:hAnsi="Times New Roman" w:cs="Times New Roman"/>
          <w:b/>
          <w:bCs/>
          <w:i w:val="0"/>
          <w:iCs w:val="0"/>
          <w:color w:val="000000" w:themeColor="text1"/>
          <w:sz w:val="20"/>
          <w:szCs w:val="20"/>
        </w:rPr>
        <w:fldChar w:fldCharType="begin"/>
      </w:r>
      <w:r w:rsidRPr="008612B7">
        <w:rPr>
          <w:rFonts w:ascii="Times New Roman" w:hAnsi="Times New Roman" w:cs="Times New Roman"/>
          <w:b/>
          <w:bCs/>
          <w:i w:val="0"/>
          <w:iCs w:val="0"/>
          <w:color w:val="000000" w:themeColor="text1"/>
          <w:sz w:val="20"/>
          <w:szCs w:val="20"/>
        </w:rPr>
        <w:instrText xml:space="preserve"> SEQ Figure \* ARABIC </w:instrText>
      </w:r>
      <w:r w:rsidRPr="008612B7">
        <w:rPr>
          <w:rFonts w:ascii="Times New Roman" w:hAnsi="Times New Roman" w:cs="Times New Roman"/>
          <w:b/>
          <w:bCs/>
          <w:i w:val="0"/>
          <w:iCs w:val="0"/>
          <w:color w:val="000000" w:themeColor="text1"/>
          <w:sz w:val="20"/>
          <w:szCs w:val="20"/>
        </w:rPr>
        <w:fldChar w:fldCharType="separate"/>
      </w:r>
      <w:r w:rsidR="00D02041" w:rsidRPr="008612B7">
        <w:rPr>
          <w:rFonts w:ascii="Times New Roman" w:hAnsi="Times New Roman" w:cs="Times New Roman"/>
          <w:b/>
          <w:bCs/>
          <w:i w:val="0"/>
          <w:iCs w:val="0"/>
          <w:noProof/>
          <w:color w:val="000000" w:themeColor="text1"/>
          <w:sz w:val="20"/>
          <w:szCs w:val="20"/>
        </w:rPr>
        <w:t>1</w:t>
      </w:r>
      <w:r w:rsidRPr="008612B7">
        <w:rPr>
          <w:rFonts w:ascii="Times New Roman" w:hAnsi="Times New Roman" w:cs="Times New Roman"/>
          <w:b/>
          <w:bCs/>
          <w:i w:val="0"/>
          <w:iCs w:val="0"/>
          <w:color w:val="000000" w:themeColor="text1"/>
          <w:sz w:val="20"/>
          <w:szCs w:val="20"/>
        </w:rPr>
        <w:fldChar w:fldCharType="end"/>
      </w:r>
      <w:r w:rsidRPr="008612B7">
        <w:rPr>
          <w:rFonts w:ascii="Times New Roman" w:hAnsi="Times New Roman" w:cs="Times New Roman"/>
          <w:b/>
          <w:bCs/>
          <w:i w:val="0"/>
          <w:iCs w:val="0"/>
          <w:color w:val="000000" w:themeColor="text1"/>
          <w:sz w:val="20"/>
          <w:szCs w:val="20"/>
        </w:rPr>
        <w:t>.</w:t>
      </w:r>
      <w:r w:rsidR="009C787F" w:rsidRPr="008612B7">
        <w:rPr>
          <w:rFonts w:ascii="Times New Roman" w:hAnsi="Times New Roman" w:cs="Times New Roman"/>
          <w:b/>
          <w:bCs/>
          <w:i w:val="0"/>
          <w:iCs w:val="0"/>
          <w:color w:val="000000" w:themeColor="text1"/>
          <w:sz w:val="20"/>
          <w:szCs w:val="20"/>
        </w:rPr>
        <w:t xml:space="preserve"> </w:t>
      </w:r>
      <w:bookmarkStart w:id="24" w:name="_Toc193971613"/>
      <w:r w:rsidRPr="008612B7">
        <w:rPr>
          <w:rFonts w:ascii="Times New Roman" w:hAnsi="Times New Roman" w:cs="Times New Roman"/>
          <w:b/>
          <w:bCs/>
          <w:i w:val="0"/>
          <w:iCs w:val="0"/>
          <w:color w:val="000000" w:themeColor="text1"/>
          <w:sz w:val="20"/>
          <w:szCs w:val="20"/>
        </w:rPr>
        <w:t>State</w:t>
      </w:r>
      <w:r w:rsidR="009C787F" w:rsidRPr="008612B7">
        <w:rPr>
          <w:rFonts w:ascii="Times New Roman" w:hAnsi="Times New Roman" w:cs="Times New Roman"/>
          <w:b/>
          <w:bCs/>
          <w:i w:val="0"/>
          <w:iCs w:val="0"/>
          <w:color w:val="000000" w:themeColor="text1"/>
          <w:sz w:val="20"/>
          <w:szCs w:val="20"/>
        </w:rPr>
        <w:t xml:space="preserve"> ESG</w:t>
      </w:r>
      <w:r w:rsidRPr="008612B7">
        <w:rPr>
          <w:rFonts w:ascii="Times New Roman" w:hAnsi="Times New Roman" w:cs="Times New Roman"/>
          <w:b/>
          <w:bCs/>
          <w:i w:val="0"/>
          <w:iCs w:val="0"/>
          <w:color w:val="000000" w:themeColor="text1"/>
          <w:sz w:val="20"/>
          <w:szCs w:val="20"/>
        </w:rPr>
        <w:t xml:space="preserve"> Legislation </w:t>
      </w:r>
      <w:r w:rsidR="009C787F" w:rsidRPr="008612B7">
        <w:rPr>
          <w:rFonts w:ascii="Times New Roman" w:hAnsi="Times New Roman" w:cs="Times New Roman"/>
          <w:b/>
          <w:bCs/>
          <w:i w:val="0"/>
          <w:iCs w:val="0"/>
          <w:color w:val="000000" w:themeColor="text1"/>
          <w:sz w:val="20"/>
          <w:szCs w:val="20"/>
        </w:rPr>
        <w:t xml:space="preserve">Trends </w:t>
      </w:r>
      <w:r w:rsidRPr="008612B7">
        <w:rPr>
          <w:rFonts w:ascii="Times New Roman" w:hAnsi="Times New Roman" w:cs="Times New Roman"/>
          <w:b/>
          <w:bCs/>
          <w:i w:val="0"/>
          <w:iCs w:val="0"/>
          <w:color w:val="000000" w:themeColor="text1"/>
          <w:sz w:val="20"/>
          <w:szCs w:val="20"/>
        </w:rPr>
        <w:t>(2020-2024)</w:t>
      </w:r>
      <w:bookmarkEnd w:id="24"/>
    </w:p>
    <w:p w14:paraId="0A9DDF92" w14:textId="77777777" w:rsidR="00A7695F" w:rsidRPr="00063811" w:rsidRDefault="00A7695F" w:rsidP="00A7695F">
      <w:r w:rsidRPr="00063811">
        <w:rPr>
          <w:noProof/>
          <w14:ligatures w14:val="standardContextual"/>
        </w:rPr>
        <w:drawing>
          <wp:inline distT="0" distB="0" distL="0" distR="0" wp14:anchorId="6086CEDC" wp14:editId="3BCB9B66">
            <wp:extent cx="5524500" cy="3824654"/>
            <wp:effectExtent l="57150" t="57150" r="133350" b="137795"/>
            <wp:docPr id="1548190982" name="Picture 11" descr="A graph with a red line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90982" name="Picture 11" descr="A graph with a red line and blue li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38179" cy="3834124"/>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17B31C5" w14:textId="4D54CC63" w:rsidR="00A7695F" w:rsidRPr="008612B7" w:rsidRDefault="00A7695F" w:rsidP="00A7695F">
      <w:pPr>
        <w:spacing w:after="240"/>
      </w:pPr>
      <w:r w:rsidRPr="008612B7">
        <w:rPr>
          <w:i/>
          <w:iCs/>
          <w:sz w:val="20"/>
          <w:szCs w:val="20"/>
        </w:rPr>
        <w:t>Note:</w:t>
      </w:r>
      <w:r w:rsidRPr="008612B7">
        <w:rPr>
          <w:sz w:val="20"/>
          <w:szCs w:val="20"/>
        </w:rPr>
        <w:t xml:space="preserve"> Data compiled from </w:t>
      </w:r>
      <w:proofErr w:type="spellStart"/>
      <w:r w:rsidRPr="008612B7">
        <w:rPr>
          <w:sz w:val="20"/>
          <w:szCs w:val="20"/>
        </w:rPr>
        <w:t>LegiScan</w:t>
      </w:r>
      <w:proofErr w:type="spellEnd"/>
      <w:r w:rsidRPr="008612B7">
        <w:rPr>
          <w:sz w:val="20"/>
          <w:szCs w:val="20"/>
        </w:rPr>
        <w:t xml:space="preserve"> and Ballotpedia's ESG Tracker (2020-2024). Bills were classified as 'pro-ESG' if they mandated or encouraged consideration of environmental, social, or governance factors in investment decisions or corporate operations, and 'anti-ESG' if they explicitly restricted or prohibited such considerations.</w:t>
      </w:r>
    </w:p>
    <w:p w14:paraId="31E4742A" w14:textId="4FF418A3" w:rsidR="00C718F6" w:rsidRPr="00063811" w:rsidRDefault="00C718F6" w:rsidP="00F256FD">
      <w:pPr>
        <w:spacing w:line="480" w:lineRule="auto"/>
        <w:ind w:firstLine="720"/>
      </w:pPr>
      <w:r w:rsidRPr="00063811">
        <w:lastRenderedPageBreak/>
        <w:t xml:space="preserve">From 2020 to 2024, </w:t>
      </w:r>
      <w:r w:rsidR="008329A6" w:rsidRPr="00063811">
        <w:t>I</w:t>
      </w:r>
      <w:r w:rsidRPr="00063811">
        <w:t xml:space="preserve"> observed a clear evolution in both pro-ESG and anti-ESG legislation. Pro-ESG bills showed modest but steady growth from 2 bills in 2020 to 8 bills in 2023, followed by a slight decrease to 4 bills in 2024. In contrast, anti-ESG legislation exhibited a dramatic increase, starting from zero bills in 2020 and rising sharply to 28 bills in 2023, before declining somewhat to 17 bills in 2024.</w:t>
      </w:r>
    </w:p>
    <w:p w14:paraId="7DDC7B03" w14:textId="15677AE4" w:rsidR="00F256FD" w:rsidRPr="00063811" w:rsidRDefault="00F256FD" w:rsidP="00A7695F">
      <w:pPr>
        <w:spacing w:line="480" w:lineRule="auto"/>
        <w:ind w:firstLine="720"/>
      </w:pPr>
      <w:r w:rsidRPr="00063811">
        <w:t>This visualization illustrates the stark contrast between pro-ESG and anti-ESG legislative activity across the five-year period. The data reveal a notable inflection point in 2021-2022, when anti-ESG legislation began to gain significant momentum, ultimately outpacing pro-ESG legislation by a considerable margin in 2023. This trend suggests a growing politicization of ESG policies at the state level, with anti-ESG sentiment becoming increasingly prevalent in state legislatures.</w:t>
      </w:r>
    </w:p>
    <w:p w14:paraId="3B67DDCF" w14:textId="334CC514" w:rsidR="00F05EA2" w:rsidRPr="008612B7" w:rsidRDefault="00F05EA2" w:rsidP="00F05EA2">
      <w:pPr>
        <w:spacing w:line="480" w:lineRule="auto"/>
        <w:ind w:firstLine="720"/>
      </w:pPr>
      <w:r w:rsidRPr="00063811">
        <w:t>The geographic distribution of ESG legislation (Figure 2) provides further evidence of this politicization. The map illustrates a clear regional pattern in ESG policy adoption, with anti-ESG legislation concentrated in the Southern, Midwestern, and Mountain West regions. States such as Texas, Florida, Oklahoma, Missouri, and others across these regions have enacted laws that explicitly restrict or oppose ESG considerations in investment decisions, particularly targeting state pension funds and government contracts.</w:t>
      </w:r>
    </w:p>
    <w:p w14:paraId="6A047A0D" w14:textId="01B92488" w:rsidR="008F1FAE" w:rsidRPr="008612B7" w:rsidRDefault="008F1FAE" w:rsidP="008F1FAE">
      <w:pPr>
        <w:pStyle w:val="Caption"/>
        <w:keepNext/>
        <w:spacing w:after="0"/>
        <w:rPr>
          <w:rFonts w:ascii="Times New Roman" w:hAnsi="Times New Roman" w:cs="Times New Roman"/>
          <w:b/>
          <w:bCs/>
          <w:i w:val="0"/>
          <w:iCs w:val="0"/>
          <w:color w:val="000000" w:themeColor="text1"/>
          <w:sz w:val="20"/>
          <w:szCs w:val="20"/>
        </w:rPr>
      </w:pPr>
      <w:r w:rsidRPr="008612B7">
        <w:rPr>
          <w:rFonts w:ascii="Times New Roman" w:hAnsi="Times New Roman" w:cs="Times New Roman"/>
          <w:b/>
          <w:bCs/>
          <w:i w:val="0"/>
          <w:iCs w:val="0"/>
          <w:color w:val="000000" w:themeColor="text1"/>
          <w:sz w:val="20"/>
          <w:szCs w:val="20"/>
        </w:rPr>
        <w:lastRenderedPageBreak/>
        <w:t xml:space="preserve">Figure </w:t>
      </w:r>
      <w:r w:rsidRPr="008612B7">
        <w:rPr>
          <w:rFonts w:ascii="Times New Roman" w:hAnsi="Times New Roman" w:cs="Times New Roman"/>
          <w:b/>
          <w:bCs/>
          <w:i w:val="0"/>
          <w:iCs w:val="0"/>
          <w:color w:val="000000" w:themeColor="text1"/>
          <w:sz w:val="20"/>
          <w:szCs w:val="20"/>
        </w:rPr>
        <w:fldChar w:fldCharType="begin"/>
      </w:r>
      <w:r w:rsidRPr="008612B7">
        <w:rPr>
          <w:rFonts w:ascii="Times New Roman" w:hAnsi="Times New Roman" w:cs="Times New Roman"/>
          <w:b/>
          <w:bCs/>
          <w:i w:val="0"/>
          <w:iCs w:val="0"/>
          <w:color w:val="000000" w:themeColor="text1"/>
          <w:sz w:val="20"/>
          <w:szCs w:val="20"/>
        </w:rPr>
        <w:instrText xml:space="preserve"> SEQ Figure \* ARABIC </w:instrText>
      </w:r>
      <w:r w:rsidRPr="008612B7">
        <w:rPr>
          <w:rFonts w:ascii="Times New Roman" w:hAnsi="Times New Roman" w:cs="Times New Roman"/>
          <w:b/>
          <w:bCs/>
          <w:i w:val="0"/>
          <w:iCs w:val="0"/>
          <w:color w:val="000000" w:themeColor="text1"/>
          <w:sz w:val="20"/>
          <w:szCs w:val="20"/>
        </w:rPr>
        <w:fldChar w:fldCharType="separate"/>
      </w:r>
      <w:r w:rsidR="00D02041" w:rsidRPr="008612B7">
        <w:rPr>
          <w:rFonts w:ascii="Times New Roman" w:hAnsi="Times New Roman" w:cs="Times New Roman"/>
          <w:b/>
          <w:bCs/>
          <w:i w:val="0"/>
          <w:iCs w:val="0"/>
          <w:noProof/>
          <w:color w:val="000000" w:themeColor="text1"/>
          <w:sz w:val="20"/>
          <w:szCs w:val="20"/>
        </w:rPr>
        <w:t>2</w:t>
      </w:r>
      <w:r w:rsidRPr="008612B7">
        <w:rPr>
          <w:rFonts w:ascii="Times New Roman" w:hAnsi="Times New Roman" w:cs="Times New Roman"/>
          <w:b/>
          <w:bCs/>
          <w:i w:val="0"/>
          <w:iCs w:val="0"/>
          <w:color w:val="000000" w:themeColor="text1"/>
          <w:sz w:val="20"/>
          <w:szCs w:val="20"/>
        </w:rPr>
        <w:fldChar w:fldCharType="end"/>
      </w:r>
      <w:r w:rsidRPr="008612B7">
        <w:rPr>
          <w:rFonts w:ascii="Times New Roman" w:hAnsi="Times New Roman" w:cs="Times New Roman"/>
          <w:b/>
          <w:bCs/>
          <w:i w:val="0"/>
          <w:iCs w:val="0"/>
          <w:color w:val="000000" w:themeColor="text1"/>
          <w:sz w:val="20"/>
          <w:szCs w:val="20"/>
        </w:rPr>
        <w:t xml:space="preserve">. </w:t>
      </w:r>
      <w:bookmarkStart w:id="25" w:name="_Toc193971614"/>
      <w:r w:rsidRPr="008612B7">
        <w:rPr>
          <w:rFonts w:ascii="Times New Roman" w:hAnsi="Times New Roman" w:cs="Times New Roman"/>
          <w:b/>
          <w:bCs/>
          <w:i w:val="0"/>
          <w:iCs w:val="0"/>
          <w:color w:val="000000" w:themeColor="text1"/>
          <w:sz w:val="20"/>
          <w:szCs w:val="20"/>
        </w:rPr>
        <w:t>State-Level ESG Regulatory Regimes (2020-2024)</w:t>
      </w:r>
      <w:bookmarkEnd w:id="25"/>
    </w:p>
    <w:p w14:paraId="5DFFCD29" w14:textId="2A6CC3C4" w:rsidR="006B6FD2" w:rsidRPr="00063811" w:rsidRDefault="006B6FD2" w:rsidP="00F256FD">
      <w:r w:rsidRPr="008612B7">
        <w:rPr>
          <w:noProof/>
          <w14:ligatures w14:val="standardContextual"/>
        </w:rPr>
        <w:drawing>
          <wp:inline distT="0" distB="0" distL="0" distR="0" wp14:anchorId="5E5BB450" wp14:editId="2604F61D">
            <wp:extent cx="5048250" cy="3365500"/>
            <wp:effectExtent l="57150" t="57150" r="133350" b="139700"/>
            <wp:docPr id="2032174886" name="Picture 8"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74886" name="Picture 8" descr="A map of the united stat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55536" cy="3370357"/>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757C120" w14:textId="549CA4F1" w:rsidR="00745423" w:rsidRPr="008612B7" w:rsidRDefault="00745423" w:rsidP="00F256FD">
      <w:pPr>
        <w:spacing w:after="240"/>
        <w:rPr>
          <w:sz w:val="20"/>
          <w:szCs w:val="20"/>
        </w:rPr>
      </w:pPr>
      <w:r w:rsidRPr="008612B7">
        <w:rPr>
          <w:i/>
          <w:iCs/>
          <w:sz w:val="20"/>
          <w:szCs w:val="20"/>
        </w:rPr>
        <w:t>Note:</w:t>
      </w:r>
      <w:r w:rsidRPr="008612B7">
        <w:rPr>
          <w:sz w:val="20"/>
          <w:szCs w:val="20"/>
        </w:rPr>
        <w:t xml:space="preserve"> States are classified based on their predominant ESG legislative approach (2020-2024). 'Non-Defined' states have either not enacted significant legislation or have pursued a bipartisan approach outside the focus of this study.</w:t>
      </w:r>
    </w:p>
    <w:p w14:paraId="7F2170C4" w14:textId="77777777" w:rsidR="00484CA6" w:rsidRPr="00063811" w:rsidRDefault="00484CA6" w:rsidP="006760A7">
      <w:pPr>
        <w:pStyle w:val="Heading2"/>
      </w:pPr>
      <w:bookmarkStart w:id="26" w:name="_Toc193977946"/>
      <w:r w:rsidRPr="00063811">
        <w:t>Sample Construction</w:t>
      </w:r>
      <w:bookmarkEnd w:id="26"/>
    </w:p>
    <w:p w14:paraId="30342749" w14:textId="77777777" w:rsidR="00211973" w:rsidRPr="00063811" w:rsidRDefault="00211973" w:rsidP="00F256FD">
      <w:pPr>
        <w:spacing w:line="480" w:lineRule="auto"/>
        <w:ind w:firstLine="720"/>
      </w:pPr>
      <w:r w:rsidRPr="00063811">
        <w:t>This study draws on a comprehensive panel dataset of publicly traded firms observed between 2019 and 2024. The sampling strategy targets companies operating in sectors directly exposed to state-level ESG legislation during this period. By concentrating on firms subject to varying degrees of regulatory intervention, the analysis can more precisely isolate the impact of policy shifts on corporate sustainability performance. The final dataset comprises 12,938 firm-year observations from 2,938 unique companies.</w:t>
      </w:r>
    </w:p>
    <w:p w14:paraId="4D7FF317" w14:textId="6D85F2DB" w:rsidR="00E52BF7" w:rsidRPr="00063811" w:rsidRDefault="008329A6" w:rsidP="008612B7">
      <w:pPr>
        <w:spacing w:line="480" w:lineRule="auto"/>
        <w:ind w:firstLine="720"/>
      </w:pPr>
      <w:r w:rsidRPr="00063811">
        <w:t>T</w:t>
      </w:r>
      <w:r w:rsidR="00211973" w:rsidRPr="00063811">
        <w:t xml:space="preserve">able 4 presents key summary statistics. The average </w:t>
      </w:r>
      <w:r w:rsidR="00833A39">
        <w:t>o</w:t>
      </w:r>
      <w:r w:rsidR="00211973" w:rsidRPr="00063811">
        <w:t xml:space="preserve">verall ESG </w:t>
      </w:r>
      <w:r w:rsidR="00833A39">
        <w:t>s</w:t>
      </w:r>
      <w:r w:rsidR="00211973" w:rsidRPr="00063811">
        <w:t xml:space="preserve">core is 32.13 (SD = 13.42), indicating considerable variation in sustainability outcomes. Environmental and social dimension scores have similar mean scores of 28.45 and 26.98, suggesting that most firm practices vary across both environmental and social domains. In terms of regulatory environments, 4.9% of firm-year observations face </w:t>
      </w:r>
      <w:r w:rsidR="00372CB1">
        <w:t>a</w:t>
      </w:r>
      <w:r w:rsidR="00211973" w:rsidRPr="00063811">
        <w:t xml:space="preserve">nti-ESG policies, while 10.4% operate under </w:t>
      </w:r>
      <w:r w:rsidR="00372CB1">
        <w:lastRenderedPageBreak/>
        <w:t>p</w:t>
      </w:r>
      <w:r w:rsidR="00211973" w:rsidRPr="00063811">
        <w:t>ro-ESG frameworks. This circumstance provides a quasi-natural experiment setting to assess how contrasting policy contexts influence firm ESG behaviors.</w:t>
      </w:r>
    </w:p>
    <w:p w14:paraId="402840CD" w14:textId="46C2A4E8" w:rsidR="008F1FAE" w:rsidRPr="008612B7" w:rsidRDefault="008F1FAE" w:rsidP="008F1FAE">
      <w:pPr>
        <w:pStyle w:val="Caption"/>
        <w:keepNext/>
        <w:spacing w:after="0"/>
        <w:rPr>
          <w:rFonts w:ascii="Times New Roman" w:hAnsi="Times New Roman" w:cs="Times New Roman"/>
          <w:b/>
          <w:bCs/>
          <w:i w:val="0"/>
          <w:iCs w:val="0"/>
          <w:color w:val="000000" w:themeColor="text1"/>
          <w:sz w:val="20"/>
          <w:szCs w:val="20"/>
        </w:rPr>
      </w:pPr>
      <w:r w:rsidRPr="008612B7">
        <w:rPr>
          <w:rFonts w:ascii="Times New Roman" w:hAnsi="Times New Roman" w:cs="Times New Roman"/>
          <w:b/>
          <w:bCs/>
          <w:i w:val="0"/>
          <w:iCs w:val="0"/>
          <w:color w:val="000000" w:themeColor="text1"/>
          <w:sz w:val="20"/>
          <w:szCs w:val="20"/>
        </w:rPr>
        <w:t xml:space="preserve">Table </w:t>
      </w:r>
      <w:r w:rsidRPr="008612B7">
        <w:rPr>
          <w:rFonts w:ascii="Times New Roman" w:hAnsi="Times New Roman" w:cs="Times New Roman"/>
          <w:b/>
          <w:bCs/>
          <w:i w:val="0"/>
          <w:iCs w:val="0"/>
          <w:color w:val="000000" w:themeColor="text1"/>
          <w:sz w:val="20"/>
          <w:szCs w:val="20"/>
        </w:rPr>
        <w:fldChar w:fldCharType="begin"/>
      </w:r>
      <w:r w:rsidRPr="008612B7">
        <w:rPr>
          <w:rFonts w:ascii="Times New Roman" w:hAnsi="Times New Roman" w:cs="Times New Roman"/>
          <w:b/>
          <w:bCs/>
          <w:i w:val="0"/>
          <w:iCs w:val="0"/>
          <w:color w:val="000000" w:themeColor="text1"/>
          <w:sz w:val="20"/>
          <w:szCs w:val="20"/>
        </w:rPr>
        <w:instrText xml:space="preserve"> SEQ Table \* ARABIC </w:instrText>
      </w:r>
      <w:r w:rsidRPr="008612B7">
        <w:rPr>
          <w:rFonts w:ascii="Times New Roman" w:hAnsi="Times New Roman" w:cs="Times New Roman"/>
          <w:b/>
          <w:bCs/>
          <w:i w:val="0"/>
          <w:iCs w:val="0"/>
          <w:color w:val="000000" w:themeColor="text1"/>
          <w:sz w:val="20"/>
          <w:szCs w:val="20"/>
        </w:rPr>
        <w:fldChar w:fldCharType="separate"/>
      </w:r>
      <w:r w:rsidR="00063811">
        <w:rPr>
          <w:rFonts w:ascii="Times New Roman" w:hAnsi="Times New Roman" w:cs="Times New Roman"/>
          <w:b/>
          <w:bCs/>
          <w:i w:val="0"/>
          <w:iCs w:val="0"/>
          <w:noProof/>
          <w:color w:val="000000" w:themeColor="text1"/>
          <w:sz w:val="20"/>
          <w:szCs w:val="20"/>
        </w:rPr>
        <w:t>4</w:t>
      </w:r>
      <w:r w:rsidRPr="008612B7">
        <w:rPr>
          <w:rFonts w:ascii="Times New Roman" w:hAnsi="Times New Roman" w:cs="Times New Roman"/>
          <w:b/>
          <w:bCs/>
          <w:i w:val="0"/>
          <w:iCs w:val="0"/>
          <w:color w:val="000000" w:themeColor="text1"/>
          <w:sz w:val="20"/>
          <w:szCs w:val="20"/>
        </w:rPr>
        <w:fldChar w:fldCharType="end"/>
      </w:r>
      <w:r w:rsidRPr="008612B7">
        <w:rPr>
          <w:rFonts w:ascii="Times New Roman" w:hAnsi="Times New Roman" w:cs="Times New Roman"/>
          <w:b/>
          <w:bCs/>
          <w:i w:val="0"/>
          <w:iCs w:val="0"/>
          <w:color w:val="000000" w:themeColor="text1"/>
          <w:sz w:val="20"/>
          <w:szCs w:val="20"/>
        </w:rPr>
        <w:t xml:space="preserve">. </w:t>
      </w:r>
      <w:bookmarkStart w:id="27" w:name="_Toc193976797"/>
      <w:r w:rsidRPr="008612B7">
        <w:rPr>
          <w:rFonts w:ascii="Times New Roman" w:hAnsi="Times New Roman" w:cs="Times New Roman"/>
          <w:b/>
          <w:bCs/>
          <w:i w:val="0"/>
          <w:iCs w:val="0"/>
          <w:color w:val="000000" w:themeColor="text1"/>
          <w:sz w:val="20"/>
          <w:szCs w:val="20"/>
        </w:rPr>
        <w:t>Summary Statistics</w:t>
      </w:r>
      <w:bookmarkEnd w:id="27"/>
    </w:p>
    <w:tbl>
      <w:tblPr>
        <w:tblStyle w:val="PlainTable4"/>
        <w:tblW w:w="8923" w:type="dxa"/>
        <w:tblLook w:val="04A0" w:firstRow="1" w:lastRow="0" w:firstColumn="1" w:lastColumn="0" w:noHBand="0" w:noVBand="1"/>
      </w:tblPr>
      <w:tblGrid>
        <w:gridCol w:w="3163"/>
        <w:gridCol w:w="1440"/>
        <w:gridCol w:w="1440"/>
        <w:gridCol w:w="1440"/>
        <w:gridCol w:w="1440"/>
      </w:tblGrid>
      <w:tr w:rsidR="00211973" w:rsidRPr="00063811" w14:paraId="5F97EEE9" w14:textId="77777777" w:rsidTr="0009226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63" w:type="dxa"/>
            <w:tcBorders>
              <w:top w:val="single" w:sz="4" w:space="0" w:color="auto"/>
            </w:tcBorders>
            <w:noWrap/>
            <w:vAlign w:val="center"/>
            <w:hideMark/>
          </w:tcPr>
          <w:p w14:paraId="76849B98" w14:textId="77777777" w:rsidR="00211973" w:rsidRPr="008612B7" w:rsidRDefault="00211973" w:rsidP="00F256FD">
            <w:pPr>
              <w:spacing w:line="360" w:lineRule="auto"/>
              <w:jc w:val="both"/>
              <w:rPr>
                <w:sz w:val="20"/>
                <w:szCs w:val="20"/>
              </w:rPr>
            </w:pPr>
            <w:r w:rsidRPr="008612B7">
              <w:rPr>
                <w:sz w:val="20"/>
                <w:szCs w:val="20"/>
              </w:rPr>
              <w:t>Variables</w:t>
            </w:r>
          </w:p>
        </w:tc>
        <w:tc>
          <w:tcPr>
            <w:tcW w:w="1440" w:type="dxa"/>
            <w:tcBorders>
              <w:top w:val="single" w:sz="4" w:space="0" w:color="auto"/>
            </w:tcBorders>
            <w:noWrap/>
            <w:vAlign w:val="center"/>
            <w:hideMark/>
          </w:tcPr>
          <w:p w14:paraId="58520F14" w14:textId="77777777" w:rsidR="00211973" w:rsidRPr="008612B7" w:rsidRDefault="00211973" w:rsidP="00F256FD">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8612B7">
              <w:rPr>
                <w:sz w:val="20"/>
                <w:szCs w:val="20"/>
              </w:rPr>
              <w:t>Mean</w:t>
            </w:r>
          </w:p>
        </w:tc>
        <w:tc>
          <w:tcPr>
            <w:tcW w:w="1440" w:type="dxa"/>
            <w:tcBorders>
              <w:top w:val="single" w:sz="4" w:space="0" w:color="auto"/>
            </w:tcBorders>
            <w:noWrap/>
            <w:vAlign w:val="center"/>
            <w:hideMark/>
          </w:tcPr>
          <w:p w14:paraId="5F194BA7" w14:textId="77777777" w:rsidR="00211973" w:rsidRPr="008612B7" w:rsidRDefault="00211973" w:rsidP="00F256FD">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8612B7">
              <w:rPr>
                <w:sz w:val="20"/>
                <w:szCs w:val="20"/>
              </w:rPr>
              <w:t>Std. dev.</w:t>
            </w:r>
          </w:p>
        </w:tc>
        <w:tc>
          <w:tcPr>
            <w:tcW w:w="1440" w:type="dxa"/>
            <w:tcBorders>
              <w:top w:val="single" w:sz="4" w:space="0" w:color="auto"/>
            </w:tcBorders>
            <w:noWrap/>
            <w:vAlign w:val="center"/>
            <w:hideMark/>
          </w:tcPr>
          <w:p w14:paraId="68783A41" w14:textId="77777777" w:rsidR="00211973" w:rsidRPr="008612B7" w:rsidRDefault="00211973" w:rsidP="00F256FD">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8612B7">
              <w:rPr>
                <w:sz w:val="20"/>
                <w:szCs w:val="20"/>
              </w:rPr>
              <w:t>Min</w:t>
            </w:r>
          </w:p>
        </w:tc>
        <w:tc>
          <w:tcPr>
            <w:tcW w:w="1440" w:type="dxa"/>
            <w:tcBorders>
              <w:top w:val="single" w:sz="4" w:space="0" w:color="auto"/>
            </w:tcBorders>
            <w:noWrap/>
            <w:vAlign w:val="center"/>
            <w:hideMark/>
          </w:tcPr>
          <w:p w14:paraId="675FC1BA" w14:textId="77777777" w:rsidR="00211973" w:rsidRPr="008612B7" w:rsidRDefault="00211973" w:rsidP="00F256FD">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8612B7">
              <w:rPr>
                <w:sz w:val="20"/>
                <w:szCs w:val="20"/>
              </w:rPr>
              <w:t>Max</w:t>
            </w:r>
          </w:p>
        </w:tc>
      </w:tr>
      <w:tr w:rsidR="00211973" w:rsidRPr="00063811" w14:paraId="27EABB02" w14:textId="77777777" w:rsidTr="000922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63" w:type="dxa"/>
            <w:noWrap/>
            <w:vAlign w:val="center"/>
            <w:hideMark/>
          </w:tcPr>
          <w:p w14:paraId="62B54186" w14:textId="77777777" w:rsidR="00211973" w:rsidRPr="008612B7" w:rsidRDefault="00211973" w:rsidP="00F256FD">
            <w:pPr>
              <w:spacing w:line="360" w:lineRule="auto"/>
              <w:jc w:val="both"/>
              <w:rPr>
                <w:b w:val="0"/>
                <w:bCs w:val="0"/>
                <w:sz w:val="20"/>
                <w:szCs w:val="20"/>
              </w:rPr>
            </w:pPr>
            <w:r w:rsidRPr="008612B7">
              <w:rPr>
                <w:sz w:val="20"/>
                <w:szCs w:val="20"/>
              </w:rPr>
              <w:t>Overall ESG Score</w:t>
            </w:r>
          </w:p>
        </w:tc>
        <w:tc>
          <w:tcPr>
            <w:tcW w:w="1440" w:type="dxa"/>
            <w:noWrap/>
            <w:vAlign w:val="center"/>
            <w:hideMark/>
          </w:tcPr>
          <w:p w14:paraId="5E9FAC8F"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32.127</w:t>
            </w:r>
          </w:p>
        </w:tc>
        <w:tc>
          <w:tcPr>
            <w:tcW w:w="1440" w:type="dxa"/>
            <w:noWrap/>
            <w:vAlign w:val="center"/>
            <w:hideMark/>
          </w:tcPr>
          <w:p w14:paraId="2EABE5F5"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13.415</w:t>
            </w:r>
          </w:p>
        </w:tc>
        <w:tc>
          <w:tcPr>
            <w:tcW w:w="1440" w:type="dxa"/>
            <w:noWrap/>
            <w:vAlign w:val="center"/>
            <w:hideMark/>
          </w:tcPr>
          <w:p w14:paraId="13A1B316"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6</w:t>
            </w:r>
          </w:p>
        </w:tc>
        <w:tc>
          <w:tcPr>
            <w:tcW w:w="1440" w:type="dxa"/>
            <w:noWrap/>
            <w:vAlign w:val="center"/>
            <w:hideMark/>
          </w:tcPr>
          <w:p w14:paraId="3D60069E"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91</w:t>
            </w:r>
          </w:p>
        </w:tc>
      </w:tr>
      <w:tr w:rsidR="00211973" w:rsidRPr="00063811" w14:paraId="1587B781" w14:textId="77777777" w:rsidTr="0009226C">
        <w:trPr>
          <w:trHeight w:val="288"/>
        </w:trPr>
        <w:tc>
          <w:tcPr>
            <w:cnfStyle w:val="001000000000" w:firstRow="0" w:lastRow="0" w:firstColumn="1" w:lastColumn="0" w:oddVBand="0" w:evenVBand="0" w:oddHBand="0" w:evenHBand="0" w:firstRowFirstColumn="0" w:firstRowLastColumn="0" w:lastRowFirstColumn="0" w:lastRowLastColumn="0"/>
            <w:tcW w:w="3163" w:type="dxa"/>
            <w:noWrap/>
            <w:vAlign w:val="center"/>
            <w:hideMark/>
          </w:tcPr>
          <w:p w14:paraId="73150CDF" w14:textId="77777777" w:rsidR="00211973" w:rsidRPr="008612B7" w:rsidRDefault="00211973" w:rsidP="00F256FD">
            <w:pPr>
              <w:spacing w:line="360" w:lineRule="auto"/>
              <w:jc w:val="both"/>
              <w:rPr>
                <w:b w:val="0"/>
                <w:bCs w:val="0"/>
                <w:sz w:val="20"/>
                <w:szCs w:val="20"/>
              </w:rPr>
            </w:pPr>
            <w:r w:rsidRPr="008612B7">
              <w:rPr>
                <w:sz w:val="20"/>
                <w:szCs w:val="20"/>
              </w:rPr>
              <w:t>Environmental Score</w:t>
            </w:r>
          </w:p>
        </w:tc>
        <w:tc>
          <w:tcPr>
            <w:tcW w:w="1440" w:type="dxa"/>
            <w:noWrap/>
            <w:vAlign w:val="center"/>
            <w:hideMark/>
          </w:tcPr>
          <w:p w14:paraId="099BBC5A"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28.447</w:t>
            </w:r>
          </w:p>
        </w:tc>
        <w:tc>
          <w:tcPr>
            <w:tcW w:w="1440" w:type="dxa"/>
            <w:noWrap/>
            <w:vAlign w:val="center"/>
            <w:hideMark/>
          </w:tcPr>
          <w:p w14:paraId="36958D8E"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17.844</w:t>
            </w:r>
          </w:p>
        </w:tc>
        <w:tc>
          <w:tcPr>
            <w:tcW w:w="1440" w:type="dxa"/>
            <w:noWrap/>
            <w:vAlign w:val="center"/>
            <w:hideMark/>
          </w:tcPr>
          <w:p w14:paraId="226457A8"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w:t>
            </w:r>
          </w:p>
        </w:tc>
        <w:tc>
          <w:tcPr>
            <w:tcW w:w="1440" w:type="dxa"/>
            <w:noWrap/>
            <w:vAlign w:val="center"/>
            <w:hideMark/>
          </w:tcPr>
          <w:p w14:paraId="7E837E0D"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99</w:t>
            </w:r>
          </w:p>
        </w:tc>
      </w:tr>
      <w:tr w:rsidR="00211973" w:rsidRPr="00063811" w14:paraId="58EB6474" w14:textId="77777777" w:rsidTr="000922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63" w:type="dxa"/>
            <w:noWrap/>
            <w:vAlign w:val="center"/>
            <w:hideMark/>
          </w:tcPr>
          <w:p w14:paraId="1297903B" w14:textId="77777777" w:rsidR="00211973" w:rsidRPr="008612B7" w:rsidRDefault="00211973" w:rsidP="00F256FD">
            <w:pPr>
              <w:spacing w:line="360" w:lineRule="auto"/>
              <w:jc w:val="both"/>
              <w:rPr>
                <w:b w:val="0"/>
                <w:bCs w:val="0"/>
                <w:sz w:val="20"/>
                <w:szCs w:val="20"/>
              </w:rPr>
            </w:pPr>
            <w:r w:rsidRPr="008612B7">
              <w:rPr>
                <w:sz w:val="20"/>
                <w:szCs w:val="20"/>
              </w:rPr>
              <w:t>Social Score</w:t>
            </w:r>
          </w:p>
        </w:tc>
        <w:tc>
          <w:tcPr>
            <w:tcW w:w="1440" w:type="dxa"/>
            <w:noWrap/>
            <w:vAlign w:val="center"/>
            <w:hideMark/>
          </w:tcPr>
          <w:p w14:paraId="5B84DC08"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26.982</w:t>
            </w:r>
          </w:p>
        </w:tc>
        <w:tc>
          <w:tcPr>
            <w:tcW w:w="1440" w:type="dxa"/>
            <w:noWrap/>
            <w:vAlign w:val="center"/>
            <w:hideMark/>
          </w:tcPr>
          <w:p w14:paraId="12FA0C61"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14.128</w:t>
            </w:r>
          </w:p>
        </w:tc>
        <w:tc>
          <w:tcPr>
            <w:tcW w:w="1440" w:type="dxa"/>
            <w:noWrap/>
            <w:vAlign w:val="center"/>
            <w:hideMark/>
          </w:tcPr>
          <w:p w14:paraId="1DB9A72D"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w:t>
            </w:r>
          </w:p>
        </w:tc>
        <w:tc>
          <w:tcPr>
            <w:tcW w:w="1440" w:type="dxa"/>
            <w:noWrap/>
            <w:vAlign w:val="center"/>
            <w:hideMark/>
          </w:tcPr>
          <w:p w14:paraId="764F3D30"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92</w:t>
            </w:r>
          </w:p>
        </w:tc>
      </w:tr>
      <w:tr w:rsidR="00211973" w:rsidRPr="00063811" w14:paraId="6812FC4E" w14:textId="77777777" w:rsidTr="0009226C">
        <w:trPr>
          <w:trHeight w:val="288"/>
        </w:trPr>
        <w:tc>
          <w:tcPr>
            <w:cnfStyle w:val="001000000000" w:firstRow="0" w:lastRow="0" w:firstColumn="1" w:lastColumn="0" w:oddVBand="0" w:evenVBand="0" w:oddHBand="0" w:evenHBand="0" w:firstRowFirstColumn="0" w:firstRowLastColumn="0" w:lastRowFirstColumn="0" w:lastRowLastColumn="0"/>
            <w:tcW w:w="3163" w:type="dxa"/>
            <w:noWrap/>
            <w:vAlign w:val="center"/>
            <w:hideMark/>
          </w:tcPr>
          <w:p w14:paraId="5979A675" w14:textId="77777777" w:rsidR="00211973" w:rsidRPr="008612B7" w:rsidRDefault="00211973" w:rsidP="00F256FD">
            <w:pPr>
              <w:spacing w:line="360" w:lineRule="auto"/>
              <w:jc w:val="both"/>
              <w:rPr>
                <w:b w:val="0"/>
                <w:bCs w:val="0"/>
                <w:sz w:val="20"/>
                <w:szCs w:val="20"/>
              </w:rPr>
            </w:pPr>
            <w:r w:rsidRPr="008612B7">
              <w:rPr>
                <w:sz w:val="20"/>
                <w:szCs w:val="20"/>
              </w:rPr>
              <w:t>Anti ESG Policy (1=Yes)</w:t>
            </w:r>
          </w:p>
        </w:tc>
        <w:tc>
          <w:tcPr>
            <w:tcW w:w="1440" w:type="dxa"/>
            <w:noWrap/>
            <w:vAlign w:val="center"/>
            <w:hideMark/>
          </w:tcPr>
          <w:p w14:paraId="2AF3BB0F"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0.049</w:t>
            </w:r>
          </w:p>
        </w:tc>
        <w:tc>
          <w:tcPr>
            <w:tcW w:w="1440" w:type="dxa"/>
            <w:noWrap/>
            <w:vAlign w:val="center"/>
            <w:hideMark/>
          </w:tcPr>
          <w:p w14:paraId="635BFF25"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0.215</w:t>
            </w:r>
          </w:p>
        </w:tc>
        <w:tc>
          <w:tcPr>
            <w:tcW w:w="1440" w:type="dxa"/>
            <w:noWrap/>
            <w:vAlign w:val="center"/>
            <w:hideMark/>
          </w:tcPr>
          <w:p w14:paraId="5B582055"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w:t>
            </w:r>
          </w:p>
        </w:tc>
        <w:tc>
          <w:tcPr>
            <w:tcW w:w="1440" w:type="dxa"/>
            <w:noWrap/>
            <w:vAlign w:val="center"/>
            <w:hideMark/>
          </w:tcPr>
          <w:p w14:paraId="5EDD3A50"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1</w:t>
            </w:r>
          </w:p>
        </w:tc>
      </w:tr>
      <w:tr w:rsidR="00211973" w:rsidRPr="00063811" w14:paraId="4CE8DECF" w14:textId="77777777" w:rsidTr="000922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63" w:type="dxa"/>
            <w:noWrap/>
            <w:vAlign w:val="center"/>
            <w:hideMark/>
          </w:tcPr>
          <w:p w14:paraId="3B663618" w14:textId="77777777" w:rsidR="00211973" w:rsidRPr="008612B7" w:rsidRDefault="00211973" w:rsidP="00F256FD">
            <w:pPr>
              <w:spacing w:line="360" w:lineRule="auto"/>
              <w:jc w:val="both"/>
              <w:rPr>
                <w:b w:val="0"/>
                <w:bCs w:val="0"/>
                <w:sz w:val="20"/>
                <w:szCs w:val="20"/>
              </w:rPr>
            </w:pPr>
            <w:r w:rsidRPr="008612B7">
              <w:rPr>
                <w:sz w:val="20"/>
                <w:szCs w:val="20"/>
              </w:rPr>
              <w:t>Pro ESG Policy (1=Yes)</w:t>
            </w:r>
          </w:p>
        </w:tc>
        <w:tc>
          <w:tcPr>
            <w:tcW w:w="1440" w:type="dxa"/>
            <w:noWrap/>
            <w:vAlign w:val="center"/>
            <w:hideMark/>
          </w:tcPr>
          <w:p w14:paraId="5B3616ED"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0.104</w:t>
            </w:r>
          </w:p>
        </w:tc>
        <w:tc>
          <w:tcPr>
            <w:tcW w:w="1440" w:type="dxa"/>
            <w:noWrap/>
            <w:vAlign w:val="center"/>
            <w:hideMark/>
          </w:tcPr>
          <w:p w14:paraId="451A64A1"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0.305</w:t>
            </w:r>
          </w:p>
        </w:tc>
        <w:tc>
          <w:tcPr>
            <w:tcW w:w="1440" w:type="dxa"/>
            <w:noWrap/>
            <w:vAlign w:val="center"/>
            <w:hideMark/>
          </w:tcPr>
          <w:p w14:paraId="209348DC"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w:t>
            </w:r>
          </w:p>
        </w:tc>
        <w:tc>
          <w:tcPr>
            <w:tcW w:w="1440" w:type="dxa"/>
            <w:noWrap/>
            <w:vAlign w:val="center"/>
            <w:hideMark/>
          </w:tcPr>
          <w:p w14:paraId="4D5EE7A1"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1</w:t>
            </w:r>
          </w:p>
        </w:tc>
      </w:tr>
      <w:tr w:rsidR="00211973" w:rsidRPr="00063811" w14:paraId="17C2C9E8" w14:textId="77777777" w:rsidTr="0009226C">
        <w:trPr>
          <w:trHeight w:val="288"/>
        </w:trPr>
        <w:tc>
          <w:tcPr>
            <w:cnfStyle w:val="001000000000" w:firstRow="0" w:lastRow="0" w:firstColumn="1" w:lastColumn="0" w:oddVBand="0" w:evenVBand="0" w:oddHBand="0" w:evenHBand="0" w:firstRowFirstColumn="0" w:firstRowLastColumn="0" w:lastRowFirstColumn="0" w:lastRowLastColumn="0"/>
            <w:tcW w:w="3163" w:type="dxa"/>
            <w:noWrap/>
            <w:vAlign w:val="center"/>
            <w:hideMark/>
          </w:tcPr>
          <w:p w14:paraId="1CB88471" w14:textId="77777777" w:rsidR="00211973" w:rsidRPr="008612B7" w:rsidRDefault="00211973" w:rsidP="00F256FD">
            <w:pPr>
              <w:spacing w:line="360" w:lineRule="auto"/>
              <w:jc w:val="both"/>
              <w:rPr>
                <w:b w:val="0"/>
                <w:bCs w:val="0"/>
                <w:sz w:val="20"/>
                <w:szCs w:val="20"/>
              </w:rPr>
            </w:pPr>
            <w:r w:rsidRPr="008612B7">
              <w:rPr>
                <w:sz w:val="20"/>
                <w:szCs w:val="20"/>
              </w:rPr>
              <w:t>Board Gender Diversity</w:t>
            </w:r>
          </w:p>
        </w:tc>
        <w:tc>
          <w:tcPr>
            <w:tcW w:w="1440" w:type="dxa"/>
            <w:noWrap/>
            <w:vAlign w:val="center"/>
            <w:hideMark/>
          </w:tcPr>
          <w:p w14:paraId="6DBDA356"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51.017</w:t>
            </w:r>
          </w:p>
        </w:tc>
        <w:tc>
          <w:tcPr>
            <w:tcW w:w="1440" w:type="dxa"/>
            <w:noWrap/>
            <w:vAlign w:val="center"/>
            <w:hideMark/>
          </w:tcPr>
          <w:p w14:paraId="1F30149A"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30.748</w:t>
            </w:r>
          </w:p>
        </w:tc>
        <w:tc>
          <w:tcPr>
            <w:tcW w:w="1440" w:type="dxa"/>
            <w:noWrap/>
            <w:vAlign w:val="center"/>
            <w:hideMark/>
          </w:tcPr>
          <w:p w14:paraId="12932340"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w:t>
            </w:r>
          </w:p>
        </w:tc>
        <w:tc>
          <w:tcPr>
            <w:tcW w:w="1440" w:type="dxa"/>
            <w:noWrap/>
            <w:vAlign w:val="center"/>
            <w:hideMark/>
          </w:tcPr>
          <w:p w14:paraId="31BC16C8"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100</w:t>
            </w:r>
          </w:p>
        </w:tc>
      </w:tr>
      <w:tr w:rsidR="00211973" w:rsidRPr="00063811" w14:paraId="7E19870D" w14:textId="77777777" w:rsidTr="000922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63" w:type="dxa"/>
            <w:noWrap/>
            <w:vAlign w:val="center"/>
            <w:hideMark/>
          </w:tcPr>
          <w:p w14:paraId="26C87531" w14:textId="77777777" w:rsidR="00211973" w:rsidRPr="008612B7" w:rsidRDefault="00211973" w:rsidP="00F256FD">
            <w:pPr>
              <w:spacing w:line="360" w:lineRule="auto"/>
              <w:jc w:val="both"/>
              <w:rPr>
                <w:b w:val="0"/>
                <w:bCs w:val="0"/>
                <w:sz w:val="20"/>
                <w:szCs w:val="20"/>
              </w:rPr>
            </w:pPr>
            <w:r w:rsidRPr="008612B7">
              <w:rPr>
                <w:sz w:val="20"/>
                <w:szCs w:val="20"/>
              </w:rPr>
              <w:t>Board Average Tenure</w:t>
            </w:r>
          </w:p>
        </w:tc>
        <w:tc>
          <w:tcPr>
            <w:tcW w:w="1440" w:type="dxa"/>
            <w:noWrap/>
            <w:vAlign w:val="center"/>
            <w:hideMark/>
          </w:tcPr>
          <w:p w14:paraId="73449D35"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78.276</w:t>
            </w:r>
          </w:p>
        </w:tc>
        <w:tc>
          <w:tcPr>
            <w:tcW w:w="1440" w:type="dxa"/>
            <w:noWrap/>
            <w:vAlign w:val="center"/>
            <w:hideMark/>
          </w:tcPr>
          <w:p w14:paraId="2A4FF43D"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28.441</w:t>
            </w:r>
          </w:p>
        </w:tc>
        <w:tc>
          <w:tcPr>
            <w:tcW w:w="1440" w:type="dxa"/>
            <w:noWrap/>
            <w:vAlign w:val="center"/>
            <w:hideMark/>
          </w:tcPr>
          <w:p w14:paraId="585996E9"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w:t>
            </w:r>
          </w:p>
        </w:tc>
        <w:tc>
          <w:tcPr>
            <w:tcW w:w="1440" w:type="dxa"/>
            <w:noWrap/>
            <w:vAlign w:val="center"/>
            <w:hideMark/>
          </w:tcPr>
          <w:p w14:paraId="7FFF3ECF"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100</w:t>
            </w:r>
          </w:p>
        </w:tc>
      </w:tr>
      <w:tr w:rsidR="00211973" w:rsidRPr="00063811" w14:paraId="2A6BE69F" w14:textId="77777777" w:rsidTr="0009226C">
        <w:trPr>
          <w:trHeight w:val="288"/>
        </w:trPr>
        <w:tc>
          <w:tcPr>
            <w:cnfStyle w:val="001000000000" w:firstRow="0" w:lastRow="0" w:firstColumn="1" w:lastColumn="0" w:oddVBand="0" w:evenVBand="0" w:oddHBand="0" w:evenHBand="0" w:firstRowFirstColumn="0" w:firstRowLastColumn="0" w:lastRowFirstColumn="0" w:lastRowLastColumn="0"/>
            <w:tcW w:w="3163" w:type="dxa"/>
            <w:noWrap/>
            <w:vAlign w:val="center"/>
            <w:hideMark/>
          </w:tcPr>
          <w:p w14:paraId="345F07AB" w14:textId="77777777" w:rsidR="00211973" w:rsidRPr="008612B7" w:rsidRDefault="00211973" w:rsidP="00F256FD">
            <w:pPr>
              <w:spacing w:line="360" w:lineRule="auto"/>
              <w:jc w:val="both"/>
              <w:rPr>
                <w:b w:val="0"/>
                <w:bCs w:val="0"/>
                <w:sz w:val="20"/>
                <w:szCs w:val="20"/>
              </w:rPr>
            </w:pPr>
            <w:r w:rsidRPr="008612B7">
              <w:rPr>
                <w:sz w:val="20"/>
                <w:szCs w:val="20"/>
              </w:rPr>
              <w:t>Company Age</w:t>
            </w:r>
          </w:p>
        </w:tc>
        <w:tc>
          <w:tcPr>
            <w:tcW w:w="1440" w:type="dxa"/>
            <w:noWrap/>
            <w:vAlign w:val="center"/>
            <w:hideMark/>
          </w:tcPr>
          <w:p w14:paraId="3CB5EE08"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61.230</w:t>
            </w:r>
          </w:p>
        </w:tc>
        <w:tc>
          <w:tcPr>
            <w:tcW w:w="1440" w:type="dxa"/>
            <w:noWrap/>
            <w:vAlign w:val="center"/>
            <w:hideMark/>
          </w:tcPr>
          <w:p w14:paraId="2A798A9D"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48.110</w:t>
            </w:r>
          </w:p>
        </w:tc>
        <w:tc>
          <w:tcPr>
            <w:tcW w:w="1440" w:type="dxa"/>
            <w:noWrap/>
            <w:vAlign w:val="center"/>
            <w:hideMark/>
          </w:tcPr>
          <w:p w14:paraId="13C77D7B"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1</w:t>
            </w:r>
          </w:p>
        </w:tc>
        <w:tc>
          <w:tcPr>
            <w:tcW w:w="1440" w:type="dxa"/>
            <w:noWrap/>
            <w:vAlign w:val="center"/>
            <w:hideMark/>
          </w:tcPr>
          <w:p w14:paraId="6725A65B"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251</w:t>
            </w:r>
          </w:p>
        </w:tc>
      </w:tr>
      <w:tr w:rsidR="00211973" w:rsidRPr="00063811" w14:paraId="573D45A3" w14:textId="77777777" w:rsidTr="000922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63" w:type="dxa"/>
            <w:noWrap/>
            <w:vAlign w:val="center"/>
            <w:hideMark/>
          </w:tcPr>
          <w:p w14:paraId="087B3B61" w14:textId="77777777" w:rsidR="00211973" w:rsidRPr="008612B7" w:rsidRDefault="00211973" w:rsidP="00F256FD">
            <w:pPr>
              <w:spacing w:line="360" w:lineRule="auto"/>
              <w:jc w:val="both"/>
              <w:rPr>
                <w:b w:val="0"/>
                <w:bCs w:val="0"/>
                <w:sz w:val="20"/>
                <w:szCs w:val="20"/>
              </w:rPr>
            </w:pPr>
            <w:r w:rsidRPr="008612B7">
              <w:rPr>
                <w:sz w:val="20"/>
                <w:szCs w:val="20"/>
              </w:rPr>
              <w:t>Company Size</w:t>
            </w:r>
          </w:p>
        </w:tc>
        <w:tc>
          <w:tcPr>
            <w:tcW w:w="1440" w:type="dxa"/>
            <w:noWrap/>
            <w:vAlign w:val="center"/>
            <w:hideMark/>
          </w:tcPr>
          <w:p w14:paraId="7AA1B500"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8.388</w:t>
            </w:r>
          </w:p>
        </w:tc>
        <w:tc>
          <w:tcPr>
            <w:tcW w:w="1440" w:type="dxa"/>
            <w:noWrap/>
            <w:vAlign w:val="center"/>
            <w:hideMark/>
          </w:tcPr>
          <w:p w14:paraId="28A9CD1E"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1.769</w:t>
            </w:r>
          </w:p>
        </w:tc>
        <w:tc>
          <w:tcPr>
            <w:tcW w:w="1440" w:type="dxa"/>
            <w:noWrap/>
            <w:vAlign w:val="center"/>
            <w:hideMark/>
          </w:tcPr>
          <w:p w14:paraId="152EC527"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3.128</w:t>
            </w:r>
          </w:p>
        </w:tc>
        <w:tc>
          <w:tcPr>
            <w:tcW w:w="1440" w:type="dxa"/>
            <w:noWrap/>
            <w:vAlign w:val="center"/>
            <w:hideMark/>
          </w:tcPr>
          <w:p w14:paraId="3E4E270F"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15.203</w:t>
            </w:r>
          </w:p>
        </w:tc>
      </w:tr>
      <w:tr w:rsidR="00211973" w:rsidRPr="00063811" w14:paraId="12325641" w14:textId="77777777" w:rsidTr="0009226C">
        <w:trPr>
          <w:trHeight w:val="288"/>
        </w:trPr>
        <w:tc>
          <w:tcPr>
            <w:cnfStyle w:val="001000000000" w:firstRow="0" w:lastRow="0" w:firstColumn="1" w:lastColumn="0" w:oddVBand="0" w:evenVBand="0" w:oddHBand="0" w:evenHBand="0" w:firstRowFirstColumn="0" w:firstRowLastColumn="0" w:lastRowFirstColumn="0" w:lastRowLastColumn="0"/>
            <w:tcW w:w="3163" w:type="dxa"/>
            <w:noWrap/>
            <w:vAlign w:val="center"/>
            <w:hideMark/>
          </w:tcPr>
          <w:p w14:paraId="64A55A3A" w14:textId="77777777" w:rsidR="00211973" w:rsidRPr="008612B7" w:rsidRDefault="00211973" w:rsidP="00F256FD">
            <w:pPr>
              <w:spacing w:line="360" w:lineRule="auto"/>
              <w:jc w:val="both"/>
              <w:rPr>
                <w:b w:val="0"/>
                <w:bCs w:val="0"/>
                <w:sz w:val="20"/>
                <w:szCs w:val="20"/>
              </w:rPr>
            </w:pPr>
            <w:r w:rsidRPr="008612B7">
              <w:rPr>
                <w:sz w:val="20"/>
                <w:szCs w:val="20"/>
              </w:rPr>
              <w:t>Leverage</w:t>
            </w:r>
          </w:p>
        </w:tc>
        <w:tc>
          <w:tcPr>
            <w:tcW w:w="1440" w:type="dxa"/>
            <w:noWrap/>
            <w:vAlign w:val="center"/>
            <w:hideMark/>
          </w:tcPr>
          <w:p w14:paraId="36833F02"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1.418</w:t>
            </w:r>
          </w:p>
        </w:tc>
        <w:tc>
          <w:tcPr>
            <w:tcW w:w="1440" w:type="dxa"/>
            <w:noWrap/>
            <w:vAlign w:val="center"/>
            <w:hideMark/>
          </w:tcPr>
          <w:p w14:paraId="641504B2"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2.396</w:t>
            </w:r>
          </w:p>
        </w:tc>
        <w:tc>
          <w:tcPr>
            <w:tcW w:w="1440" w:type="dxa"/>
            <w:noWrap/>
            <w:vAlign w:val="center"/>
            <w:hideMark/>
          </w:tcPr>
          <w:p w14:paraId="1561F9C2"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0.0000164</w:t>
            </w:r>
          </w:p>
        </w:tc>
        <w:tc>
          <w:tcPr>
            <w:tcW w:w="1440" w:type="dxa"/>
            <w:noWrap/>
            <w:vAlign w:val="center"/>
            <w:hideMark/>
          </w:tcPr>
          <w:p w14:paraId="6AB739D3"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16.244</w:t>
            </w:r>
          </w:p>
        </w:tc>
      </w:tr>
      <w:tr w:rsidR="00211973" w:rsidRPr="00063811" w14:paraId="4E3E2D93" w14:textId="77777777" w:rsidTr="000922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63" w:type="dxa"/>
            <w:noWrap/>
            <w:vAlign w:val="center"/>
            <w:hideMark/>
          </w:tcPr>
          <w:p w14:paraId="3023C618" w14:textId="77777777" w:rsidR="00211973" w:rsidRPr="008612B7" w:rsidRDefault="00211973" w:rsidP="00F256FD">
            <w:pPr>
              <w:spacing w:line="360" w:lineRule="auto"/>
              <w:jc w:val="both"/>
              <w:rPr>
                <w:b w:val="0"/>
                <w:bCs w:val="0"/>
                <w:sz w:val="20"/>
                <w:szCs w:val="20"/>
              </w:rPr>
            </w:pPr>
            <w:r w:rsidRPr="008612B7">
              <w:rPr>
                <w:sz w:val="20"/>
                <w:szCs w:val="20"/>
              </w:rPr>
              <w:t>Return on Assets</w:t>
            </w:r>
          </w:p>
        </w:tc>
        <w:tc>
          <w:tcPr>
            <w:tcW w:w="1440" w:type="dxa"/>
            <w:noWrap/>
            <w:vAlign w:val="center"/>
            <w:hideMark/>
          </w:tcPr>
          <w:p w14:paraId="67734F52"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0.015</w:t>
            </w:r>
          </w:p>
        </w:tc>
        <w:tc>
          <w:tcPr>
            <w:tcW w:w="1440" w:type="dxa"/>
            <w:noWrap/>
            <w:vAlign w:val="center"/>
            <w:hideMark/>
          </w:tcPr>
          <w:p w14:paraId="4DB6FD5E"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0.132</w:t>
            </w:r>
          </w:p>
        </w:tc>
        <w:tc>
          <w:tcPr>
            <w:tcW w:w="1440" w:type="dxa"/>
            <w:noWrap/>
            <w:vAlign w:val="center"/>
            <w:hideMark/>
          </w:tcPr>
          <w:p w14:paraId="0022CD4E"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-0.998</w:t>
            </w:r>
          </w:p>
        </w:tc>
        <w:tc>
          <w:tcPr>
            <w:tcW w:w="1440" w:type="dxa"/>
            <w:noWrap/>
            <w:vAlign w:val="center"/>
            <w:hideMark/>
          </w:tcPr>
          <w:p w14:paraId="522AC7C2" w14:textId="77777777" w:rsidR="00211973" w:rsidRPr="008612B7" w:rsidRDefault="00211973" w:rsidP="00F256FD">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0.393</w:t>
            </w:r>
          </w:p>
        </w:tc>
      </w:tr>
      <w:tr w:rsidR="00211973" w:rsidRPr="00063811" w14:paraId="7215D91C" w14:textId="77777777" w:rsidTr="0009226C">
        <w:trPr>
          <w:trHeight w:val="288"/>
        </w:trPr>
        <w:tc>
          <w:tcPr>
            <w:cnfStyle w:val="001000000000" w:firstRow="0" w:lastRow="0" w:firstColumn="1" w:lastColumn="0" w:oddVBand="0" w:evenVBand="0" w:oddHBand="0" w:evenHBand="0" w:firstRowFirstColumn="0" w:firstRowLastColumn="0" w:lastRowFirstColumn="0" w:lastRowLastColumn="0"/>
            <w:tcW w:w="3163" w:type="dxa"/>
            <w:tcBorders>
              <w:bottom w:val="single" w:sz="4" w:space="0" w:color="auto"/>
            </w:tcBorders>
            <w:noWrap/>
            <w:vAlign w:val="center"/>
            <w:hideMark/>
          </w:tcPr>
          <w:p w14:paraId="42674F4C" w14:textId="77777777" w:rsidR="00211973" w:rsidRPr="008612B7" w:rsidRDefault="00211973" w:rsidP="00F256FD">
            <w:pPr>
              <w:spacing w:line="360" w:lineRule="auto"/>
              <w:jc w:val="both"/>
              <w:rPr>
                <w:b w:val="0"/>
                <w:bCs w:val="0"/>
                <w:sz w:val="20"/>
                <w:szCs w:val="20"/>
              </w:rPr>
            </w:pPr>
            <w:r w:rsidRPr="008612B7">
              <w:rPr>
                <w:sz w:val="20"/>
                <w:szCs w:val="20"/>
              </w:rPr>
              <w:t>Tobin's Q</w:t>
            </w:r>
          </w:p>
        </w:tc>
        <w:tc>
          <w:tcPr>
            <w:tcW w:w="1440" w:type="dxa"/>
            <w:tcBorders>
              <w:bottom w:val="single" w:sz="4" w:space="0" w:color="auto"/>
            </w:tcBorders>
            <w:noWrap/>
            <w:vAlign w:val="center"/>
            <w:hideMark/>
          </w:tcPr>
          <w:p w14:paraId="1059E9DC"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2.186</w:t>
            </w:r>
          </w:p>
        </w:tc>
        <w:tc>
          <w:tcPr>
            <w:tcW w:w="1440" w:type="dxa"/>
            <w:tcBorders>
              <w:bottom w:val="single" w:sz="4" w:space="0" w:color="auto"/>
            </w:tcBorders>
            <w:noWrap/>
            <w:vAlign w:val="center"/>
            <w:hideMark/>
          </w:tcPr>
          <w:p w14:paraId="646D48D4"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2.026</w:t>
            </w:r>
          </w:p>
        </w:tc>
        <w:tc>
          <w:tcPr>
            <w:tcW w:w="1440" w:type="dxa"/>
            <w:tcBorders>
              <w:bottom w:val="single" w:sz="4" w:space="0" w:color="auto"/>
            </w:tcBorders>
            <w:noWrap/>
            <w:vAlign w:val="center"/>
            <w:hideMark/>
          </w:tcPr>
          <w:p w14:paraId="4F8FD7CA"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0.490</w:t>
            </w:r>
          </w:p>
        </w:tc>
        <w:tc>
          <w:tcPr>
            <w:tcW w:w="1440" w:type="dxa"/>
            <w:tcBorders>
              <w:bottom w:val="single" w:sz="4" w:space="0" w:color="auto"/>
            </w:tcBorders>
            <w:noWrap/>
            <w:vAlign w:val="center"/>
            <w:hideMark/>
          </w:tcPr>
          <w:p w14:paraId="5C563400" w14:textId="77777777" w:rsidR="00211973" w:rsidRPr="008612B7" w:rsidRDefault="00211973" w:rsidP="00F256FD">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27.896</w:t>
            </w:r>
          </w:p>
        </w:tc>
      </w:tr>
    </w:tbl>
    <w:p w14:paraId="16FF89E9" w14:textId="1895E609" w:rsidR="00211973" w:rsidRPr="008612B7" w:rsidRDefault="00211973" w:rsidP="00F256FD">
      <w:pPr>
        <w:spacing w:line="480" w:lineRule="auto"/>
        <w:rPr>
          <w:sz w:val="20"/>
          <w:szCs w:val="20"/>
        </w:rPr>
      </w:pPr>
      <w:r w:rsidRPr="008612B7">
        <w:rPr>
          <w:i/>
          <w:iCs/>
          <w:sz w:val="20"/>
          <w:szCs w:val="20"/>
        </w:rPr>
        <w:t>Note:</w:t>
      </w:r>
      <w:r w:rsidRPr="008612B7">
        <w:rPr>
          <w:sz w:val="20"/>
          <w:szCs w:val="20"/>
        </w:rPr>
        <w:t xml:space="preserve"> This table presents summary statistics for the key variables in the analysis.</w:t>
      </w:r>
    </w:p>
    <w:p w14:paraId="2FF01377" w14:textId="07710CAA" w:rsidR="00211973" w:rsidRPr="00063811" w:rsidRDefault="00211973" w:rsidP="00F256FD">
      <w:pPr>
        <w:spacing w:line="480" w:lineRule="auto"/>
        <w:ind w:firstLine="720"/>
      </w:pPr>
      <w:r w:rsidRPr="00063811">
        <w:t>Governance-related metrics also exhibit wide dispersion. Board gender diversity, for example, averages 51.02% but has a substantial standard deviation of 30.75%, highlighting marked cross-sectional differences. Similarly, the average board tenure is 78.28%, reflecting generally seasoned leadership. Firm demographics vary greatly: the average company age is 61.23 years, while company size (log of total assets) averages 8.39, indicating notable heterogeneity in scale, and leverage averages 1.42.</w:t>
      </w:r>
    </w:p>
    <w:p w14:paraId="025D46D6" w14:textId="57333290" w:rsidR="00372CB1" w:rsidRDefault="00211973" w:rsidP="008612B7">
      <w:pPr>
        <w:spacing w:line="480" w:lineRule="auto"/>
        <w:ind w:firstLine="720"/>
      </w:pPr>
      <w:r w:rsidRPr="00063811">
        <w:t xml:space="preserve">Turning to performance indicators, the </w:t>
      </w:r>
      <w:r w:rsidR="009A3B35" w:rsidRPr="00063811">
        <w:t>mean</w:t>
      </w:r>
      <w:r w:rsidRPr="00063811">
        <w:t xml:space="preserve"> </w:t>
      </w:r>
      <w:r w:rsidR="00833A39">
        <w:t>return on assets</w:t>
      </w:r>
      <w:r w:rsidRPr="00063811">
        <w:t xml:space="preserve"> stands at 1.5%, whereas the mean Tobin’s Q</w:t>
      </w:r>
      <w:r w:rsidR="00372CB1">
        <w:t xml:space="preserve"> </w:t>
      </w:r>
      <w:r w:rsidRPr="00063811">
        <w:t xml:space="preserve">is 2.19. These figures suggest that, on balance, the market values sampled firms above their replacement costs. However, both performance measures </w:t>
      </w:r>
      <w:r w:rsidR="009A3B35" w:rsidRPr="00063811">
        <w:t>have considerable amount of variance</w:t>
      </w:r>
      <w:r w:rsidRPr="00063811">
        <w:t>, reflecting the substantial diversity in financial outcomes across these companies.</w:t>
      </w:r>
    </w:p>
    <w:p w14:paraId="58FE41BC" w14:textId="77777777" w:rsidR="00372CB1" w:rsidRDefault="00372CB1">
      <w:pPr>
        <w:spacing w:after="160" w:line="278" w:lineRule="auto"/>
      </w:pPr>
      <w:r>
        <w:br w:type="page"/>
      </w:r>
    </w:p>
    <w:p w14:paraId="199D2E30" w14:textId="2800D2FD" w:rsidR="006760A7" w:rsidRPr="00063811" w:rsidRDefault="006760A7" w:rsidP="008612B7">
      <w:pPr>
        <w:spacing w:line="480" w:lineRule="auto"/>
        <w:jc w:val="center"/>
      </w:pPr>
      <w:r w:rsidRPr="00063811">
        <w:lastRenderedPageBreak/>
        <w:t>CHAPTER VI</w:t>
      </w:r>
    </w:p>
    <w:p w14:paraId="13986C5C" w14:textId="7B23706E" w:rsidR="00C605CF" w:rsidRPr="00063811" w:rsidRDefault="00C605CF" w:rsidP="006760A7">
      <w:pPr>
        <w:pStyle w:val="Heading1"/>
      </w:pPr>
      <w:bookmarkStart w:id="28" w:name="_Toc193977947"/>
      <w:r w:rsidRPr="00063811">
        <w:t xml:space="preserve">JOURNAL </w:t>
      </w:r>
      <w:r w:rsidR="00B535C4" w:rsidRPr="00063811">
        <w:t>ARTICLE</w:t>
      </w:r>
      <w:bookmarkEnd w:id="28"/>
    </w:p>
    <w:p w14:paraId="26E308F5" w14:textId="77777777" w:rsidR="009A3B35" w:rsidRPr="00063811" w:rsidRDefault="009A3B35" w:rsidP="006760A7">
      <w:pPr>
        <w:pStyle w:val="Heading2"/>
      </w:pPr>
      <w:bookmarkStart w:id="29" w:name="_Toc193977948"/>
      <w:r w:rsidRPr="00063811">
        <w:t>Introduction</w:t>
      </w:r>
      <w:bookmarkEnd w:id="29"/>
    </w:p>
    <w:p w14:paraId="6EDB6F06" w14:textId="77777777" w:rsidR="009A3B35" w:rsidRPr="00063811" w:rsidRDefault="009A3B35" w:rsidP="00F256FD">
      <w:pPr>
        <w:spacing w:line="480" w:lineRule="auto"/>
        <w:ind w:firstLine="720"/>
      </w:pPr>
      <w:r w:rsidRPr="00063811">
        <w:t xml:space="preserve">Corporate philosophy has evolved dramatically since Adam Smith's foundational work </w:t>
      </w:r>
      <w:r w:rsidRPr="00063811">
        <w:rPr>
          <w:i/>
          <w:iCs/>
        </w:rPr>
        <w:t>The Wealth of Nations</w:t>
      </w:r>
      <w:r w:rsidRPr="00063811">
        <w:t xml:space="preserve"> (1776), which established that free market competition drives economic prosperity through the "invisible hand" mechanism. This classical perspective was later reinforced by Milton Friedman (1970), who argued that a business's sole social responsibility is profit maximization within legal boundaries. However, this paradigm has faced significant challenges as sustainability concerns have entered the mainstream of business discourse.</w:t>
      </w:r>
    </w:p>
    <w:p w14:paraId="733F3914" w14:textId="5690671F" w:rsidR="009A3B35" w:rsidRPr="00063811" w:rsidRDefault="009A3B35" w:rsidP="00F256FD">
      <w:pPr>
        <w:spacing w:line="480" w:lineRule="auto"/>
        <w:ind w:firstLine="720"/>
      </w:pPr>
      <w:r w:rsidRPr="00063811">
        <w:t xml:space="preserve">The emergence of CSR was catalyzed by high-profile incidents like the 1990s Nike labor scandal, where the revelation of exploitative labor practices in developing countries damaged the company's reputation and financial performance (Ballinger, 1992; </w:t>
      </w:r>
      <w:proofErr w:type="spellStart"/>
      <w:r w:rsidRPr="00063811">
        <w:t>Schanberg</w:t>
      </w:r>
      <w:proofErr w:type="spellEnd"/>
      <w:r w:rsidRPr="00063811">
        <w:t xml:space="preserve">, 1996). Nike's subsequent establishment of accountability measures and transparency initiatives demonstrated the growing importance of social responsibility as a business imperative rather than merely a moral consideration (Murphy &amp; Mathew, 2001; </w:t>
      </w:r>
      <w:proofErr w:type="spellStart"/>
      <w:r w:rsidRPr="00063811">
        <w:t>Achabou</w:t>
      </w:r>
      <w:proofErr w:type="spellEnd"/>
      <w:r w:rsidRPr="00063811">
        <w:t>, 2020).</w:t>
      </w:r>
    </w:p>
    <w:p w14:paraId="5B7DB6DD" w14:textId="35788AE5" w:rsidR="009A3B35" w:rsidRPr="00063811" w:rsidRDefault="009A3B35" w:rsidP="00F256FD">
      <w:pPr>
        <w:spacing w:line="480" w:lineRule="auto"/>
        <w:ind w:firstLine="720"/>
      </w:pPr>
      <w:r w:rsidRPr="00063811">
        <w:t xml:space="preserve">The institutionalization of ESG factors gained momentum through the United Nation’s 2004 "Who Cares Wins" report that provided a framework for integrating ESG factors into investment analysis and asset management (UN Environment </w:t>
      </w:r>
      <w:proofErr w:type="spellStart"/>
      <w:r w:rsidRPr="00063811">
        <w:t>Programme</w:t>
      </w:r>
      <w:proofErr w:type="spellEnd"/>
      <w:r w:rsidRPr="00063811">
        <w:t xml:space="preserve"> – Finance Initiative, 2004). This framework has evolved into a global industry of ESG data providers and metrics, despite ongoing challenges with standardization and measurement validity (Eccles et al., 2020).</w:t>
      </w:r>
    </w:p>
    <w:p w14:paraId="00DD2D35" w14:textId="617535F7" w:rsidR="009A3B35" w:rsidRPr="00063811" w:rsidRDefault="009A3B35" w:rsidP="00F256FD">
      <w:pPr>
        <w:spacing w:line="480" w:lineRule="auto"/>
        <w:ind w:firstLine="720"/>
      </w:pPr>
      <w:r w:rsidRPr="00063811">
        <w:t xml:space="preserve">While regions like the European Union and China have increasingly embraced ESG through regulatory mandates (European Parliament, 2022; Ministry of Ecology and Environment, 2021), the United States presents a more complex landscape. A significant </w:t>
      </w:r>
      <w:r w:rsidRPr="00063811">
        <w:lastRenderedPageBreak/>
        <w:t>countermovement has emerged along political party lines, with states enacting conflicting pro-ESG and anti-ESG legislation. Texas's anti-ESG Senate Bills 13 and 19, for instance, have excluded major financial institutions from government contracts, resulting in approximately $400 million in increased annual borrowing costs for taxpayers (Texas Senate Bill 13, 2021; Texas Senate Bill 19, 2021; Garrett &amp; Ivanov, 2022).</w:t>
      </w:r>
    </w:p>
    <w:p w14:paraId="401BF377" w14:textId="3AF09A13" w:rsidR="009A3B35" w:rsidRPr="00063811" w:rsidRDefault="009A3B35" w:rsidP="00F256FD">
      <w:pPr>
        <w:spacing w:line="480" w:lineRule="auto"/>
        <w:ind w:firstLine="720"/>
      </w:pPr>
      <w:r w:rsidRPr="00063811">
        <w:t xml:space="preserve">This study expands upon existing research by examining how both pro-ESG and anti-ESG state legislation impacts corporate ESG performance across multiple jurisdictions. While economic analyses like Garrett and Ivanov's (2022) have quantified immediate financial consequences, </w:t>
      </w:r>
      <w:r w:rsidR="00C63A5B" w:rsidRPr="00063811">
        <w:t>my</w:t>
      </w:r>
      <w:r w:rsidRPr="00063811">
        <w:t xml:space="preserve"> research provides a more comprehensive understanding of how these divergent policy approaches affect corporate behavior and sustainability outcomes. Through empirical analysis of state-level ESG policies and their relationship to corporate ESG metrics, this study contributes to the ongoing debate about the role of government in promoting or restricting sustainable business practices in the American federalist system.</w:t>
      </w:r>
    </w:p>
    <w:p w14:paraId="133469AE" w14:textId="7760E5B7" w:rsidR="00235B9E" w:rsidRPr="00063811" w:rsidRDefault="00235B9E" w:rsidP="00F256FD">
      <w:pPr>
        <w:spacing w:line="480" w:lineRule="auto"/>
        <w:ind w:firstLine="720"/>
        <w:jc w:val="both"/>
      </w:pPr>
      <w:r w:rsidRPr="00063811">
        <w:t>The remainder of this journal ready article is structured as follows. Section 2 will review relevant literature. Section 3 will discuss data collection. Section 4 elaborates on the empirical method. Section 5 will present a discussion of results and findings.</w:t>
      </w:r>
    </w:p>
    <w:p w14:paraId="107A79F0" w14:textId="77777777" w:rsidR="00870FFE" w:rsidRPr="00063811" w:rsidRDefault="00C605CF" w:rsidP="006760A7">
      <w:pPr>
        <w:pStyle w:val="Heading2"/>
      </w:pPr>
      <w:bookmarkStart w:id="30" w:name="_Toc193977949"/>
      <w:r w:rsidRPr="00063811">
        <w:t>Literature Review</w:t>
      </w:r>
      <w:bookmarkEnd w:id="30"/>
    </w:p>
    <w:p w14:paraId="682DFB39" w14:textId="70E05B82" w:rsidR="00EA3623" w:rsidRPr="00063811" w:rsidRDefault="00EA3623" w:rsidP="00F256FD">
      <w:pPr>
        <w:spacing w:line="480" w:lineRule="auto"/>
        <w:ind w:firstLine="720"/>
      </w:pPr>
      <w:r w:rsidRPr="00063811">
        <w:t>This section reviews the literature on ESG theory, firm determinants of ESG performance, and ESG legislation in the European Union and United States. It begins with an overview of ESG data development, followed by an examination of the theoretical foundations of ESG. Next, it analyzes EU and U.S. ESG regulatory frameworks, with particular attention to their divergent approaches. The section concludes with an exploration of firm-level characteristics that drive ESG performance.</w:t>
      </w:r>
    </w:p>
    <w:p w14:paraId="74FAC465" w14:textId="77777777" w:rsidR="00EA3623" w:rsidRPr="00063811" w:rsidRDefault="00EA3623" w:rsidP="006760A7">
      <w:pPr>
        <w:pStyle w:val="Heading3"/>
      </w:pPr>
      <w:r w:rsidRPr="00063811">
        <w:lastRenderedPageBreak/>
        <w:t>ESG Data: Evolution and Challenges</w:t>
      </w:r>
    </w:p>
    <w:p w14:paraId="534D5971" w14:textId="4EBBE37C" w:rsidR="00EA3623" w:rsidRPr="00063811" w:rsidRDefault="005974CD" w:rsidP="00F256FD">
      <w:pPr>
        <w:spacing w:line="480" w:lineRule="auto"/>
        <w:ind w:firstLine="720"/>
      </w:pPr>
      <w:r w:rsidRPr="00063811">
        <w:t>ESG</w:t>
      </w:r>
      <w:r w:rsidR="00EA3623" w:rsidRPr="00063811">
        <w:t xml:space="preserve"> metrics have evolved from nascent corporate social responsibility (CSR) assessments into sophisticated data products essential to modern investment analysis. Initially reliant on company self-reporting, ESG evaluation methodologies now incorporate diverse data sources including regulatory filings, news analytics, and social media sentiment (De Giuli et al., 2024). This evolution has been accelerated by technological advancements in big data analytics and artificial intelligence, enhancing the efficiency and reliability of ESG assessments (Saxena et al., 2022).</w:t>
      </w:r>
    </w:p>
    <w:p w14:paraId="596D1C8A" w14:textId="77777777" w:rsidR="00EA3623" w:rsidRPr="00063811" w:rsidRDefault="00EA3623" w:rsidP="00F256FD">
      <w:pPr>
        <w:spacing w:line="480" w:lineRule="auto"/>
        <w:ind w:firstLine="720"/>
      </w:pPr>
      <w:r w:rsidRPr="00063811">
        <w:t>Despite these improvements, significant measurement challenges persist. Berg et al. (2022) documented substantial divergence between ESG ratings agencies evaluating the same companies, attributable to variations in measurement methodologies, categorical scope, and weighting schemes. These inconsistencies create ambiguity for investors and companies alike, reflecting the complex and context-dependent nature of ESG evaluation (Chatterji et al., 2016). Additionally, the regulatory environment has enabled greenwashing practices, where firms exaggerate their ESG commitments to enhance market perceptions without substantive action (Chen et al., 2023).</w:t>
      </w:r>
    </w:p>
    <w:p w14:paraId="17B90089" w14:textId="77777777" w:rsidR="00EA3623" w:rsidRPr="00063811" w:rsidRDefault="00EA3623" w:rsidP="006760A7">
      <w:pPr>
        <w:pStyle w:val="Heading3"/>
      </w:pPr>
      <w:r w:rsidRPr="00063811">
        <w:t>Theoretical Foundations of ESG</w:t>
      </w:r>
    </w:p>
    <w:p w14:paraId="1CE35244" w14:textId="77777777" w:rsidR="00EA3623" w:rsidRPr="00063811" w:rsidRDefault="00EA3623" w:rsidP="00F256FD">
      <w:pPr>
        <w:spacing w:line="480" w:lineRule="auto"/>
        <w:ind w:firstLine="720"/>
      </w:pPr>
      <w:r w:rsidRPr="00063811">
        <w:t>Signaling theory provides a critical framework for understanding ESG disclosures as strategic corporate communications intended to reduce information asymmetry between firms and stakeholders. Developed by Spence (1973, 2002), this theory posits that organizations signal their quality and intentions through observable actions when information asymmetry exists between information holders (firms) and receivers (stakeholders). In ESG contexts, effective signaling can enhance stakeholder trust and improve market positioning.</w:t>
      </w:r>
    </w:p>
    <w:p w14:paraId="57D7ADE1" w14:textId="77777777" w:rsidR="00EA3623" w:rsidRPr="00063811" w:rsidRDefault="00EA3623" w:rsidP="00F256FD">
      <w:pPr>
        <w:spacing w:line="480" w:lineRule="auto"/>
        <w:ind w:firstLine="720"/>
      </w:pPr>
      <w:r w:rsidRPr="00063811">
        <w:lastRenderedPageBreak/>
        <w:t>Research demonstrates that capital markets respond positively to ESG signals, particularly when firms integrate financial and ESG disclosures into unified reports (</w:t>
      </w:r>
      <w:proofErr w:type="spellStart"/>
      <w:r w:rsidRPr="00063811">
        <w:t>Mervelskemper</w:t>
      </w:r>
      <w:proofErr w:type="spellEnd"/>
      <w:r w:rsidRPr="00063811">
        <w:t xml:space="preserve"> &amp; Streit, 2017). Importantly, the effectiveness of ESG signals depends on both their novelty and quality; firms with no prior history of ESG disclosures experience significantly higher market valuations upon their first ESG report (Wang &amp; Li, 2016). However, routine disclosures may diminish signaling effectiveness if they fail to introduce new information that differentiates the company from competitors (Connelly et al., 2011; Xie et al., 2019).</w:t>
      </w:r>
    </w:p>
    <w:p w14:paraId="2AFC9D6E" w14:textId="77777777" w:rsidR="00EA3623" w:rsidRPr="00063811" w:rsidRDefault="00EA3623" w:rsidP="00F256FD">
      <w:pPr>
        <w:spacing w:line="480" w:lineRule="auto"/>
        <w:ind w:firstLine="720"/>
      </w:pPr>
      <w:r w:rsidRPr="00063811">
        <w:t xml:space="preserve">Critical Mass Theory offers insights into how board diversity affects ESG outcomes. Originally developed by </w:t>
      </w:r>
      <w:proofErr w:type="spellStart"/>
      <w:r w:rsidRPr="00063811">
        <w:t>Granovetter</w:t>
      </w:r>
      <w:proofErr w:type="spellEnd"/>
      <w:r w:rsidRPr="00063811">
        <w:t xml:space="preserve"> (1978) and Olson (1965) and later applied to corporate governance by Kanter (1977), this theory suggests that a minimum representation—typically three or more individuals from underrepresented groups—is necessary to effect meaningful change in group dynamics and decision-making.</w:t>
      </w:r>
    </w:p>
    <w:p w14:paraId="383051B0" w14:textId="77777777" w:rsidR="00EA3623" w:rsidRPr="00063811" w:rsidRDefault="00EA3623" w:rsidP="00F256FD">
      <w:pPr>
        <w:spacing w:line="480" w:lineRule="auto"/>
        <w:ind w:firstLine="720"/>
      </w:pPr>
      <w:r w:rsidRPr="00063811">
        <w:t xml:space="preserve">Empirical research strongly supports this theoretical framework in ESG contexts. Konrad et al. (2008) demonstrated that boards with three or more women exhibited improved governance and decision-making effectiveness. </w:t>
      </w:r>
      <w:proofErr w:type="spellStart"/>
      <w:r w:rsidRPr="00063811">
        <w:t>Yarram</w:t>
      </w:r>
      <w:proofErr w:type="spellEnd"/>
      <w:r w:rsidRPr="00063811">
        <w:t xml:space="preserve"> and Adapa (2021) provided further evidence in their study of ASX 300 companies, showing that minimal female representation had no significant impact on corporate social responsibility, likely due to tokenism challenges. However, when companies achieved a critical mass of three or more women directors, CSR performance significantly improved, with an effect size of 5.771 points (p &lt; 0.05).</w:t>
      </w:r>
    </w:p>
    <w:p w14:paraId="2D96C6B3" w14:textId="77777777" w:rsidR="00F9570A" w:rsidRDefault="00F9570A">
      <w:pPr>
        <w:spacing w:after="160" w:line="278" w:lineRule="auto"/>
        <w:rPr>
          <w:i/>
          <w:iCs/>
        </w:rPr>
      </w:pPr>
      <w:r>
        <w:br w:type="page"/>
      </w:r>
    </w:p>
    <w:p w14:paraId="2B537F2F" w14:textId="7F34F48D" w:rsidR="00EA3623" w:rsidRPr="00063811" w:rsidRDefault="00EA3623" w:rsidP="006760A7">
      <w:pPr>
        <w:pStyle w:val="Heading3"/>
      </w:pPr>
      <w:r w:rsidRPr="00063811">
        <w:lastRenderedPageBreak/>
        <w:t>European Union ESG Legislation: Progressive Standardization</w:t>
      </w:r>
    </w:p>
    <w:p w14:paraId="3D42E8BE" w14:textId="77777777" w:rsidR="00EA3623" w:rsidRPr="00063811" w:rsidRDefault="00EA3623" w:rsidP="00F256FD">
      <w:pPr>
        <w:spacing w:line="480" w:lineRule="auto"/>
        <w:ind w:firstLine="720"/>
      </w:pPr>
      <w:r w:rsidRPr="00063811">
        <w:t>The 2014 Non-Financial Reporting Directive (NFRD) marked the EU's first major step toward mandatory ESG disclosure, requiring large public-interest entities to report on environmental issues, social matters, human rights, anti-corruption practices, and diversity policies (Arif et al., 2022; Lombardi et al., 2022). Empirical evidence indicates this mandate substantially increased non-financial disclosure volume, particularly among firms with limited prior ESG reporting (</w:t>
      </w:r>
      <w:proofErr w:type="spellStart"/>
      <w:r w:rsidRPr="00063811">
        <w:t>Aluchna</w:t>
      </w:r>
      <w:proofErr w:type="spellEnd"/>
      <w:r w:rsidRPr="00063811">
        <w:t xml:space="preserve"> et al., 2023; </w:t>
      </w:r>
      <w:proofErr w:type="spellStart"/>
      <w:r w:rsidRPr="00063811">
        <w:t>Čufar</w:t>
      </w:r>
      <w:proofErr w:type="spellEnd"/>
      <w:r w:rsidRPr="00063811">
        <w:t xml:space="preserve"> &amp; Belak, 2024). However, inconsistent compliance across member states highlighted the limitations of the NFRD's flexible implementation approach (</w:t>
      </w:r>
      <w:proofErr w:type="spellStart"/>
      <w:r w:rsidRPr="00063811">
        <w:t>Cicchiello</w:t>
      </w:r>
      <w:proofErr w:type="spellEnd"/>
      <w:r w:rsidRPr="00063811">
        <w:t xml:space="preserve"> et al., 2023; Hao et al., 2023).</w:t>
      </w:r>
    </w:p>
    <w:p w14:paraId="4AE7A37B" w14:textId="6A83341E" w:rsidR="00EA3623" w:rsidRPr="00063811" w:rsidRDefault="00EA3623" w:rsidP="00F256FD">
      <w:pPr>
        <w:spacing w:line="480" w:lineRule="auto"/>
        <w:ind w:firstLine="720"/>
      </w:pPr>
      <w:r w:rsidRPr="00063811">
        <w:t>Addressing these shortcomings, the Corporate Sustainability Reporting Directive (CSRD) expanded both the scope and standardization of ESG reporting. The CSRD extends disclosure obligations to small and medium-sized enterprises while prescribing European Sustainability Reporting Standards (ESRS) to enhance comparability (Celli et al., 2024). Early assessments suggest the CSRD will significantly improve ESG data reliability (</w:t>
      </w:r>
      <w:proofErr w:type="spellStart"/>
      <w:r w:rsidRPr="00063811">
        <w:t>Aluchna</w:t>
      </w:r>
      <w:proofErr w:type="spellEnd"/>
      <w:r w:rsidRPr="00063811">
        <w:t xml:space="preserve"> et al., 2023; </w:t>
      </w:r>
      <w:proofErr w:type="spellStart"/>
      <w:r w:rsidRPr="00063811">
        <w:t>Cicchiello</w:t>
      </w:r>
      <w:proofErr w:type="spellEnd"/>
      <w:r w:rsidRPr="00063811">
        <w:t xml:space="preserve"> et al., 2023), though concerns remain about resource burdens on smaller firms (Ferrer et al., 2020; Lee et al., 2024).</w:t>
      </w:r>
    </w:p>
    <w:p w14:paraId="33777316" w14:textId="77777777" w:rsidR="00EA3623" w:rsidRPr="00063811" w:rsidRDefault="00EA3623" w:rsidP="00F256FD">
      <w:pPr>
        <w:spacing w:line="480" w:lineRule="auto"/>
        <w:ind w:firstLine="720"/>
      </w:pPr>
      <w:r w:rsidRPr="00063811">
        <w:t>The EU's transition from the NFRD to the CSRD exemplifies a deliberate progression toward more centralized and comprehensive ESG oversight, balancing disclosure requirements against implementation feasibility (Radu et al., 2023; Venturelli et al., 2022). This standardization approach contrasts sharply with the polarized regulatory landscape in the United States.</w:t>
      </w:r>
    </w:p>
    <w:p w14:paraId="5FE7F65D" w14:textId="77777777" w:rsidR="00F9570A" w:rsidRDefault="00F9570A">
      <w:pPr>
        <w:spacing w:after="160" w:line="278" w:lineRule="auto"/>
        <w:rPr>
          <w:i/>
          <w:iCs/>
        </w:rPr>
      </w:pPr>
      <w:r>
        <w:br w:type="page"/>
      </w:r>
    </w:p>
    <w:p w14:paraId="0886DED3" w14:textId="072635BB" w:rsidR="00EA3623" w:rsidRPr="00063811" w:rsidRDefault="00EA3623" w:rsidP="006760A7">
      <w:pPr>
        <w:pStyle w:val="Heading3"/>
      </w:pPr>
      <w:r w:rsidRPr="00063811">
        <w:lastRenderedPageBreak/>
        <w:t>United States ESG Legislation: Polarization and Fragmentation</w:t>
      </w:r>
    </w:p>
    <w:p w14:paraId="391EF13C" w14:textId="77777777" w:rsidR="00EA3623" w:rsidRPr="00063811" w:rsidRDefault="00EA3623" w:rsidP="00F256FD">
      <w:pPr>
        <w:spacing w:line="480" w:lineRule="auto"/>
        <w:ind w:firstLine="720"/>
      </w:pPr>
      <w:r w:rsidRPr="00063811">
        <w:t>In contrast to the EU's relatively unified approach, the United States presents a fragmented and increasingly polarized ESG regulatory landscape characterized by tensions between federal initiatives and state-level resistance. This fragmentation creates significant compliance challenges for corporations operating across multiple jurisdictions.</w:t>
      </w:r>
    </w:p>
    <w:p w14:paraId="0347A291" w14:textId="1B63CFEA" w:rsidR="00EA3623" w:rsidRPr="00063811" w:rsidRDefault="00EA3623" w:rsidP="006760A7">
      <w:pPr>
        <w:pStyle w:val="Heading4"/>
      </w:pPr>
      <w:r w:rsidRPr="00063811">
        <w:t>Anti-ESG State Legislation.</w:t>
      </w:r>
    </w:p>
    <w:p w14:paraId="6E34460D" w14:textId="298C5BB1" w:rsidR="00EA3623" w:rsidRPr="00063811" w:rsidRDefault="00EA3623" w:rsidP="00F256FD">
      <w:pPr>
        <w:spacing w:line="480" w:lineRule="auto"/>
        <w:ind w:firstLine="720"/>
      </w:pPr>
      <w:r w:rsidRPr="00063811">
        <w:t>State-level anti-ESG legislation has proliferated based on the perception that ESG integration threatens state economies, particularly in resource-dependent regions. Texas pioneered this movement with Senate Bill 13, which created blacklists of financial institutions deemed to boycott oil, gas, and firearms industries and prohibited state contracts with such entities</w:t>
      </w:r>
      <w:r w:rsidR="003D367B" w:rsidRPr="00063811">
        <w:t xml:space="preserve"> </w:t>
      </w:r>
      <w:r w:rsidR="003D367B" w:rsidRPr="00063811">
        <w:fldChar w:fldCharType="begin"/>
      </w:r>
      <w:r w:rsidR="003D367B" w:rsidRPr="00063811">
        <w:instrText xml:space="preserve"> ADDIN ZOTERO_ITEM CSL_CITATION {"citationID":"ZizzdN4r","properties":{"formattedCitation":"(Texas SB 13, 2021)","plainCitation":"(Texas SB 13, 2021)","noteIndex":0},"citationItems":[{"id":810,"uris":["http://zotero.org/users/13148740/items/GTFUPVFH"],"itemData":{"id":810,"type":"bill","abstract":"Texas SB 13 restricts state investments and contracts with entities that boycott energy companies.","note":"publisher: Texas State Legislature","title":"Texas SB 13","URL":"https://legiscan.com/TX/bill/SB13/2021","author":[{"literal":"Texas Legislature"}],"issued":{"date-parts":[["2021",6,14]]}}}],"schema":"https://github.com/citation-style-language/schema/raw/master/csl-citation.json"} </w:instrText>
      </w:r>
      <w:r w:rsidR="003D367B" w:rsidRPr="00063811">
        <w:fldChar w:fldCharType="separate"/>
      </w:r>
      <w:r w:rsidR="003D367B" w:rsidRPr="00063811">
        <w:t>(Texas SB 13, 2021)</w:t>
      </w:r>
      <w:r w:rsidR="003D367B" w:rsidRPr="00063811">
        <w:fldChar w:fldCharType="end"/>
      </w:r>
      <w:r w:rsidRPr="00063811">
        <w:t>. These laws produced significant economic consequences: five major banks exited the Texas municipal bond market, resulting in estimated additional borrowing costs of $300-500 million (Garrett &amp; Ivanov, 2022).</w:t>
      </w:r>
    </w:p>
    <w:p w14:paraId="66705576" w14:textId="1E719D3A" w:rsidR="00EA3623" w:rsidRPr="00063811" w:rsidRDefault="00EA3623" w:rsidP="00F256FD">
      <w:pPr>
        <w:spacing w:line="480" w:lineRule="auto"/>
        <w:ind w:firstLine="720"/>
      </w:pPr>
      <w:r w:rsidRPr="00063811">
        <w:t>Several common approaches characterize anti-ESG legislation across states. First, many states have established "sole fiduciary" frameworks mandating that state investment decisions be based exclusively on pecuniary factors. Legislation in Arkansas, Indiana</w:t>
      </w:r>
      <w:r w:rsidR="003D367B" w:rsidRPr="00063811">
        <w:t>,</w:t>
      </w:r>
      <w:r w:rsidRPr="00063811">
        <w:t xml:space="preserve"> Georgia</w:t>
      </w:r>
      <w:r w:rsidR="003D367B" w:rsidRPr="00063811">
        <w:t>,</w:t>
      </w:r>
      <w:r w:rsidRPr="00063811">
        <w:t xml:space="preserve"> and New Hampshire explicitly prohibits consideration of nonfinancial ESG criteria in pension and public fund management</w:t>
      </w:r>
      <w:r w:rsidR="003D367B" w:rsidRPr="00063811">
        <w:t xml:space="preserve"> </w:t>
      </w:r>
      <w:r w:rsidR="003D367B" w:rsidRPr="00063811">
        <w:fldChar w:fldCharType="begin"/>
      </w:r>
      <w:r w:rsidR="003D367B" w:rsidRPr="00063811">
        <w:instrText xml:space="preserve"> ADDIN ZOTERO_ITEM CSL_CITATION {"citationID":"wZ4M91n6","properties":{"formattedCitation":"(House Bill 457, 2023; Public Employee Retirement Systems: Prohibited Investments: Turkey, 2022; State Government Employee Retirement Protection Act, 2023; State Retirement and Pension System - Investment Climate Risk - Fiduciary Duties, 2022)","plainCitation":"(House Bill 457, 2023; Public Employee Retirement Systems: Prohibited Investments: Turkey, 2022; State Government Employee Retirement Protection Act, 2023; State Retirement and Pension System - Investment Climate Risk - Fiduciary Duties, 2022)","noteIndex":0},"citationItems":[{"id":957,"uris":["http://zotero.org/users/13148740/items/R36LHC2W"],"itemData":{"id":957,"type":"bill","note":"publisher-place: New Hampshire\ncontainer-title: H.B. 457, 2023 Regular Session\npublisher: New Hampshire General Court","title":"House Bill 457","URL":"https://legiscan.com/nh/text/hb457/2023","issued":{"date-parts":[["2023"]]}}},{"id":912,"uris":["http://zotero.org/users/13148740/items/NUKZB7XX"],"itemData":{"id":912,"type":"bill","note":"publisher-place: California\ncontainer-title: S.B. 1089, Chapter 541\npublisher: California State Legislature","title":"Public employee retirement systems: prohibited investments: Turkey","URL":"https://legiscan.com/ca/text/sb1089/id/2607909","issued":{"date-parts":[["2022"]]}}},{"id":860,"uris":["http://zotero.org/users/13148740/items/RIACX9W2"],"itemData":{"id":860,"type":"bill","note":"publisher-place: Arkansas\ncontainer-title: H.B. 1253, 94th General Assembly, Regular Session\npublisher: Arkansas General Assembly","title":"State Government Employee Retirement Protection Act","URL":"https://legiscan.com/ar/text/hb1253/2023","issued":{"date-parts":[["2023"]]}}},{"id":900,"uris":["http://zotero.org/users/13148740/items/F3E65X7L"],"itemData":{"id":900,"type":"bill","note":"publisher-place: Maryland\ncontainer-title: Md. Code Ann., State Pers. &amp; Pens. § 21-116.1\npublisher: Maryland General Assembly","title":"State Retirement and Pension System - Investment Climate Risk - Fiduciary Duties","URL":"https://legiscan.com/md/text/hb740/2022","issued":{"date-parts":[["2022"]]}}}],"schema":"https://github.com/citation-style-language/schema/raw/master/csl-citation.json"} </w:instrText>
      </w:r>
      <w:r w:rsidR="003D367B" w:rsidRPr="00063811">
        <w:fldChar w:fldCharType="separate"/>
      </w:r>
      <w:r w:rsidR="003D367B" w:rsidRPr="00063811">
        <w:t>(House Bill 457, 2023; Public Employee Retirement Systems: Prohibited Investments: Turkey, 2022; State Government Employee Retirement Protection Act, 2023; State Retirement and Pension System - Investment Climate Risk - Fiduciary Duties, 2022)</w:t>
      </w:r>
      <w:r w:rsidR="003D367B" w:rsidRPr="00063811">
        <w:fldChar w:fldCharType="end"/>
      </w:r>
      <w:r w:rsidRPr="00063811">
        <w:t>.</w:t>
      </w:r>
    </w:p>
    <w:p w14:paraId="7E8B80A1" w14:textId="433F6BD4" w:rsidR="00EA3623" w:rsidRPr="00063811" w:rsidRDefault="00EA3623" w:rsidP="00F256FD">
      <w:pPr>
        <w:spacing w:line="480" w:lineRule="auto"/>
        <w:ind w:firstLine="720"/>
      </w:pPr>
      <w:r w:rsidRPr="00063811">
        <w:t xml:space="preserve">Second, many states have targeted public contracting practices by requiring that companies contracting with state governments certify they do not engage in "economic boycotts" of specific industries. Bills in Alabama, Arkansas, and Utah deploy certification mechanisms to </w:t>
      </w:r>
      <w:r w:rsidRPr="00063811">
        <w:lastRenderedPageBreak/>
        <w:t>ensure state contracts are awarded only to firms that refrain from boycotting targeted industries</w:t>
      </w:r>
      <w:r w:rsidR="003D367B" w:rsidRPr="00063811">
        <w:t xml:space="preserve"> </w:t>
      </w:r>
      <w:r w:rsidR="003D367B" w:rsidRPr="00063811">
        <w:fldChar w:fldCharType="begin"/>
      </w:r>
      <w:r w:rsidR="003D367B" w:rsidRPr="00063811">
        <w:instrText xml:space="preserve"> ADDIN ZOTERO_ITEM CSL_CITATION {"citationID":"rMN0c0sO","properties":{"formattedCitation":"(Anti-ESG Act, 2023; Prohibition on Public Entities From Contracting With Companies That Boycott Energy, Fossil Fuel, Firearms, and Ammunition Industries Act, 2023; Public Contract Requirements, 2023)","plainCitation":"(Anti-ESG Act, 2023; Prohibition on Public Entities From Contracting With Companies That Boycott Energy, Fossil Fuel, Firearms, and Ammunition Industries Act, 2023; Public Contract Requirements, 2023)","noteIndex":0},"citationItems":[{"id":857,"uris":["http://zotero.org/users/13148740/items/D4ILI633"],"itemData":{"id":857,"type":"bill","note":"publisher-place: Alabama\ncontainer-title: S.B. 261, 2023 Regular Session\npublisher: Alabama Legislature","title":"Anti-ESG Act","URL":"https://legiscan.com/al/text/sb261/2023","issued":{"date-parts":[["2023"]]}}},{"id":863,"uris":["http://zotero.org/users/13148740/items/KWZRYKPS"],"itemData":{"id":863,"type":"bill","note":"publisher-place: Arkansas\ncontainer-title: S.B. 62, 94th General Assembly, Regular Session\npublisher: Arkansas General Assembly","title":"Prohibition on Public Entities From Contracting With Companies That Boycott Energy, Fossil Fuel, Firearms, and Ammunition Industries Act","URL":"https://legiscan.com/ar/text/sb62/2023","issued":{"date-parts":[["2023"]]}}},{"id":979,"uris":["http://zotero.org/users/13148740/items/Q847J8UU"],"itemData":{"id":979,"type":"bill","note":"publisher-place: Utah\ncontainer-title: S.B. 97, 2023 General Session\npublisher: Utah State Legislature","title":"Public Contract Requirements","URL":"https://legiscan.com/ut/text/sb0097/2023","issued":{"date-parts":[["2023"]]}}}],"schema":"https://github.com/citation-style-language/schema/raw/master/csl-citation.json"} </w:instrText>
      </w:r>
      <w:r w:rsidR="003D367B" w:rsidRPr="00063811">
        <w:fldChar w:fldCharType="separate"/>
      </w:r>
      <w:r w:rsidR="003D367B" w:rsidRPr="00063811">
        <w:t>(Anti-ESG Act, 2023; Prohibition on Public Entities From Contracting With Companies That Boycott Energy, Fossil Fuel, Firearms, and Ammunition Industries Act, 2023; Public Contract Requirements, 2023)</w:t>
      </w:r>
      <w:r w:rsidR="003D367B" w:rsidRPr="00063811">
        <w:fldChar w:fldCharType="end"/>
      </w:r>
      <w:r w:rsidRPr="00063811">
        <w:t>.</w:t>
      </w:r>
    </w:p>
    <w:p w14:paraId="48D2AEDA" w14:textId="4E67C456" w:rsidR="00EA3623" w:rsidRPr="00063811" w:rsidRDefault="00EA3623" w:rsidP="00F256FD">
      <w:pPr>
        <w:spacing w:line="480" w:lineRule="auto"/>
        <w:ind w:firstLine="720"/>
      </w:pPr>
      <w:r w:rsidRPr="00063811">
        <w:t xml:space="preserve">Third, some states have restricted financial services practices. Tennessee and New Hampshire have prohibited the use of "social credit scores" or non-risk-based factors in banking and insurance decisions </w:t>
      </w:r>
      <w:r w:rsidR="003D367B" w:rsidRPr="00063811">
        <w:fldChar w:fldCharType="begin"/>
      </w:r>
      <w:r w:rsidR="003D367B" w:rsidRPr="00063811">
        <w:instrText xml:space="preserve"> ADDIN ZOTERO_ITEM CSL_CITATION {"citationID":"nqyNOA4w","properties":{"formattedCitation":"(Prohibiting Banks or Businesses From Using Social Credit Scores, 2022; Tennessee Investment Act, 2023)","plainCitation":"(Prohibiting Banks or Businesses From Using Social Credit Scores, 2022; Tennessee Investment Act, 2023)","noteIndex":0},"citationItems":[{"id":956,"uris":["http://zotero.org/users/13148740/items/ZL6N35R2"],"itemData":{"id":956,"type":"bill","note":"publisher-place: New Hampshire\ncontainer-title: H.B. 1469, 2022 Regular Session\npublisher: New Hampshire General Court","title":"Prohibiting Banks or Businesses From Using Social Credit Scores","URL":"https://legiscan.com/nh/text/hb1469/id/2462053","issued":{"date-parts":[["2022"]]}}},{"id":970,"uris":["http://zotero.org/users/13148740/items/YJRQRQIN"],"itemData":{"id":970,"type":"bill","note":"publisher-place: Tennessee\ncontainer-title: Tenn. Pub. Ch. No. 471\npublisher: Tennessee General Assembly","title":"Tennessee Investment Act","URL":"https://legiscan.com/tn/text/hb1286/id/2817571","issued":{"date-parts":[["2023"]]}}}],"schema":"https://github.com/citation-style-language/schema/raw/master/csl-citation.json"} </w:instrText>
      </w:r>
      <w:r w:rsidR="003D367B" w:rsidRPr="00063811">
        <w:fldChar w:fldCharType="separate"/>
      </w:r>
      <w:r w:rsidR="003D367B" w:rsidRPr="00063811">
        <w:t>(Prohibiting Banks or Businesses From Using Social Credit Scores, 2022; Tennessee Investment Act, 2023)</w:t>
      </w:r>
      <w:r w:rsidR="003D367B" w:rsidRPr="00063811">
        <w:fldChar w:fldCharType="end"/>
      </w:r>
      <w:r w:rsidRPr="00063811">
        <w:t>. These provisions aim to prevent discrimination based on political, religious, or social attributes while ensuring strict adherence to quantitative risk assessment frameworks.</w:t>
      </w:r>
    </w:p>
    <w:p w14:paraId="558ABF87" w14:textId="77777777" w:rsidR="00EA3623" w:rsidRPr="00063811" w:rsidRDefault="00EA3623" w:rsidP="00F256FD">
      <w:pPr>
        <w:spacing w:line="480" w:lineRule="auto"/>
        <w:ind w:firstLine="720"/>
      </w:pPr>
      <w:r w:rsidRPr="00063811">
        <w:t xml:space="preserve">Despite the economic justifications offered for anti-ESG legislation, emerging evidence suggests these laws may impose significant costs. </w:t>
      </w:r>
      <w:proofErr w:type="spellStart"/>
      <w:r w:rsidRPr="00063811">
        <w:t>Econsult</w:t>
      </w:r>
      <w:proofErr w:type="spellEnd"/>
      <w:r w:rsidRPr="00063811">
        <w:t xml:space="preserve"> Solutions Inc. (2023) projected "up to $700 million in higher municipal borrowing costs in six other states" implementing legislation </w:t>
      </w:r>
      <w:proofErr w:type="gramStart"/>
      <w:r w:rsidRPr="00063811">
        <w:t>similar to</w:t>
      </w:r>
      <w:proofErr w:type="gramEnd"/>
      <w:r w:rsidRPr="00063811">
        <w:t xml:space="preserve"> Texas. In Indiana, a fiscal impact statement estimated that anti-ESG legislation "could lower pension fund returns by up to $7 billion over the next 10 years" (Legislative Services Agency, 2023).</w:t>
      </w:r>
    </w:p>
    <w:p w14:paraId="46E2922F" w14:textId="1E066225" w:rsidR="00EA3623" w:rsidRPr="00063811" w:rsidRDefault="00EA3623" w:rsidP="00F256FD">
      <w:pPr>
        <w:spacing w:line="480" w:lineRule="auto"/>
        <w:ind w:firstLine="720"/>
      </w:pPr>
      <w:r w:rsidRPr="00063811">
        <w:t>Interestingly, this political opposition contrasts with research demonstrating financial benefits of ESG integration in resource-intensive industries. Alvarez-Perez and Fuentes (2024) found that ESG disclosures by oil and gas firms signal environmental stewardship and regulatory compliance, ultimately reducing debt costs by mitigating lenders' concerns about environmental risk. Similarly, Naeem et al. (2022) demonstrated that environmentally sensitive firms with higher ESG scores tend to be more profitable and command higher market valuations</w:t>
      </w:r>
      <w:r w:rsidR="006C46E2" w:rsidRPr="00063811">
        <w:t xml:space="preserve"> after the passing of anti-ESG legislation</w:t>
      </w:r>
      <w:r w:rsidRPr="00063811">
        <w:t>.</w:t>
      </w:r>
    </w:p>
    <w:p w14:paraId="66996FD4" w14:textId="77777777" w:rsidR="00183449" w:rsidRPr="00063811" w:rsidRDefault="00183449">
      <w:pPr>
        <w:spacing w:after="160" w:line="278" w:lineRule="auto"/>
        <w:rPr>
          <w:b/>
          <w:bCs/>
        </w:rPr>
      </w:pPr>
      <w:r w:rsidRPr="00063811">
        <w:lastRenderedPageBreak/>
        <w:br w:type="page"/>
      </w:r>
    </w:p>
    <w:p w14:paraId="7D0EDD60" w14:textId="2DE28873" w:rsidR="00EA3623" w:rsidRPr="00063811" w:rsidRDefault="00EA3623" w:rsidP="006760A7">
      <w:pPr>
        <w:pStyle w:val="Heading4"/>
      </w:pPr>
      <w:r w:rsidRPr="00063811">
        <w:lastRenderedPageBreak/>
        <w:t>Pro-ESG State Legislation.</w:t>
      </w:r>
    </w:p>
    <w:p w14:paraId="513B66B9" w14:textId="6D0FE13F" w:rsidR="00EA3623" w:rsidRPr="00063811" w:rsidRDefault="00EA3623" w:rsidP="00115C88">
      <w:pPr>
        <w:spacing w:line="480" w:lineRule="auto"/>
        <w:ind w:firstLine="720"/>
      </w:pPr>
      <w:r w:rsidRPr="00063811">
        <w:t xml:space="preserve">Concurrently, several states have implemented pro-ESG legislation focused on disclosure requirements, board diversity, and sustainable investment. California has been particularly active, with SB 261 and SB 253 mandating comprehensive climate-related financial risk disclosures and greenhouse gas emissions reporting for large corporations </w:t>
      </w:r>
      <w:r w:rsidR="003D367B" w:rsidRPr="00063811">
        <w:fldChar w:fldCharType="begin"/>
      </w:r>
      <w:r w:rsidR="003D367B" w:rsidRPr="00063811">
        <w:instrText xml:space="preserve"> ADDIN ZOTERO_ITEM CSL_CITATION {"citationID":"LqFPATeD","properties":{"formattedCitation":"(Climate Corporate Data Accountability Act, 2023; Senate Bill 261, 2023)","plainCitation":"(Climate Corporate Data Accountability Act, 2023; Senate Bill 261, 2023)","noteIndex":0},"citationItems":[{"id":752,"uris":["http://zotero.org/users/13148740/items/MU86ZI2D"],"itemData":{"id":752,"type":"bill","authority":"California State Legislature","number":"Senate Bill No. 253","title":"Climate Corporate Data Accountability Act","URL":"https://leginfo.legislature.ca.gov/faces/billNavClient.xhtml?bill_id=202320240SB253","issued":{"date-parts":[["2023"]]}}},{"id":867,"uris":["http://zotero.org/users/13148740/items/FIGVYEQE"],"itemData":{"id":867,"type":"bill","note":"publisher-place: California\ncontainer-title: 2023-2024 Regular Session\npublisher: California State Legislature","title":"Senate Bill 261","URL":"https://legiscan.com/ca/text/sb261/id/2670346","issued":{"date-parts":[["2023"]]}}}],"schema":"https://github.com/citation-style-language/schema/raw/master/csl-citation.json"} </w:instrText>
      </w:r>
      <w:r w:rsidR="003D367B" w:rsidRPr="00063811">
        <w:fldChar w:fldCharType="separate"/>
      </w:r>
      <w:r w:rsidR="003D367B" w:rsidRPr="00063811">
        <w:t>(Climate Corporate Data Accountability Act, 2023; Senate Bill 261, 2023)</w:t>
      </w:r>
      <w:r w:rsidR="003D367B" w:rsidRPr="00063811">
        <w:fldChar w:fldCharType="end"/>
      </w:r>
      <w:r w:rsidRPr="00063811">
        <w:t>. Other states have leveraged ESG policy to address environmental sustainability directly. Colorado</w:t>
      </w:r>
      <w:r w:rsidR="00115C88" w:rsidRPr="00063811">
        <w:t xml:space="preserve"> </w:t>
      </w:r>
      <w:r w:rsidRPr="00063811">
        <w:t>sets ambitious greenhouse gas reduction targets across multiple sectors, while Maine's fossil fuel divestment legislation</w:t>
      </w:r>
      <w:r w:rsidR="00115C88" w:rsidRPr="00063811">
        <w:t xml:space="preserve"> </w:t>
      </w:r>
      <w:r w:rsidRPr="00063811">
        <w:t xml:space="preserve">combines divestment with proactive renewable energy development </w:t>
      </w:r>
      <w:r w:rsidR="00115C88" w:rsidRPr="00063811">
        <w:fldChar w:fldCharType="begin"/>
      </w:r>
      <w:r w:rsidR="00115C88" w:rsidRPr="00063811">
        <w:instrText xml:space="preserve"> ADDIN ZOTERO_ITEM CSL_CITATION {"citationID":"J9Ewuq6O","properties":{"formattedCitation":"(An Act To Require the State To Divest Itself of Assets Invested in the Fossil Fuel Industry, 2021; Senate Bill 16, 2023)","plainCitation":"(An Act To Require the State To Divest Itself of Assets Invested in the Fossil Fuel Industry, 2021; Senate Bill 16, 2023)","noteIndex":0},"citationItems":[{"id":898,"uris":["http://zotero.org/users/13148740/items/AZ7PW8C5"],"itemData":{"id":898,"type":"bill","note":"publisher-place: Maine\ncontainer-title: Me. Pub. L. No. 2021, ch. 231\npublisher: Maine Legislature","title":"An Act To Require the State To Divest Itself of Assets Invested in the Fossil Fuel Industry","URL":"https://legiscan.com/me/text/ld99/2021","issued":{"date-parts":[["2021"]]}}},{"id":869,"uris":["http://zotero.org/users/13148740/items/988XGA8V"],"itemData":{"id":869,"type":"bill","note":"publisher-place: Colorado\ncontainer-title: S.B. 23-016, 74th General Assembly, Regular Session\npublisher: Colorado General Assembly","title":"Senate Bill 16","URL":"https://legiscan.com/co/text/sb016/2023","issued":{"date-parts":[["2023"]]}}}],"schema":"https://github.com/citation-style-language/schema/raw/master/csl-citation.json"} </w:instrText>
      </w:r>
      <w:r w:rsidR="00115C88" w:rsidRPr="00063811">
        <w:fldChar w:fldCharType="separate"/>
      </w:r>
      <w:r w:rsidR="00115C88" w:rsidRPr="00063811">
        <w:t>(An Act To Require the State To Divest Itself of Assets Invested in the Fossil Fuel Industry, 2021; Senate Bill 16, 2023)</w:t>
      </w:r>
      <w:r w:rsidR="00115C88" w:rsidRPr="00063811">
        <w:fldChar w:fldCharType="end"/>
      </w:r>
      <w:r w:rsidRPr="00063811">
        <w:t>. Additionally, Delaware</w:t>
      </w:r>
      <w:r w:rsidR="00115C88" w:rsidRPr="00063811">
        <w:t>,</w:t>
      </w:r>
      <w:r w:rsidRPr="00063811">
        <w:t xml:space="preserve"> Maryland</w:t>
      </w:r>
      <w:r w:rsidR="00115C88" w:rsidRPr="00063811">
        <w:t>,</w:t>
      </w:r>
      <w:r w:rsidRPr="00063811">
        <w:t xml:space="preserve"> and Rhode Island  have institutionalized ESG factors in fiduciary practices for public investments and retirement systems</w:t>
      </w:r>
      <w:r w:rsidR="00115C88" w:rsidRPr="00063811">
        <w:t xml:space="preserve"> </w:t>
      </w:r>
      <w:r w:rsidR="00115C88" w:rsidRPr="00063811">
        <w:fldChar w:fldCharType="begin"/>
      </w:r>
      <w:r w:rsidR="00115C88" w:rsidRPr="00063811">
        <w:instrText xml:space="preserve"> ADDIN ZOTERO_ITEM CSL_CITATION {"citationID":"BbzAkjT4","properties":{"formattedCitation":"(An Act To Amend Title 12 Of The Delaware Code Relating To Decedents Estates And Fiduciary Relations, 2020; Rhode Island Secure Choice Retirement Savings Program Act, 2024; State Retirement and Pension System - Investment Climate Risk - Fiduciary Duties, 2022)","plainCitation":"(An Act To Amend Title 12 Of The Delaware Code Relating To Decedents Estates And Fiduciary Relations, 2020; Rhode Island Secure Choice Retirement Savings Program Act, 2024; State Retirement and Pension System - Investment Climate Risk - Fiduciary Duties, 2022)","noteIndex":0},"citationItems":[{"id":870,"uris":["http://zotero.org/users/13148740/items/ESG8E7BM"],"itemData":{"id":870,"type":"bill","note":"publisher-place: Delaware\ncontainer-title: H.B. 334, 150th General Assembly, Regular Session\npublisher: Delaware General Assembly","title":"An Act To Amend Title 12 Of The Delaware Code Relating To Decedents Estates And Fiduciary Relations","URL":"https://legiscan.com/de/text/hb334/2019","issued":{"date-parts":[["2020"]]}}},{"id":966,"uris":["http://zotero.org/users/13148740/items/AX2859MM"],"itemData":{"id":966,"type":"bill","note":"publisher-place: Rhode Island\ncontainer-title: R.I. Gen. Laws ch. 35-23\npublisher: Rhode Island General Assembly","title":"Rhode Island Secure Choice Retirement Savings Program Act","URL":"https://legiscan.com/ri/text/s2045/2024","issued":{"date-parts":[["2024"]]}}},{"id":900,"uris":["http://zotero.org/users/13148740/items/F3E65X7L"],"itemData":{"id":900,"type":"bill","note":"publisher-place: Maryland\ncontainer-title: Md. Code Ann., State Pers. &amp; Pens. § 21-116.1\npublisher: Maryland General Assembly","title":"State Retirement and Pension System - Investment Climate Risk - Fiduciary Duties","URL":"https://legiscan.com/md/text/hb740/2022","issued":{"date-parts":[["2022"]]}}}],"schema":"https://github.com/citation-style-language/schema/raw/master/csl-citation.json"} </w:instrText>
      </w:r>
      <w:r w:rsidR="00115C88" w:rsidRPr="00063811">
        <w:fldChar w:fldCharType="separate"/>
      </w:r>
      <w:r w:rsidR="00115C88" w:rsidRPr="00063811">
        <w:t>(An Act To Amend Title 12 Of The Delaware Code Relating To Decedents Estates And Fiduciary Relations, 2020; Rhode Island Secure Choice Retirement Savings Program Act, 2024; State Retirement and Pension System - Investment Climate Risk - Fiduciary Duties, 2022)</w:t>
      </w:r>
      <w:r w:rsidR="00115C88" w:rsidRPr="00063811">
        <w:fldChar w:fldCharType="end"/>
      </w:r>
      <w:r w:rsidRPr="00063811">
        <w:t>.</w:t>
      </w:r>
      <w:r w:rsidR="00115C88" w:rsidRPr="00063811">
        <w:t xml:space="preserve"> </w:t>
      </w:r>
      <w:r w:rsidRPr="00063811">
        <w:t>This bifurcated regulatory landscape creates significant challenges for corporations operating across multiple states, requiring nuanced compliance strategies tailored to each jurisdiction's requirements and restrictions.</w:t>
      </w:r>
    </w:p>
    <w:p w14:paraId="6EE0A564" w14:textId="7D3A21CD" w:rsidR="00EA3623" w:rsidRPr="00063811" w:rsidRDefault="00EA3623" w:rsidP="006760A7">
      <w:pPr>
        <w:pStyle w:val="Heading3"/>
      </w:pPr>
      <w:r w:rsidRPr="00063811">
        <w:t>Firm Determinants of ESG Performance</w:t>
      </w:r>
    </w:p>
    <w:p w14:paraId="3B35D388" w14:textId="77777777" w:rsidR="00EA3623" w:rsidRPr="00063811" w:rsidRDefault="00EA3623" w:rsidP="00F256FD">
      <w:pPr>
        <w:spacing w:line="480" w:lineRule="auto"/>
        <w:ind w:firstLine="720"/>
      </w:pPr>
      <w:r w:rsidRPr="00063811">
        <w:t xml:space="preserve">Corporate ESG performance is significantly influenced by firm-specific characteristics that shape strategic decisions, resource allocation, and reporting behaviors. Understanding these determinants is essential for accurate assessment of ESG outcomes and effective policy design (Abideen, 2023; Hendricks &amp; Singhal, 2001; </w:t>
      </w:r>
      <w:proofErr w:type="spellStart"/>
      <w:r w:rsidRPr="00063811">
        <w:t>Solakoglu</w:t>
      </w:r>
      <w:proofErr w:type="spellEnd"/>
      <w:r w:rsidRPr="00063811">
        <w:t xml:space="preserve"> &amp; Demir, 2016).</w:t>
      </w:r>
    </w:p>
    <w:p w14:paraId="425BB80C" w14:textId="77777777" w:rsidR="00183449" w:rsidRPr="00063811" w:rsidRDefault="00183449">
      <w:pPr>
        <w:spacing w:after="160" w:line="278" w:lineRule="auto"/>
        <w:rPr>
          <w:b/>
          <w:bCs/>
        </w:rPr>
      </w:pPr>
      <w:r w:rsidRPr="00063811">
        <w:br w:type="page"/>
      </w:r>
    </w:p>
    <w:p w14:paraId="1B00D8F5" w14:textId="2763FFDE" w:rsidR="00EA3623" w:rsidRPr="00063811" w:rsidRDefault="00EA3623" w:rsidP="006760A7">
      <w:pPr>
        <w:pStyle w:val="Heading4"/>
      </w:pPr>
      <w:r w:rsidRPr="00063811">
        <w:lastRenderedPageBreak/>
        <w:t>Organizational Characteristics: Size and Age</w:t>
      </w:r>
      <w:r w:rsidR="006C46E2" w:rsidRPr="00063811">
        <w:t>.</w:t>
      </w:r>
    </w:p>
    <w:p w14:paraId="0A8FEC99" w14:textId="73BCCC38" w:rsidR="00EA3623" w:rsidRPr="00063811" w:rsidRDefault="00EA3623" w:rsidP="00F256FD">
      <w:pPr>
        <w:spacing w:line="480" w:lineRule="auto"/>
        <w:ind w:firstLine="720"/>
      </w:pPr>
      <w:r w:rsidRPr="00063811">
        <w:t xml:space="preserve">Firm size and age consistently emerge as critical determinants of ESG performance (Khaled et al., 2021; Lestari &amp; </w:t>
      </w:r>
      <w:proofErr w:type="spellStart"/>
      <w:r w:rsidRPr="00063811">
        <w:t>Adhariani</w:t>
      </w:r>
      <w:proofErr w:type="spellEnd"/>
      <w:r w:rsidRPr="00063811">
        <w:t xml:space="preserve">, 2022). Larger, more established firms typically possess greater resources for sustainability investments and advanced technologies that remain inaccessible to smaller or younger counterparts (Ahmad et al., 2021; Gholami et al., 2022). This resource advantage translates into superior ESG outcomes across </w:t>
      </w:r>
      <w:r w:rsidR="005974CD" w:rsidRPr="00063811">
        <w:t>ESG</w:t>
      </w:r>
      <w:r w:rsidRPr="00063811">
        <w:t xml:space="preserve"> dimensions. Consequently, analyses that fail to control for these organizational characteristics risk misattributing ESG performance </w:t>
      </w:r>
      <w:r w:rsidR="008D5ED9" w:rsidRPr="00063811">
        <w:t>effects</w:t>
      </w:r>
      <w:r w:rsidRPr="00063811">
        <w:t xml:space="preserve"> to other factors (Wang et al., 2022).</w:t>
      </w:r>
    </w:p>
    <w:p w14:paraId="4E7468E5" w14:textId="7427DC13" w:rsidR="00EA3623" w:rsidRPr="00063811" w:rsidRDefault="00EA3623" w:rsidP="006760A7">
      <w:pPr>
        <w:pStyle w:val="Heading4"/>
      </w:pPr>
      <w:r w:rsidRPr="00063811">
        <w:t>Financial Structure and Performance</w:t>
      </w:r>
      <w:r w:rsidR="006C46E2" w:rsidRPr="00063811">
        <w:t>.</w:t>
      </w:r>
    </w:p>
    <w:p w14:paraId="62E905B0" w14:textId="77777777" w:rsidR="00EA3623" w:rsidRPr="00063811" w:rsidRDefault="00EA3623" w:rsidP="00F256FD">
      <w:pPr>
        <w:spacing w:line="480" w:lineRule="auto"/>
        <w:ind w:firstLine="720"/>
      </w:pPr>
      <w:r w:rsidRPr="00063811">
        <w:t>Financial characteristics, particularly leverage and profitability, significantly influence ESG performance. Khaled et al. (2024) identified a positive relationship between leverage and ESG outcomes across 1,202 firms in emerging markets, explained through agency theory. Highly leveraged firms often prioritize ESG reporting to demonstrate effective risk management to creditors, thereby reducing debt-associated costs. However, this relationship appears context-dependent, more pronounced in markets where transparency is critical to investor confidence (Chan et al., 2017).</w:t>
      </w:r>
    </w:p>
    <w:p w14:paraId="208C0B61" w14:textId="77777777" w:rsidR="00EA3623" w:rsidRPr="00063811" w:rsidRDefault="00EA3623" w:rsidP="00F256FD">
      <w:pPr>
        <w:spacing w:line="480" w:lineRule="auto"/>
        <w:ind w:firstLine="720"/>
      </w:pPr>
      <w:r w:rsidRPr="00063811">
        <w:t>Profitability indicators, specifically Return on Assets (ROA), consistently correlate positively with ESG performance. Firms with higher profitability generally possess enhanced capacity to invest in sustainability initiatives, creating a virtuous cycle between financial strength and ESG outcomes (Garcia &amp; Orsato, 2020; Miroshnychenko et al., 2017). Similarly, firms with higher market valuations (measured by Tobin's Q) demonstrate stronger ESG performance, reflecting market-driven incentives for sustainability investment (</w:t>
      </w:r>
      <w:proofErr w:type="spellStart"/>
      <w:r w:rsidRPr="00063811">
        <w:t>Ortas</w:t>
      </w:r>
      <w:proofErr w:type="spellEnd"/>
      <w:r w:rsidRPr="00063811">
        <w:t xml:space="preserve"> et al., 2015).</w:t>
      </w:r>
    </w:p>
    <w:p w14:paraId="65EA543F" w14:textId="77777777" w:rsidR="00E52BF7" w:rsidRPr="00063811" w:rsidRDefault="00E52BF7">
      <w:pPr>
        <w:spacing w:after="160" w:line="278" w:lineRule="auto"/>
        <w:rPr>
          <w:b/>
          <w:bCs/>
        </w:rPr>
      </w:pPr>
      <w:r w:rsidRPr="00063811">
        <w:br w:type="page"/>
      </w:r>
    </w:p>
    <w:p w14:paraId="379D44EE" w14:textId="44AE1863" w:rsidR="00EA3623" w:rsidRPr="00063811" w:rsidRDefault="00EA3623" w:rsidP="006760A7">
      <w:pPr>
        <w:pStyle w:val="Heading4"/>
      </w:pPr>
      <w:r w:rsidRPr="00063811">
        <w:lastRenderedPageBreak/>
        <w:t>Board Composition: Gender Diversity and Tenure</w:t>
      </w:r>
      <w:r w:rsidR="006C46E2" w:rsidRPr="00063811">
        <w:t>.</w:t>
      </w:r>
    </w:p>
    <w:p w14:paraId="276A3D3F" w14:textId="29E28160" w:rsidR="00EA3623" w:rsidRPr="00063811" w:rsidRDefault="00EA3623" w:rsidP="008612B7">
      <w:pPr>
        <w:spacing w:line="480" w:lineRule="auto"/>
        <w:ind w:firstLine="720"/>
      </w:pPr>
      <w:r w:rsidRPr="00063811">
        <w:t>Board gender diversity increasingly emerges as a significant determinant of ESG performance. Gender-diverse boards exhibit less groupthink, enabling more comprehensive evaluation of ESG-related risks and opportunities (Cambrea et al., 2023). Recent studies demonstrate positive relationships between board gender diversity and ESG outcomes across various regions, including the United States, China, and Taiwan (Chang et al., 2024; Shakil et al., 2021; Xiaomei et al., 2021). However, relationship strength varies geographically, influenced by regional gender parity norms and governance practices (</w:t>
      </w:r>
      <w:proofErr w:type="spellStart"/>
      <w:r w:rsidRPr="00063811">
        <w:t>AlJanadi</w:t>
      </w:r>
      <w:proofErr w:type="spellEnd"/>
      <w:r w:rsidRPr="00063811">
        <w:t>, 2025; Wu et al., 2022).</w:t>
      </w:r>
    </w:p>
    <w:p w14:paraId="1CE0D1F2" w14:textId="3075ADEA" w:rsidR="001621B4" w:rsidRPr="00063811" w:rsidRDefault="00EA3623" w:rsidP="00A7695F">
      <w:pPr>
        <w:spacing w:line="480" w:lineRule="auto"/>
        <w:ind w:firstLine="720"/>
      </w:pPr>
      <w:r w:rsidRPr="00063811">
        <w:t xml:space="preserve">Board tenure presents more complex implications for ESG performance. Studies by Cremona and </w:t>
      </w:r>
      <w:proofErr w:type="spellStart"/>
      <w:r w:rsidRPr="00063811">
        <w:t>Passador</w:t>
      </w:r>
      <w:proofErr w:type="spellEnd"/>
      <w:r w:rsidRPr="00063811">
        <w:t xml:space="preserve"> (2019) and Andreassen and Bukhari (2024) confirm positive correlations between tenure length and improved environmental and social outcomes. Conversely, extended tenure is also associated with heightened risk aversion (Beasley, 1996; </w:t>
      </w:r>
      <w:proofErr w:type="spellStart"/>
      <w:r w:rsidRPr="00063811">
        <w:t>Katmon</w:t>
      </w:r>
      <w:proofErr w:type="spellEnd"/>
      <w:r w:rsidRPr="00063811">
        <w:t xml:space="preserve"> et al., 2019), increased informal industry connections, and diminished oversight objectivity (Sharma &amp; Iselin, 2012). This duality suggests optimal ESG performance requires balancing experience utilization against preventing governance complacency</w:t>
      </w:r>
      <w:r w:rsidR="00F9570A">
        <w:t>.</w:t>
      </w:r>
    </w:p>
    <w:p w14:paraId="6925D98D" w14:textId="4A351D0D" w:rsidR="00870FFE" w:rsidRPr="00063811" w:rsidRDefault="00C01DB2" w:rsidP="006760A7">
      <w:pPr>
        <w:pStyle w:val="Heading2"/>
      </w:pPr>
      <w:bookmarkStart w:id="31" w:name="_Toc193977950"/>
      <w:r w:rsidRPr="00063811">
        <w:t>Data</w:t>
      </w:r>
      <w:bookmarkEnd w:id="31"/>
    </w:p>
    <w:p w14:paraId="711B0CF4" w14:textId="476FA638" w:rsidR="009A3B35" w:rsidRPr="00063811" w:rsidRDefault="00E258DF" w:rsidP="00F256FD">
      <w:pPr>
        <w:spacing w:line="480" w:lineRule="auto"/>
        <w:ind w:firstLine="720"/>
      </w:pPr>
      <w:r w:rsidRPr="00063811">
        <w:t>This study examines the relationship between state-level ESG legislation and corporate sustainability practices using a comprehensive dataset of publicly traded U.S. firms from 2019 to 2024. The final sample comprises 12,938 firm-year observations from 2,938 unique companies operating in sectors directly affected by ESG regulatory interventions</w:t>
      </w:r>
      <w:r w:rsidR="009A3B35" w:rsidRPr="00063811">
        <w:t>.</w:t>
      </w:r>
    </w:p>
    <w:p w14:paraId="0674AA18" w14:textId="77777777" w:rsidR="00E52BF7" w:rsidRPr="00063811" w:rsidRDefault="00E52BF7">
      <w:pPr>
        <w:spacing w:after="160" w:line="278" w:lineRule="auto"/>
        <w:rPr>
          <w:b/>
          <w:bCs/>
          <w:i/>
          <w:iCs/>
        </w:rPr>
      </w:pPr>
      <w:r w:rsidRPr="00063811">
        <w:br w:type="page"/>
      </w:r>
    </w:p>
    <w:p w14:paraId="0DE5A429" w14:textId="588521F5" w:rsidR="00C77712" w:rsidRPr="00063811" w:rsidRDefault="00E258DF" w:rsidP="006760A7">
      <w:pPr>
        <w:pStyle w:val="Heading3"/>
      </w:pPr>
      <w:r w:rsidRPr="00063811">
        <w:lastRenderedPageBreak/>
        <w:t>ESG Data</w:t>
      </w:r>
    </w:p>
    <w:p w14:paraId="41BA301B" w14:textId="08D0E68F" w:rsidR="00CF10EF" w:rsidRPr="00063811" w:rsidRDefault="00CF10EF" w:rsidP="00F256FD">
      <w:pPr>
        <w:spacing w:line="480" w:lineRule="auto"/>
        <w:ind w:firstLine="720"/>
      </w:pPr>
      <w:r w:rsidRPr="00063811">
        <w:t xml:space="preserve">This study employs S&amp;P </w:t>
      </w:r>
      <w:proofErr w:type="spellStart"/>
      <w:r w:rsidRPr="00063811">
        <w:t>Global's</w:t>
      </w:r>
      <w:proofErr w:type="spellEnd"/>
      <w:r w:rsidRPr="00063811">
        <w:t xml:space="preserve"> Corporate Sustainability Assessment (CSA) data for firm-level ESG performance. S&amp;P Global calculates these scores using approximately 130 industry-specific questions supported by up to 1,000 data points. The CSA scoring framework awards weighted points based on three dimensions: preparedness (policy quality), transparency (disclosure), and performance (quantitative metrics). For non-participating companies, S&amp;P Global analysts generate scores using publicly available information. S&amp;P Global calculates the ESG indices using the following specifications: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55"/>
        <w:gridCol w:w="900"/>
      </w:tblGrid>
      <w:tr w:rsidR="00CF10EF" w:rsidRPr="00063811" w14:paraId="08A4E1CC" w14:textId="77777777" w:rsidTr="00755CD4">
        <w:trPr>
          <w:trHeight w:val="288"/>
          <w:jc w:val="center"/>
        </w:trPr>
        <w:tc>
          <w:tcPr>
            <w:tcW w:w="5755" w:type="dxa"/>
            <w:vAlign w:val="center"/>
          </w:tcPr>
          <w:p w14:paraId="10BB1766" w14:textId="66731C39" w:rsidR="00CF10EF" w:rsidRPr="00063811" w:rsidRDefault="00000000" w:rsidP="00F256FD">
            <w:pPr>
              <w:spacing w:line="480" w:lineRule="auto"/>
              <w:jc w:val="center"/>
            </w:pPr>
            <m:oMathPara>
              <m:oMathParaPr>
                <m:jc m:val="center"/>
              </m:oMathPara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it=</m:t>
                    </m:r>
                    <m:nary>
                      <m:naryPr>
                        <m:chr m:val="∑"/>
                        <m:limLoc m:val="undOvr"/>
                        <m:subHide m:val="1"/>
                        <m:supHide m:val="1"/>
                        <m:ctrlPr>
                          <w:rPr>
                            <w:rFonts w:ascii="Cambria Math" w:hAnsi="Cambria Math"/>
                            <w:i/>
                            <w:sz w:val="24"/>
                            <w:szCs w:val="24"/>
                          </w:rPr>
                        </m:ctrlPr>
                      </m:naryPr>
                      <m:sub/>
                      <m:sup/>
                      <m:e>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SPQT×SPQW</m:t>
                            </m:r>
                          </m:e>
                        </m:d>
                        <m:r>
                          <w:rPr>
                            <w:rFonts w:ascii="Cambria Math" w:hAnsi="Cambria Math"/>
                            <w:sz w:val="24"/>
                            <w:szCs w:val="24"/>
                          </w:rPr>
                          <m:t>×SPCW</m:t>
                        </m:r>
                      </m:e>
                    </m:nary>
                    <m:r>
                      <w:rPr>
                        <w:rFonts w:ascii="Cambria Math" w:hAnsi="Cambria Math"/>
                        <w:sz w:val="24"/>
                        <w:szCs w:val="24"/>
                      </w:rPr>
                      <m:t>)×SPDW</m:t>
                    </m:r>
                  </m:sub>
                </m:sSub>
              </m:oMath>
            </m:oMathPara>
          </w:p>
        </w:tc>
        <w:tc>
          <w:tcPr>
            <w:tcW w:w="900" w:type="dxa"/>
            <w:vAlign w:val="center"/>
          </w:tcPr>
          <w:p w14:paraId="747D5EA5" w14:textId="7CCD4F45" w:rsidR="00CF10EF" w:rsidRPr="00063811" w:rsidRDefault="00CF10EF" w:rsidP="00F256FD">
            <w:pPr>
              <w:pStyle w:val="ListParagraph"/>
              <w:numPr>
                <w:ilvl w:val="0"/>
                <w:numId w:val="13"/>
              </w:numPr>
              <w:spacing w:line="480" w:lineRule="auto"/>
              <w:jc w:val="center"/>
            </w:pPr>
          </w:p>
        </w:tc>
      </w:tr>
    </w:tbl>
    <w:p w14:paraId="7D5AA1B6" w14:textId="7C6065A7" w:rsidR="00311A3A" w:rsidRPr="00063811" w:rsidRDefault="00CF10EF" w:rsidP="00F256FD">
      <w:pPr>
        <w:spacing w:line="480" w:lineRule="auto"/>
      </w:pPr>
      <w:r w:rsidRPr="00063811">
        <w:t xml:space="preserve">Where </w:t>
      </w:r>
      <m:oMath>
        <m:sSub>
          <m:sSubPr>
            <m:ctrlPr>
              <w:rPr>
                <w:rFonts w:ascii="Cambria Math" w:hAnsi="Cambria Math"/>
                <w:i/>
              </w:rPr>
            </m:ctrlPr>
          </m:sSubPr>
          <m:e>
            <m:r>
              <w:rPr>
                <w:rFonts w:ascii="Cambria Math" w:hAnsi="Cambria Math"/>
              </w:rPr>
              <m:t>Y</m:t>
            </m:r>
          </m:e>
          <m:sub>
            <m:r>
              <w:rPr>
                <w:rFonts w:ascii="Cambria Math" w:hAnsi="Cambria Math"/>
              </w:rPr>
              <m:t>it</m:t>
            </m:r>
          </m:sub>
        </m:sSub>
      </m:oMath>
      <w:r w:rsidRPr="00063811">
        <w:t xml:space="preserve"> is the environmental index score, social index score, or overall index score of a firm. </w:t>
      </w:r>
      <w:r w:rsidRPr="00063811">
        <w:rPr>
          <w:i/>
          <w:iCs/>
        </w:rPr>
        <w:t>SPQP</w:t>
      </w:r>
      <w:r w:rsidRPr="00063811">
        <w:t xml:space="preserve"> represents question-level performance, </w:t>
      </w:r>
      <w:r w:rsidRPr="00063811">
        <w:rPr>
          <w:i/>
          <w:iCs/>
        </w:rPr>
        <w:t>SPQW</w:t>
      </w:r>
      <w:r w:rsidRPr="00063811">
        <w:t xml:space="preserve"> denotes question weights, </w:t>
      </w:r>
      <w:r w:rsidRPr="00063811">
        <w:rPr>
          <w:i/>
          <w:iCs/>
        </w:rPr>
        <w:t xml:space="preserve">SPCW </w:t>
      </w:r>
      <w:r w:rsidRPr="00063811">
        <w:t xml:space="preserve">indicates criteria weights, and </w:t>
      </w:r>
      <w:r w:rsidRPr="00063811">
        <w:rPr>
          <w:i/>
          <w:iCs/>
        </w:rPr>
        <w:t>SPDW</w:t>
      </w:r>
      <w:r w:rsidRPr="00063811">
        <w:t xml:space="preserve"> signifies dimension weights. These proprietary weights are tailored by industry, assigning greater importance to criteria deemed most relevant for each sub-industry. Per communications with S&amp;P, the weighting information is not accessible for </w:t>
      </w:r>
      <w:r w:rsidR="00311A3A" w:rsidRPr="00063811">
        <w:t xml:space="preserve">data subscribers such as me. </w:t>
      </w:r>
    </w:p>
    <w:p w14:paraId="44275B12" w14:textId="18FE8CA2" w:rsidR="005170D1" w:rsidRPr="00063811" w:rsidRDefault="00311A3A" w:rsidP="00F256FD">
      <w:pPr>
        <w:spacing w:line="480" w:lineRule="auto"/>
      </w:pPr>
      <w:r w:rsidRPr="00063811">
        <w:tab/>
        <w:t xml:space="preserve">Next, this study collects board gender diversity and board tenure data from S&amp;P global. As part of the CSA questionnaire that S&amp;P administers annually, firm are asked via questions 1.2.5 and 1.2.7 what the firms board gender diversity and average tenure is </w:t>
      </w:r>
      <w:r w:rsidRPr="00063811">
        <w:fldChar w:fldCharType="begin"/>
      </w:r>
      <w:r w:rsidR="009A07DF" w:rsidRPr="00063811">
        <w:instrText xml:space="preserve"> ADDIN ZOTERO_ITEM CSL_CITATION {"citationID":"y8othJIV","properties":{"formattedCitation":"(S&amp;P Global, 2024a, pp. 16\\uc0\\u8211{}19)","plainCitation":"(S&amp;P Global, 2024a, pp. 16–19)","noteIndex":0},"citationItems":[{"id":989,"uris":["http://zotero.org/users/13148740/items/6M6GD6SC"],"itemData":{"id":989,"type":"report","publisher":"S&amp;P Global","title":"CSA 2024 sample questionnaire","URL":"https://web.archive.org/web/20250306193812/https://portal.s1.spglobal.com/survey/documents/CSA_2024_Sample_Questionnaire_BNK.pdf","author":[{"literal":"S&amp;P Global"}],"issued":{"date-parts":[["2024"]]}},"locator":"16-19","label":"page"}],"schema":"https://github.com/citation-style-language/schema/raw/master/csl-citation.json"} </w:instrText>
      </w:r>
      <w:r w:rsidRPr="00063811">
        <w:fldChar w:fldCharType="separate"/>
      </w:r>
      <w:r w:rsidRPr="00063811">
        <w:t>(S&amp;P Global, 2024a, pp. 16–19)</w:t>
      </w:r>
      <w:r w:rsidRPr="00063811">
        <w:fldChar w:fldCharType="end"/>
      </w:r>
      <w:r w:rsidRPr="00063811">
        <w:t xml:space="preserve">. </w:t>
      </w:r>
      <w:r w:rsidR="00DA457C" w:rsidRPr="00063811">
        <w:t xml:space="preserve">Like the ESG index scores, S&amp;P Global weights the gender diversity and tenure information using subjective measures of preparedness, transparency, and performance. S&amp;P </w:t>
      </w:r>
      <w:proofErr w:type="spellStart"/>
      <w:r w:rsidR="00DA457C" w:rsidRPr="00063811">
        <w:t>Global's</w:t>
      </w:r>
      <w:proofErr w:type="spellEnd"/>
      <w:r w:rsidR="00DA457C" w:rsidRPr="00063811">
        <w:t xml:space="preserve"> analysts calculate these metrics through the following formulas:</w:t>
      </w:r>
      <w:r w:rsidR="00ED4804" w:rsidRPr="00063811">
        <w:t xml:space="preserve"> </w:t>
      </w:r>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50"/>
        <w:gridCol w:w="4585"/>
        <w:gridCol w:w="1175"/>
      </w:tblGrid>
      <w:tr w:rsidR="00DA457C" w:rsidRPr="00063811" w14:paraId="35F10C96" w14:textId="0D7FE91D" w:rsidTr="00755CD4">
        <w:trPr>
          <w:trHeight w:val="576"/>
          <w:jc w:val="center"/>
        </w:trPr>
        <w:tc>
          <w:tcPr>
            <w:tcW w:w="3150" w:type="dxa"/>
            <w:vAlign w:val="center"/>
            <w:hideMark/>
          </w:tcPr>
          <w:p w14:paraId="3D457D16" w14:textId="6233C0BD" w:rsidR="00DA457C" w:rsidRPr="008612B7" w:rsidRDefault="00DA457C" w:rsidP="00F256FD">
            <w:pPr>
              <w:jc w:val="center"/>
              <w:rPr>
                <w:sz w:val="20"/>
                <w:szCs w:val="20"/>
              </w:rPr>
            </w:pPr>
            <w:r w:rsidRPr="008612B7">
              <w:rPr>
                <w:sz w:val="20"/>
                <w:szCs w:val="20"/>
              </w:rPr>
              <w:t>Board Gender Diversity Index Score</w:t>
            </w:r>
          </w:p>
        </w:tc>
        <w:tc>
          <w:tcPr>
            <w:tcW w:w="4585" w:type="dxa"/>
            <w:vAlign w:val="center"/>
            <w:hideMark/>
          </w:tcPr>
          <w:p w14:paraId="2DDC9A39" w14:textId="0CB66646" w:rsidR="00DA457C" w:rsidRPr="008612B7" w:rsidRDefault="00000000" w:rsidP="00F256FD">
            <w:pPr>
              <w:jc w:val="center"/>
              <w:rPr>
                <w:sz w:val="20"/>
                <w:szCs w:val="20"/>
              </w:rPr>
            </w:pPr>
            <m:oMathPara>
              <m:oMathParaPr>
                <m:jc m:val="center"/>
              </m:oMathParaPr>
              <m:oMath>
                <m:f>
                  <m:fPr>
                    <m:ctrlPr>
                      <w:rPr>
                        <w:rFonts w:ascii="Cambria Math" w:hAnsi="Cambria Math"/>
                        <w:sz w:val="20"/>
                        <w:szCs w:val="20"/>
                      </w:rPr>
                    </m:ctrlPr>
                  </m:fPr>
                  <m:num>
                    <m:r>
                      <w:rPr>
                        <w:rFonts w:ascii="Cambria Math" w:hAnsi="Cambria Math"/>
                        <w:sz w:val="20"/>
                        <w:szCs w:val="20"/>
                      </w:rPr>
                      <m:t># Women</m:t>
                    </m:r>
                  </m:num>
                  <m:den>
                    <m:r>
                      <w:rPr>
                        <w:rFonts w:ascii="Cambria Math" w:hAnsi="Cambria Math"/>
                        <w:sz w:val="20"/>
                        <w:szCs w:val="20"/>
                      </w:rPr>
                      <m:t># Board Members</m:t>
                    </m:r>
                  </m:den>
                </m:f>
                <m:r>
                  <w:rPr>
                    <w:rFonts w:ascii="Cambria Math" w:hAnsi="Cambria Math"/>
                    <w:sz w:val="20"/>
                    <w:szCs w:val="20"/>
                  </w:rPr>
                  <m:t>×SPQW</m:t>
                </m:r>
              </m:oMath>
            </m:oMathPara>
          </w:p>
        </w:tc>
        <w:tc>
          <w:tcPr>
            <w:tcW w:w="1175" w:type="dxa"/>
            <w:vAlign w:val="center"/>
          </w:tcPr>
          <w:p w14:paraId="7F1EC35D" w14:textId="4DE7F1D7" w:rsidR="00DA457C" w:rsidRPr="008612B7" w:rsidRDefault="00DA457C" w:rsidP="00F256FD">
            <w:pPr>
              <w:pStyle w:val="ListParagraph"/>
              <w:numPr>
                <w:ilvl w:val="0"/>
                <w:numId w:val="13"/>
              </w:numPr>
              <w:jc w:val="center"/>
              <w:rPr>
                <w:sz w:val="20"/>
                <w:szCs w:val="20"/>
              </w:rPr>
            </w:pPr>
          </w:p>
        </w:tc>
      </w:tr>
      <w:tr w:rsidR="00DA457C" w:rsidRPr="00063811" w14:paraId="29A551B2" w14:textId="5A39D213" w:rsidTr="00755CD4">
        <w:trPr>
          <w:trHeight w:val="576"/>
          <w:jc w:val="center"/>
        </w:trPr>
        <w:tc>
          <w:tcPr>
            <w:tcW w:w="3150" w:type="dxa"/>
            <w:vAlign w:val="center"/>
            <w:hideMark/>
          </w:tcPr>
          <w:p w14:paraId="7B7C94AE" w14:textId="4F995CF9" w:rsidR="00DA457C" w:rsidRPr="008612B7" w:rsidRDefault="00DA457C" w:rsidP="00F256FD">
            <w:pPr>
              <w:jc w:val="center"/>
              <w:rPr>
                <w:sz w:val="20"/>
                <w:szCs w:val="20"/>
              </w:rPr>
            </w:pPr>
            <w:r w:rsidRPr="008612B7">
              <w:rPr>
                <w:sz w:val="20"/>
                <w:szCs w:val="20"/>
              </w:rPr>
              <w:t>Board Tenure Index Score</w:t>
            </w:r>
          </w:p>
        </w:tc>
        <w:tc>
          <w:tcPr>
            <w:tcW w:w="4585" w:type="dxa"/>
            <w:vAlign w:val="center"/>
            <w:hideMark/>
          </w:tcPr>
          <w:p w14:paraId="7560CE45" w14:textId="1BF5C59B" w:rsidR="00DA457C" w:rsidRPr="008612B7" w:rsidRDefault="00DA457C" w:rsidP="00F256FD">
            <w:pPr>
              <w:jc w:val="center"/>
              <w:rPr>
                <w:sz w:val="20"/>
                <w:szCs w:val="20"/>
              </w:rPr>
            </w:pPr>
            <m:oMathPara>
              <m:oMathParaPr>
                <m:jc m:val="center"/>
              </m:oMathParaPr>
              <m:oMath>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Current</m:t>
                    </m:r>
                    <m:r>
                      <m:rPr>
                        <m:sty m:val="p"/>
                      </m:rPr>
                      <w:rPr>
                        <w:rFonts w:ascii="Cambria Math" w:hAnsi="Cambria Math"/>
                        <w:sz w:val="20"/>
                        <w:szCs w:val="20"/>
                      </w:rPr>
                      <m:t> </m:t>
                    </m:r>
                    <m:r>
                      <w:rPr>
                        <w:rFonts w:ascii="Cambria Math" w:hAnsi="Cambria Math"/>
                        <w:sz w:val="20"/>
                        <w:szCs w:val="20"/>
                      </w:rPr>
                      <m:t>Year-Appointment</m:t>
                    </m:r>
                    <m:r>
                      <m:rPr>
                        <m:sty m:val="p"/>
                      </m:rPr>
                      <w:rPr>
                        <w:rFonts w:ascii="Cambria Math" w:hAnsi="Cambria Math"/>
                        <w:sz w:val="20"/>
                        <w:szCs w:val="20"/>
                      </w:rPr>
                      <m:t> </m:t>
                    </m:r>
                    <m:r>
                      <w:rPr>
                        <w:rFonts w:ascii="Cambria Math" w:hAnsi="Cambria Math"/>
                        <w:sz w:val="20"/>
                        <w:szCs w:val="20"/>
                      </w:rPr>
                      <m:t>Year</m:t>
                    </m:r>
                  </m:num>
                  <m:den>
                    <m:r>
                      <w:rPr>
                        <w:rFonts w:ascii="Cambria Math" w:hAnsi="Cambria Math"/>
                        <w:sz w:val="20"/>
                        <w:szCs w:val="20"/>
                      </w:rPr>
                      <m:t>Number of Directors</m:t>
                    </m:r>
                  </m:den>
                </m:f>
                <m:r>
                  <w:rPr>
                    <w:rFonts w:ascii="Cambria Math" w:hAnsi="Cambria Math"/>
                    <w:sz w:val="20"/>
                    <w:szCs w:val="20"/>
                  </w:rPr>
                  <m:t>×SPQW</m:t>
                </m:r>
              </m:oMath>
            </m:oMathPara>
          </w:p>
        </w:tc>
        <w:tc>
          <w:tcPr>
            <w:tcW w:w="1175" w:type="dxa"/>
            <w:vAlign w:val="center"/>
          </w:tcPr>
          <w:p w14:paraId="773D1683" w14:textId="65E9CE59" w:rsidR="00DA457C" w:rsidRPr="008612B7" w:rsidRDefault="00DA457C" w:rsidP="00F256FD">
            <w:pPr>
              <w:pStyle w:val="ListParagraph"/>
              <w:numPr>
                <w:ilvl w:val="0"/>
                <w:numId w:val="13"/>
              </w:numPr>
              <w:jc w:val="center"/>
              <w:rPr>
                <w:sz w:val="20"/>
                <w:szCs w:val="20"/>
              </w:rPr>
            </w:pPr>
          </w:p>
        </w:tc>
      </w:tr>
    </w:tbl>
    <w:p w14:paraId="4C523CAC" w14:textId="77777777" w:rsidR="00B46283" w:rsidRPr="00063811" w:rsidRDefault="00DA457C" w:rsidP="00F256FD">
      <w:pPr>
        <w:spacing w:line="480" w:lineRule="auto"/>
      </w:pPr>
      <w:r w:rsidRPr="00063811">
        <w:lastRenderedPageBreak/>
        <w:t xml:space="preserve">Where SPQW represents S&amp;P's quality weighting factor that accounts for the subjective assessment measures. </w:t>
      </w:r>
    </w:p>
    <w:p w14:paraId="3339FD5C" w14:textId="06F96FAE" w:rsidR="00C602D7" w:rsidRPr="00063811" w:rsidRDefault="000834EF" w:rsidP="00F256FD">
      <w:pPr>
        <w:spacing w:line="480" w:lineRule="auto"/>
        <w:ind w:firstLine="720"/>
      </w:pPr>
      <w:r w:rsidRPr="00063811">
        <w:t xml:space="preserve">The ESG dataset was cleaned to ensure the integrity and relevance of the data included in the final analysis. Initial data cleaning involved filtering out any observations where the ESG score type was categorized as "Raw," as these values represent unprocessed figures that could introduce noise into the analysis. Additionally, entries with missing unique firm identifiers were removed to maintain consistency when merging datasets. The dataset was then refined to include only key variables such as institution identification, firm </w:t>
      </w:r>
      <w:proofErr w:type="spellStart"/>
      <w:r w:rsidRPr="00063811">
        <w:t>gvkey</w:t>
      </w:r>
      <w:proofErr w:type="spellEnd"/>
      <w:r w:rsidRPr="00063811">
        <w:t xml:space="preserve">, firm name, assessment year, country and state of incorporation, and firm founding year. Any non-numeric values were coerced into missing values to prevent computational errors. Instances of controversy can trigger a CSA </w:t>
      </w:r>
      <w:r w:rsidR="008F30CB" w:rsidRPr="00063811">
        <w:t>re</w:t>
      </w:r>
      <w:r w:rsidRPr="00063811">
        <w:t>assessment; thus, some firms have multiple ESG reporting for a given year. The approach of this study was to</w:t>
      </w:r>
      <w:r w:rsidR="008F30CB" w:rsidRPr="00063811">
        <w:t xml:space="preserve"> average out index scores where </w:t>
      </w:r>
      <w:r w:rsidRPr="00063811">
        <w:t xml:space="preserve">firms </w:t>
      </w:r>
      <w:r w:rsidR="008F30CB" w:rsidRPr="00063811">
        <w:t>have index</w:t>
      </w:r>
      <w:r w:rsidRPr="00063811">
        <w:t xml:space="preserve"> values </w:t>
      </w:r>
      <w:proofErr w:type="gramStart"/>
      <w:r w:rsidRPr="00063811">
        <w:t>in a given year</w:t>
      </w:r>
      <w:proofErr w:type="gramEnd"/>
      <w:r w:rsidR="008F30CB" w:rsidRPr="00063811">
        <w:t xml:space="preserve"> due to reassessment</w:t>
      </w:r>
      <w:r w:rsidRPr="00063811">
        <w:t>.</w:t>
      </w:r>
    </w:p>
    <w:p w14:paraId="498E08E9" w14:textId="158AA9C2" w:rsidR="00BC2995" w:rsidRPr="00063811" w:rsidRDefault="00BC2995" w:rsidP="006760A7">
      <w:pPr>
        <w:pStyle w:val="Heading3"/>
      </w:pPr>
      <w:r w:rsidRPr="00063811">
        <w:t>Firm Data</w:t>
      </w:r>
    </w:p>
    <w:p w14:paraId="293BF2BD" w14:textId="5B5998E3" w:rsidR="00F708B5" w:rsidRPr="00063811" w:rsidRDefault="00F708B5" w:rsidP="00F256FD">
      <w:pPr>
        <w:spacing w:line="480" w:lineRule="auto"/>
        <w:ind w:firstLine="720"/>
      </w:pPr>
      <w:r w:rsidRPr="00063811">
        <w:t xml:space="preserve">To isolate the effects of my independent variables on ESG performance, I include a comprehensive set of firm-level control variables that prior literature has established as significant determinants of corporate sustainability practices (see table </w:t>
      </w:r>
      <w:r w:rsidR="00A153D7" w:rsidRPr="00063811">
        <w:t>3</w:t>
      </w:r>
      <w:r w:rsidRPr="00063811">
        <w:t>).</w:t>
      </w:r>
    </w:p>
    <w:p w14:paraId="1A65AF6E" w14:textId="3C768EC9" w:rsidR="00B46283" w:rsidRPr="00063811" w:rsidRDefault="00B46283" w:rsidP="00F256FD">
      <w:pPr>
        <w:spacing w:line="480" w:lineRule="auto"/>
        <w:ind w:firstLine="720"/>
        <w:contextualSpacing/>
      </w:pPr>
      <w:r w:rsidRPr="00063811">
        <w:t xml:space="preserve">Firm Size is measured as the natural logarithm of total assets, consistent with established practice in the corporate sustainability literature (Khaled et al., 2021; Lestari &amp; </w:t>
      </w:r>
      <w:proofErr w:type="spellStart"/>
      <w:r w:rsidRPr="00063811">
        <w:t>Adhariani</w:t>
      </w:r>
      <w:proofErr w:type="spellEnd"/>
      <w:r w:rsidRPr="00063811">
        <w:t xml:space="preserve">, 2022). This logarithmic transformation addresses the right-skewed distribution of firm asset values and ensures the variable meets regression assumptions. The literature consistently indicates that larger firms demonstrate superior ESG performance due to greater resource availability, </w:t>
      </w:r>
      <w:r w:rsidRPr="00063811">
        <w:lastRenderedPageBreak/>
        <w:t>heightened public scrutiny, and economies of scale in implementing sustainability initiatives (Ahmad et al., 2021; Wang et al., 2022).</w:t>
      </w:r>
    </w:p>
    <w:p w14:paraId="4A07DD56" w14:textId="522FAF6D" w:rsidR="00B46283" w:rsidRPr="00063811" w:rsidRDefault="00B46283" w:rsidP="00F256FD">
      <w:pPr>
        <w:spacing w:line="480" w:lineRule="auto"/>
        <w:ind w:firstLine="720"/>
        <w:contextualSpacing/>
      </w:pPr>
      <w:r w:rsidRPr="00063811">
        <w:t>Firm Age is calculated as the number of years since a firm's incorporation date until the observation year. This approach aligns with methodologies employed by Gholami et al. (2022) and Kim &amp; Li (2021). More established firms typically exhibit more developed sustainability frameworks, as they have had sufficient time to institutionalize ESG practices and respond to evolving stakeholder pressures (Shu &amp; Tan, 2023).</w:t>
      </w:r>
    </w:p>
    <w:p w14:paraId="6BBA74CF" w14:textId="2B7B3410" w:rsidR="00B46283" w:rsidRPr="00063811" w:rsidRDefault="00B46283" w:rsidP="00F256FD">
      <w:pPr>
        <w:spacing w:line="480" w:lineRule="auto"/>
        <w:ind w:firstLine="720"/>
        <w:contextualSpacing/>
      </w:pPr>
      <w:r w:rsidRPr="00063811">
        <w:t>Leverage is operationalized as the ratio of total debt (sum of long-term debt and short-term debt) to total shareholders' equity. This measure captures a firm's financial risk exposure and capital structure decisions. The relationship between leverage and ESG performance exhibits contextual variation in the literature: while Khaled et al. (2024) documented a positive relationship in emerging markets attributed to agency theory mechanisms, others have identified negative associations with certain ESG dimensions (Barnea &amp; Rubin, 2010; Yan et al., 2022). Environmental performance specifically tends to demonstrate a positive relationship with leverage (Sulaiman et al., 2014; Clarkson et al., 2008), potentially reflecting strategic legitimacy-seeking behavior by firms with higher debt levels.</w:t>
      </w:r>
    </w:p>
    <w:p w14:paraId="13DF80BF" w14:textId="67A5E4EC" w:rsidR="00B46283" w:rsidRPr="00063811" w:rsidRDefault="00B46283" w:rsidP="00F256FD">
      <w:pPr>
        <w:spacing w:line="480" w:lineRule="auto"/>
        <w:ind w:firstLine="720"/>
        <w:contextualSpacing/>
      </w:pPr>
      <w:r w:rsidRPr="00063811">
        <w:t>Return on assets is measured as net income divided by total assets, representing a firm's efficiency in utilizing its asset base to generate earnings. This widely applied metric (Garcia &amp; Orsato, 2020; Miroshnychenko et al., 2017) captures a firm's financial capacity to invest in sustainability initiatives, with the literature consistently demonstrating that more profitable firms exhibit superior ESG performance (Khaled et al., 2021).</w:t>
      </w:r>
    </w:p>
    <w:p w14:paraId="22FEAC50" w14:textId="65542B91" w:rsidR="00F708B5" w:rsidRPr="00063811" w:rsidRDefault="00F708B5" w:rsidP="00F256FD">
      <w:pPr>
        <w:spacing w:line="480" w:lineRule="auto"/>
        <w:ind w:firstLine="720"/>
        <w:contextualSpacing/>
      </w:pPr>
      <w:r w:rsidRPr="00063811">
        <w:t>Chung &amp; Pruitt's (1994)</w:t>
      </w:r>
      <w:r w:rsidR="00A3690F" w:rsidRPr="00063811">
        <w:t xml:space="preserve"> outline the calculation of Tobin’s Q as</w:t>
      </w:r>
      <w:r w:rsidRPr="00063811">
        <w:t xml:space="preserve"> (Market Value of Equity + Book Value of Debt) / Book Value of Total Assets. This measure captures market perceptions </w:t>
      </w:r>
      <w:r w:rsidRPr="00063811">
        <w:lastRenderedPageBreak/>
        <w:t>of a firm's growth prospects and intangible value. Firms with higher Tobin's Q ratios tend to demonstrate stronger ESG performance (</w:t>
      </w:r>
      <w:proofErr w:type="spellStart"/>
      <w:r w:rsidRPr="00063811">
        <w:t>Ortas</w:t>
      </w:r>
      <w:proofErr w:type="spellEnd"/>
      <w:r w:rsidRPr="00063811">
        <w:t xml:space="preserve"> et al., 2015), reflecting market recognition of sustainability initiatives as value-enhancing investments rather than discretionary expenditures.</w:t>
      </w:r>
    </w:p>
    <w:p w14:paraId="5C022874" w14:textId="5981F415" w:rsidR="00E52BF7" w:rsidRPr="00063811" w:rsidRDefault="00193E0E" w:rsidP="008F1FAE">
      <w:pPr>
        <w:spacing w:line="480" w:lineRule="auto"/>
        <w:ind w:firstLine="720"/>
      </w:pPr>
      <w:r w:rsidRPr="00063811">
        <w:t xml:space="preserve">To further refine the dataset, extreme outliers were </w:t>
      </w:r>
      <w:proofErr w:type="spellStart"/>
      <w:r w:rsidRPr="00063811">
        <w:t>winsorized</w:t>
      </w:r>
      <w:proofErr w:type="spellEnd"/>
      <w:r w:rsidRPr="00063811">
        <w:t xml:space="preserve"> at the 1st and 99th percentiles. This process ensured that extreme observations did not unduly influence statistical analyses. Additionally, infinite values resulting from division errors were replaced with missing values to maintain data validity. Firms with negative leverage values were excluded as these typically represent distressed companies with negative equity, which could distort financial relationship interpretations</w:t>
      </w:r>
      <w:r w:rsidR="00F05EA2" w:rsidRPr="00063811">
        <w:t xml:space="preserve"> (see Table </w:t>
      </w:r>
      <w:r w:rsidR="00A153D7" w:rsidRPr="00063811">
        <w:t>3</w:t>
      </w:r>
      <w:r w:rsidR="00F05EA2" w:rsidRPr="00063811">
        <w:t>)</w:t>
      </w:r>
      <w:r w:rsidRPr="00063811">
        <w:t>.</w:t>
      </w:r>
    </w:p>
    <w:p w14:paraId="0EBE9877" w14:textId="0B5C0B74" w:rsidR="000834EF" w:rsidRPr="00063811" w:rsidRDefault="001729A0" w:rsidP="006760A7">
      <w:pPr>
        <w:pStyle w:val="Heading3"/>
      </w:pPr>
      <w:r w:rsidRPr="00063811">
        <w:t>Legislative Data</w:t>
      </w:r>
    </w:p>
    <w:p w14:paraId="59433F1A" w14:textId="5D376E35" w:rsidR="008904B2" w:rsidRPr="00063811" w:rsidRDefault="008904B2" w:rsidP="00F256FD">
      <w:pPr>
        <w:spacing w:line="480" w:lineRule="auto"/>
        <w:ind w:firstLine="720"/>
      </w:pPr>
      <w:r w:rsidRPr="00063811">
        <w:t xml:space="preserve">The data collection for this research established a comprehensive pipeline to gather, process, and analyze ESG legislation across the United States (see figure 3). The process began with the Ballotpedia ESG Legislation Page, which served as the initial entry point for identifying relevant bills. This resource maintains a dedicated tracker for ESG-related legislation that provided valuable metadata including bill status (pro or anti-ESG), state of origin, and hyperlinks to full bill texts. A complementary source, </w:t>
      </w:r>
      <w:proofErr w:type="spellStart"/>
      <w:r w:rsidRPr="00063811">
        <w:t>LegiScan</w:t>
      </w:r>
      <w:proofErr w:type="spellEnd"/>
      <w:r w:rsidRPr="00063811">
        <w:t>, offered official bill URLs, detailed metadata, and downloadable bill text files in various formats.</w:t>
      </w:r>
    </w:p>
    <w:p w14:paraId="30B66091" w14:textId="7EA9334F" w:rsidR="00A7695F" w:rsidRPr="00063811" w:rsidRDefault="008904B2" w:rsidP="00D02041">
      <w:pPr>
        <w:spacing w:line="480" w:lineRule="auto"/>
        <w:ind w:firstLine="720"/>
      </w:pPr>
      <w:r w:rsidRPr="00063811">
        <w:t xml:space="preserve">To extract data from these sources, I developed a web scraping architecture using the Python Requests library to access the Ballotpedia ESG tracker page, coupled with </w:t>
      </w:r>
      <w:proofErr w:type="spellStart"/>
      <w:r w:rsidRPr="00063811">
        <w:t>BeautifulSoup</w:t>
      </w:r>
      <w:proofErr w:type="spellEnd"/>
      <w:r w:rsidRPr="00063811">
        <w:t xml:space="preserve"> for HTML parsing. This approach allowed for systematic extraction of key bill information including the pro/anti ESG status, state jurisdiction, and bill hyperlinks to </w:t>
      </w:r>
      <w:proofErr w:type="spellStart"/>
      <w:r w:rsidRPr="00063811">
        <w:t>LegiScan</w:t>
      </w:r>
      <w:proofErr w:type="spellEnd"/>
      <w:r w:rsidRPr="00063811">
        <w:t xml:space="preserve">. Upon accessing each </w:t>
      </w:r>
      <w:proofErr w:type="spellStart"/>
      <w:r w:rsidRPr="00063811">
        <w:t>LegiScan</w:t>
      </w:r>
      <w:proofErr w:type="spellEnd"/>
      <w:r w:rsidRPr="00063811">
        <w:t xml:space="preserve"> link, I employed </w:t>
      </w:r>
      <w:proofErr w:type="spellStart"/>
      <w:r w:rsidRPr="00063811">
        <w:t>BeautifulSoup</w:t>
      </w:r>
      <w:proofErr w:type="spellEnd"/>
      <w:r w:rsidRPr="00063811">
        <w:t xml:space="preserve"> to parse the HTML structure and extract additional metadata such as bill identification numbers, enactment dates, and </w:t>
      </w:r>
      <w:proofErr w:type="gramStart"/>
      <w:r w:rsidRPr="00063811">
        <w:t xml:space="preserve">current </w:t>
      </w:r>
      <w:r w:rsidRPr="00063811">
        <w:lastRenderedPageBreak/>
        <w:t>status</w:t>
      </w:r>
      <w:proofErr w:type="gramEnd"/>
      <w:r w:rsidRPr="00063811">
        <w:t xml:space="preserve"> information. To acquire the full text of each bill, I implemented Selenium WebDriver to navigate </w:t>
      </w:r>
      <w:proofErr w:type="spellStart"/>
      <w:r w:rsidRPr="00063811">
        <w:t>LegiScan's</w:t>
      </w:r>
      <w:proofErr w:type="spellEnd"/>
      <w:r w:rsidRPr="00063811">
        <w:t xml:space="preserve"> interface and programmatically download the documents in their available formats, primarily PDF and HTML.</w:t>
      </w:r>
    </w:p>
    <w:p w14:paraId="04A1DF55" w14:textId="66AA7B33" w:rsidR="00D02041" w:rsidRPr="008612B7" w:rsidRDefault="00D02041" w:rsidP="00D02041">
      <w:pPr>
        <w:pStyle w:val="Caption"/>
        <w:keepNext/>
        <w:spacing w:after="0"/>
        <w:rPr>
          <w:rFonts w:ascii="Times New Roman" w:hAnsi="Times New Roman" w:cs="Times New Roman"/>
          <w:i w:val="0"/>
          <w:iCs w:val="0"/>
          <w:color w:val="000000" w:themeColor="text1"/>
          <w:sz w:val="20"/>
          <w:szCs w:val="20"/>
        </w:rPr>
      </w:pPr>
      <w:r w:rsidRPr="008612B7">
        <w:rPr>
          <w:rFonts w:ascii="Times New Roman" w:hAnsi="Times New Roman" w:cs="Times New Roman"/>
          <w:i w:val="0"/>
          <w:iCs w:val="0"/>
          <w:color w:val="000000" w:themeColor="text1"/>
          <w:sz w:val="20"/>
          <w:szCs w:val="20"/>
        </w:rPr>
        <w:t xml:space="preserve">Figure </w:t>
      </w:r>
      <w:r w:rsidRPr="008612B7">
        <w:rPr>
          <w:rFonts w:ascii="Times New Roman" w:hAnsi="Times New Roman" w:cs="Times New Roman"/>
          <w:i w:val="0"/>
          <w:iCs w:val="0"/>
          <w:color w:val="000000" w:themeColor="text1"/>
          <w:sz w:val="20"/>
          <w:szCs w:val="20"/>
        </w:rPr>
        <w:fldChar w:fldCharType="begin"/>
      </w:r>
      <w:r w:rsidRPr="008612B7">
        <w:rPr>
          <w:rFonts w:ascii="Times New Roman" w:hAnsi="Times New Roman" w:cs="Times New Roman"/>
          <w:i w:val="0"/>
          <w:iCs w:val="0"/>
          <w:color w:val="000000" w:themeColor="text1"/>
          <w:sz w:val="20"/>
          <w:szCs w:val="20"/>
        </w:rPr>
        <w:instrText xml:space="preserve"> SEQ Figure \* ARABIC </w:instrText>
      </w:r>
      <w:r w:rsidRPr="008612B7">
        <w:rPr>
          <w:rFonts w:ascii="Times New Roman" w:hAnsi="Times New Roman" w:cs="Times New Roman"/>
          <w:i w:val="0"/>
          <w:iCs w:val="0"/>
          <w:color w:val="000000" w:themeColor="text1"/>
          <w:sz w:val="20"/>
          <w:szCs w:val="20"/>
        </w:rPr>
        <w:fldChar w:fldCharType="separate"/>
      </w:r>
      <w:r w:rsidRPr="008612B7">
        <w:rPr>
          <w:rFonts w:ascii="Times New Roman" w:hAnsi="Times New Roman" w:cs="Times New Roman"/>
          <w:i w:val="0"/>
          <w:iCs w:val="0"/>
          <w:noProof/>
          <w:color w:val="000000" w:themeColor="text1"/>
          <w:sz w:val="20"/>
          <w:szCs w:val="20"/>
        </w:rPr>
        <w:t>3</w:t>
      </w:r>
      <w:r w:rsidRPr="008612B7">
        <w:rPr>
          <w:rFonts w:ascii="Times New Roman" w:hAnsi="Times New Roman" w:cs="Times New Roman"/>
          <w:i w:val="0"/>
          <w:iCs w:val="0"/>
          <w:color w:val="000000" w:themeColor="text1"/>
          <w:sz w:val="20"/>
          <w:szCs w:val="20"/>
        </w:rPr>
        <w:fldChar w:fldCharType="end"/>
      </w:r>
      <w:r w:rsidRPr="008612B7">
        <w:rPr>
          <w:rFonts w:ascii="Times New Roman" w:hAnsi="Times New Roman" w:cs="Times New Roman"/>
          <w:i w:val="0"/>
          <w:iCs w:val="0"/>
          <w:color w:val="000000" w:themeColor="text1"/>
          <w:sz w:val="20"/>
          <w:szCs w:val="20"/>
        </w:rPr>
        <w:t xml:space="preserve">. </w:t>
      </w:r>
      <w:bookmarkStart w:id="32" w:name="_Toc193971615"/>
      <w:r w:rsidRPr="008612B7">
        <w:rPr>
          <w:rFonts w:ascii="Times New Roman" w:hAnsi="Times New Roman" w:cs="Times New Roman"/>
          <w:i w:val="0"/>
          <w:iCs w:val="0"/>
          <w:color w:val="000000" w:themeColor="text1"/>
          <w:sz w:val="20"/>
          <w:szCs w:val="20"/>
        </w:rPr>
        <w:t>ESG Legislation Data Pipeline</w:t>
      </w:r>
      <w:bookmarkEnd w:id="32"/>
    </w:p>
    <w:p w14:paraId="3B668EBF" w14:textId="5080DE10" w:rsidR="008904B2" w:rsidRPr="008612B7" w:rsidRDefault="008904B2" w:rsidP="00F256FD">
      <w:pPr>
        <w:rPr>
          <w:b/>
          <w:bCs/>
          <w:sz w:val="20"/>
          <w:szCs w:val="20"/>
        </w:rPr>
      </w:pPr>
      <w:r w:rsidRPr="008612B7">
        <w:rPr>
          <w:noProof/>
          <w14:ligatures w14:val="standardContextual"/>
        </w:rPr>
        <w:drawing>
          <wp:inline distT="0" distB="0" distL="0" distR="0" wp14:anchorId="5F15B295" wp14:editId="21D594F6">
            <wp:extent cx="4505325" cy="3526283"/>
            <wp:effectExtent l="57150" t="57150" r="123825" b="131445"/>
            <wp:docPr id="1158411887" name="Picture 13"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11887" name="Picture 13" descr="A diagram of a data flow&#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29376" cy="3545108"/>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2D2811A" w14:textId="196B4B62" w:rsidR="00193E0E" w:rsidRPr="008612B7" w:rsidRDefault="00193E0E" w:rsidP="00F256FD">
      <w:pPr>
        <w:spacing w:after="240"/>
        <w:rPr>
          <w:sz w:val="20"/>
          <w:szCs w:val="20"/>
        </w:rPr>
      </w:pPr>
      <w:r w:rsidRPr="008612B7">
        <w:rPr>
          <w:sz w:val="20"/>
          <w:szCs w:val="20"/>
        </w:rPr>
        <w:t>Note: This automated approach enabled systematic collection and standardization of legislative texts, thus making the procedure replicable for future research.</w:t>
      </w:r>
    </w:p>
    <w:p w14:paraId="2CD5EE27" w14:textId="39C71B73" w:rsidR="008904B2" w:rsidRPr="00063811" w:rsidRDefault="008904B2" w:rsidP="00F256FD">
      <w:pPr>
        <w:spacing w:line="480" w:lineRule="auto"/>
        <w:ind w:firstLine="720"/>
      </w:pPr>
      <w:r w:rsidRPr="00063811">
        <w:t xml:space="preserve">The raw bill texts required significant processing before analysis. For PDF documents, I employed </w:t>
      </w:r>
      <w:proofErr w:type="spellStart"/>
      <w:r w:rsidRPr="00063811">
        <w:t>PyTesseract</w:t>
      </w:r>
      <w:proofErr w:type="spellEnd"/>
      <w:r w:rsidRPr="00063811">
        <w:t xml:space="preserve"> to convert image-based text into machine-readable format, a necessary step as many legislative documents were stored as scanned images rather than text-based PDFs. Following OCR conversion, I developed a text preprocessing module that removed extraneous numbers and whitespace, standardized formatting inconsistencies, eliminated boilerplate legislative language, and normalized text case and punctuation to ensure consistency across all documents.</w:t>
      </w:r>
    </w:p>
    <w:p w14:paraId="261E1E45" w14:textId="77777777" w:rsidR="008904B2" w:rsidRPr="00063811" w:rsidRDefault="008904B2" w:rsidP="00F256FD">
      <w:pPr>
        <w:spacing w:line="480" w:lineRule="auto"/>
        <w:ind w:firstLine="720"/>
      </w:pPr>
      <w:r w:rsidRPr="00063811">
        <w:lastRenderedPageBreak/>
        <w:t>To classify bills by their industrial relevance, I created a keyword-to-sector mapping dictionary that associated industry-specific terminology with NAICS (North American Industry Classification System) sector codes. This approach allowed for automated categorization of legislation based on its content. For example, terms like "electricity" and "generation" were mapped to sector 22 (Utilities), while "sustainable farming" was associated with sector 11 (Agriculture). Similarly, references to "mining," "waste management," and "remediation" were linked to sector 21 (Mining), and phrases like "educational institutions" and "curriculum" were connected to sector 61 (Educational Services).</w:t>
      </w:r>
    </w:p>
    <w:p w14:paraId="2D5925A8" w14:textId="15DA2830" w:rsidR="008D0005" w:rsidRPr="00063811" w:rsidRDefault="008904B2" w:rsidP="00F256FD">
      <w:pPr>
        <w:spacing w:line="480" w:lineRule="auto"/>
        <w:ind w:firstLine="720"/>
      </w:pPr>
      <w:r w:rsidRPr="00063811">
        <w:t xml:space="preserve">The processed data was structured into a comprehensive dataset containing bill identifiers and URLs, state of origin, pro/anti ESG classification, enactment dates and </w:t>
      </w:r>
      <w:proofErr w:type="gramStart"/>
      <w:r w:rsidRPr="00063811">
        <w:t>current status</w:t>
      </w:r>
      <w:proofErr w:type="gramEnd"/>
      <w:r w:rsidRPr="00063811">
        <w:t>, full bill text in cleaned format, NAICS sector codes (with multiple sectors where applicable), and ESG policy type classification. This structured dataset facilitated both quantitative and qualitative analyses, enabling examination of sectoral patterns in ESG legislation across different states and policy orientations. The multi-stage data pipeline ensured that the final dataset maintained high fidelity to the original legislative documents while providing standardized, analyzable content for subsequent research phases.</w:t>
      </w:r>
    </w:p>
    <w:p w14:paraId="593E542C" w14:textId="044CA793" w:rsidR="001729A0" w:rsidRPr="00063811" w:rsidRDefault="008D0005" w:rsidP="006760A7">
      <w:pPr>
        <w:pStyle w:val="Heading3"/>
      </w:pPr>
      <w:r w:rsidRPr="00063811">
        <w:t xml:space="preserve">Data </w:t>
      </w:r>
      <w:r w:rsidR="001729A0" w:rsidRPr="00063811">
        <w:t>Summary</w:t>
      </w:r>
    </w:p>
    <w:p w14:paraId="7AC25D0A" w14:textId="4A15BB22" w:rsidR="00E52BF7" w:rsidRPr="008612B7" w:rsidRDefault="00423D70" w:rsidP="008612B7">
      <w:pPr>
        <w:spacing w:line="480" w:lineRule="auto"/>
        <w:ind w:firstLine="720"/>
        <w:jc w:val="both"/>
      </w:pPr>
      <w:r w:rsidRPr="00063811">
        <w:t>The dependent variables measuring sustainability performance demonstrate considerable variation across firms</w:t>
      </w:r>
      <w:r w:rsidR="00CE0C5B" w:rsidRPr="00063811">
        <w:t xml:space="preserve"> (see Table </w:t>
      </w:r>
      <w:r w:rsidR="00063811">
        <w:t>4</w:t>
      </w:r>
      <w:r w:rsidR="00CE0C5B" w:rsidRPr="00063811">
        <w:t>)</w:t>
      </w:r>
      <w:r w:rsidRPr="00063811">
        <w:t>. The overall ESG</w:t>
      </w:r>
      <w:r w:rsidR="00C63A5B" w:rsidRPr="00063811">
        <w:t xml:space="preserve"> index</w:t>
      </w:r>
      <w:r w:rsidRPr="00063811">
        <w:t xml:space="preserve"> score has a mean of 32.13 (SD = 13.42), ranging from 6 to 91, indicating substantial heterogeneity in corporate sustainability practices. The environmental dimension exhibits the highest mean </w:t>
      </w:r>
      <w:r w:rsidR="00C63A5B" w:rsidRPr="00063811">
        <w:t xml:space="preserve">index </w:t>
      </w:r>
      <w:r w:rsidRPr="00063811">
        <w:t xml:space="preserve">score (28.45, SD = 17.84) and the widest range (0 to 99), suggesting greater variability in environmental performance </w:t>
      </w:r>
      <w:r w:rsidRPr="00063811">
        <w:lastRenderedPageBreak/>
        <w:t>compared to other ESG dimensions. Social performance</w:t>
      </w:r>
      <w:r w:rsidR="00C63A5B" w:rsidRPr="00063811">
        <w:t xml:space="preserve"> index</w:t>
      </w:r>
      <w:r w:rsidRPr="00063811">
        <w:t xml:space="preserve"> scores average 26.98 (SD = 14.13), with a range from 0 to 92.</w:t>
      </w:r>
      <w:r w:rsidRPr="008612B7">
        <w:rPr>
          <w:b/>
          <w:bCs/>
        </w:rPr>
        <w:t xml:space="preserve"> </w:t>
      </w:r>
    </w:p>
    <w:p w14:paraId="420CCC78" w14:textId="1516DBB6" w:rsidR="00423D70" w:rsidRPr="00063811" w:rsidRDefault="00423D70" w:rsidP="00F256FD">
      <w:pPr>
        <w:spacing w:line="480" w:lineRule="auto"/>
        <w:ind w:firstLine="720"/>
      </w:pPr>
      <w:r w:rsidRPr="00063811">
        <w:t>With respect to the primary independent variables of interest, 4.9% of firm-year observations are subject to anti-ESG state legislation, while 10.4% operate under pro-ESG regulatory frameworks.</w:t>
      </w:r>
      <w:r w:rsidR="00C63A5B" w:rsidRPr="00063811">
        <w:t xml:space="preserve"> The</w:t>
      </w:r>
      <w:r w:rsidRPr="00063811">
        <w:t xml:space="preserve"> </w:t>
      </w:r>
      <w:r w:rsidR="00C63A5B" w:rsidRPr="00063811">
        <w:t xml:space="preserve">mean </w:t>
      </w:r>
      <w:r w:rsidRPr="00063811">
        <w:t>board gender diversity</w:t>
      </w:r>
      <w:r w:rsidR="00C63A5B" w:rsidRPr="00063811">
        <w:t xml:space="preserve"> index</w:t>
      </w:r>
      <w:r w:rsidRPr="00063811">
        <w:t xml:space="preserve"> score </w:t>
      </w:r>
      <w:r w:rsidR="00C63A5B" w:rsidRPr="00063811">
        <w:t>is</w:t>
      </w:r>
      <w:r w:rsidRPr="00063811">
        <w:t xml:space="preserve"> 51.02 (SD = 30.75), suggesting substantial variation in female representation on corporate boards, with scores ranging from 0 to 100. Board tenure </w:t>
      </w:r>
      <w:r w:rsidR="00C63A5B" w:rsidRPr="00063811">
        <w:t xml:space="preserve">index </w:t>
      </w:r>
      <w:r w:rsidRPr="00063811">
        <w:t>scores average 78.28 (SD = 28.44), also showing considerable variation across the sample.</w:t>
      </w:r>
    </w:p>
    <w:p w14:paraId="000CFABA" w14:textId="0A2F1DBA" w:rsidR="00423D70" w:rsidRPr="00063811" w:rsidRDefault="00423D70" w:rsidP="00F256FD">
      <w:pPr>
        <w:spacing w:line="480" w:lineRule="auto"/>
        <w:ind w:firstLine="720"/>
      </w:pPr>
      <w:r w:rsidRPr="00063811">
        <w:t xml:space="preserve">The firm-level control variables indicate that </w:t>
      </w:r>
      <w:r w:rsidR="00C63A5B" w:rsidRPr="00063811">
        <w:t>my</w:t>
      </w:r>
      <w:r w:rsidRPr="00063811">
        <w:t xml:space="preserve"> sample consists predominantly of established companies, with a mean age of 61.23 years (SD = 48.11), though the sample includes both newly established firms (minimum age of 1 year) and long-standing corporations (maximum age of 251 years). Firm size, measured as the natural logarithm of total assets, has a mean of 8.39 (SD = 1.77), with values ranging from 3.13 to 15.20, reflecting a diverse sample in terms of organizational scale.</w:t>
      </w:r>
    </w:p>
    <w:p w14:paraId="0CFB70F7" w14:textId="77777777" w:rsidR="00423D70" w:rsidRPr="00063811" w:rsidRDefault="00423D70" w:rsidP="00F256FD">
      <w:pPr>
        <w:spacing w:line="480" w:lineRule="auto"/>
        <w:ind w:firstLine="720"/>
      </w:pPr>
      <w:r w:rsidRPr="00063811">
        <w:t>Financial characteristics show that sample firms maintain an average leverage ratio of 1.42 (SD = 2.40), indicating that, on average, firms carry debt exceeding their shareholders' equity. Return on assets averages 1.5% (SD = 13.2%), with substantial variation ranging from -99.8% to 39.3%, suggesting the inclusion of both financially distressed and highly profitable companies. The mean Tobin's Q of 2.19 (SD = 2.03) indicates that, on average, the market values of these firms exceed their book values, though this metric also exhibits considerable variation (ranging from 0.49 to 27.90).</w:t>
      </w:r>
    </w:p>
    <w:p w14:paraId="15C4635A" w14:textId="3B53B0F5" w:rsidR="00423D70" w:rsidRPr="00063811" w:rsidRDefault="00423D70" w:rsidP="00F256FD">
      <w:pPr>
        <w:spacing w:line="480" w:lineRule="auto"/>
        <w:ind w:firstLine="720"/>
      </w:pPr>
      <w:r w:rsidRPr="00063811">
        <w:t xml:space="preserve">The wide ranges and substantial standard deviations across all variables underscore the heterogeneity of the sample, which enhances the generalizability of </w:t>
      </w:r>
      <w:r w:rsidR="00C63A5B" w:rsidRPr="00063811">
        <w:t>my</w:t>
      </w:r>
      <w:r w:rsidRPr="00063811">
        <w:t xml:space="preserve"> findings across diverse </w:t>
      </w:r>
      <w:r w:rsidRPr="00063811">
        <w:lastRenderedPageBreak/>
        <w:t>organizational contexts. This sample composition allows for robust examination of the relationships between state-level ESG legislation and corporate sustainability practices while controlling for firm-specific characteristics that prior literature has established as significant determinants of ESG performance.</w:t>
      </w:r>
    </w:p>
    <w:p w14:paraId="6380BB96" w14:textId="67D6FDD1" w:rsidR="00C01DB2" w:rsidRPr="00063811" w:rsidRDefault="00B535C4" w:rsidP="006760A7">
      <w:pPr>
        <w:pStyle w:val="Heading2"/>
      </w:pPr>
      <w:bookmarkStart w:id="33" w:name="_Toc193977951"/>
      <w:r w:rsidRPr="00063811">
        <w:t xml:space="preserve">Empirical </w:t>
      </w:r>
      <w:r w:rsidR="00C01DB2" w:rsidRPr="00063811">
        <w:t>Method</w:t>
      </w:r>
      <w:bookmarkEnd w:id="33"/>
    </w:p>
    <w:p w14:paraId="5BD19E6D" w14:textId="7113F96F" w:rsidR="00DA7F5F" w:rsidRPr="00063811" w:rsidRDefault="00DA7F5F" w:rsidP="00F256FD">
      <w:pPr>
        <w:spacing w:line="480" w:lineRule="auto"/>
        <w:ind w:firstLine="720"/>
      </w:pPr>
      <w:r w:rsidRPr="00063811">
        <w:t xml:space="preserve">The primary independent variables consist of two binary indicators representing divergent policy approaches: </w:t>
      </w:r>
      <w:proofErr w:type="spellStart"/>
      <w:r w:rsidRPr="00063811">
        <w:t>AntiESGPolicy</w:t>
      </w:r>
      <w:proofErr w:type="spellEnd"/>
      <w:r w:rsidRPr="00063811">
        <w:t xml:space="preserve">, which equals one if a firm is headquartered in a state that has enacted </w:t>
      </w:r>
      <w:r w:rsidR="00F46C5A" w:rsidRPr="00063811">
        <w:t>anti-</w:t>
      </w:r>
      <w:r w:rsidRPr="00063811">
        <w:t xml:space="preserve">legislation </w:t>
      </w:r>
      <w:r w:rsidR="00F46C5A" w:rsidRPr="00063811">
        <w:t>legislation</w:t>
      </w:r>
      <w:r w:rsidRPr="00063811">
        <w:t xml:space="preserve">, and zero otherwise; and </w:t>
      </w:r>
      <w:proofErr w:type="spellStart"/>
      <w:r w:rsidRPr="00063811">
        <w:t>ProESGPolicy</w:t>
      </w:r>
      <w:proofErr w:type="spellEnd"/>
      <w:r w:rsidRPr="00063811">
        <w:t>, which equals one if a firm is headquartered in a state with legislation promoting or mandating ESG considerations, and zero otherwise. Board gender diversity, measured as the weighted percentage of female directors on the corporate board, serves as a theoretically significant moderating variable that may influence how firms respond to policy pressures.</w:t>
      </w:r>
    </w:p>
    <w:p w14:paraId="428B6314" w14:textId="4AE7B7CB" w:rsidR="00951B32" w:rsidRPr="00063811" w:rsidRDefault="00951B32" w:rsidP="006760A7">
      <w:pPr>
        <w:pStyle w:val="Heading3"/>
      </w:pPr>
      <w:r w:rsidRPr="00063811">
        <w:t>Sample Selection</w:t>
      </w:r>
    </w:p>
    <w:p w14:paraId="07AA305B" w14:textId="0E69F0A9" w:rsidR="00951B32" w:rsidRPr="00063811" w:rsidRDefault="00951B32" w:rsidP="00F256FD">
      <w:pPr>
        <w:spacing w:line="480" w:lineRule="auto"/>
        <w:ind w:firstLine="720"/>
      </w:pPr>
      <w:r w:rsidRPr="00063811">
        <w:t>The empirical model specifically analyzes firms that were directly implicated in ESG legislation for a given state. For example, if Wyoming's ESG legislation does not implicate mining or oil industries, then mining and oil firms headquartered in Wyoming are excluded from the analysis sample. Firm observations are included in the treatment group only when two conditions are met: (1) the observation year is equal to or greater than the legislation's year of enactment, and (2) the legislation explicitly implicates the industry in which the firm operates. This refined approach ensures that the estimated policy effects capture the impact on precisely those firms that fall under the regulatory scope of state ESG policies, rather than assuming uniform effects across all firms within a state.</w:t>
      </w:r>
    </w:p>
    <w:p w14:paraId="02C88F67" w14:textId="77777777" w:rsidR="00F9570A" w:rsidRDefault="00F9570A">
      <w:pPr>
        <w:spacing w:after="160" w:line="278" w:lineRule="auto"/>
        <w:rPr>
          <w:i/>
          <w:iCs/>
        </w:rPr>
      </w:pPr>
      <w:r>
        <w:br w:type="page"/>
      </w:r>
    </w:p>
    <w:p w14:paraId="5168090F" w14:textId="10E38095" w:rsidR="00951B32" w:rsidRPr="00063811" w:rsidRDefault="00951B32" w:rsidP="006760A7">
      <w:pPr>
        <w:pStyle w:val="Heading3"/>
      </w:pPr>
      <w:r w:rsidRPr="00063811">
        <w:lastRenderedPageBreak/>
        <w:t>Variable Construction</w:t>
      </w:r>
    </w:p>
    <w:p w14:paraId="56754698" w14:textId="1DD5B24D" w:rsidR="00951B32" w:rsidRPr="00063811" w:rsidRDefault="00951B32" w:rsidP="00F256FD">
      <w:pPr>
        <w:spacing w:line="480" w:lineRule="auto"/>
        <w:ind w:firstLine="720"/>
      </w:pPr>
      <w:r w:rsidRPr="00063811">
        <w:t xml:space="preserve">The primary independent variables consist of two binary indicators representing divergent policy approaches: </w:t>
      </w:r>
      <m:oMath>
        <m:r>
          <w:rPr>
            <w:rFonts w:ascii="Cambria Math" w:hAnsi="Cambria Math"/>
          </w:rPr>
          <m:t>AntiESGPolicy</m:t>
        </m:r>
      </m:oMath>
      <w:r w:rsidRPr="00063811">
        <w:t xml:space="preserve">, which equals one if a firm is headquartered in a state that has enacted legislation restricting ESG considerations in investments or corporate governance, and zero otherwise; and </w:t>
      </w:r>
      <m:oMath>
        <m:r>
          <w:rPr>
            <w:rFonts w:ascii="Cambria Math" w:hAnsi="Cambria Math"/>
          </w:rPr>
          <m:t>ProESGPolicy</m:t>
        </m:r>
      </m:oMath>
      <w:r w:rsidRPr="00063811">
        <w:t>, which equals one if a firm is headquartered in a state with legislation promoting or mandating ESG considerations, and zero otherwise. Board gender diversity, measured as the weighted percentage of female directors on the corporate board, serves as a moderating variable that may influence how firms respond to policy pressures.</w:t>
      </w:r>
    </w:p>
    <w:p w14:paraId="07C9BA63" w14:textId="4E82EE1F" w:rsidR="00DA7F5F" w:rsidRPr="00063811" w:rsidRDefault="00DA7F5F" w:rsidP="00F256FD">
      <w:pPr>
        <w:spacing w:line="480" w:lineRule="auto"/>
        <w:ind w:firstLine="720"/>
      </w:pPr>
      <w:r w:rsidRPr="00063811">
        <w:t xml:space="preserve">To isolate the effects of ESG policies and control for potential confounding factors, the model incorporates several firm-level controls: </w:t>
      </w:r>
      <w:r w:rsidR="00951B32" w:rsidRPr="00063811">
        <w:t>leverage (total debt divided by shareholders' equity), company size (natural logarithm of total assets), return on assets (net income scaled by total assets), Tobin's Q (market value of assets divided by book value of assets), company age (years since founding), board weighted average tenure</w:t>
      </w:r>
      <w:r w:rsidR="00A279DB" w:rsidRPr="00063811">
        <w:t xml:space="preserve"> index, and board weighted diversity index</w:t>
      </w:r>
      <w:r w:rsidR="00951B32" w:rsidRPr="00063811">
        <w:t>.</w:t>
      </w:r>
    </w:p>
    <w:p w14:paraId="0A0A3A87" w14:textId="41AED0DB" w:rsidR="00951B32" w:rsidRPr="00063811" w:rsidRDefault="00951B32" w:rsidP="006760A7">
      <w:pPr>
        <w:pStyle w:val="Heading3"/>
      </w:pPr>
      <w:r w:rsidRPr="00063811">
        <w:t>Model Specification</w:t>
      </w:r>
    </w:p>
    <w:p w14:paraId="5F974EFC" w14:textId="29725C35" w:rsidR="00025FBD" w:rsidRPr="00063811" w:rsidRDefault="006740F0" w:rsidP="00F256FD">
      <w:pPr>
        <w:spacing w:line="480" w:lineRule="auto"/>
      </w:pPr>
      <w:r w:rsidRPr="00063811">
        <w:tab/>
      </w:r>
      <w:r w:rsidR="00951B32" w:rsidRPr="00063811">
        <w:t>The baseline ordinary least squares regression model is specified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535"/>
      </w:tblGrid>
      <w:tr w:rsidR="00A279DB" w:rsidRPr="00063811" w14:paraId="35392BC1" w14:textId="77777777" w:rsidTr="0051427E">
        <w:tc>
          <w:tcPr>
            <w:tcW w:w="8815" w:type="dxa"/>
            <w:vAlign w:val="center"/>
          </w:tcPr>
          <w:p w14:paraId="4BA731C7" w14:textId="2903C0F0" w:rsidR="00A279DB" w:rsidRPr="00063811" w:rsidRDefault="00000000" w:rsidP="00F256FD">
            <w:pPr>
              <w:spacing w:line="480" w:lineRule="auto"/>
              <w:jc w:val="center"/>
            </w:pPr>
            <m:oMathPara>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1</m:t>
                    </m:r>
                  </m:sub>
                </m:sSub>
                <m:r>
                  <w:rPr>
                    <w:rFonts w:ascii="Cambria Math" w:hAnsi="Cambria Math"/>
                    <w:sz w:val="20"/>
                    <w:szCs w:val="20"/>
                  </w:rPr>
                  <m:t>AntiESGPolic</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st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2</m:t>
                    </m:r>
                  </m:sub>
                </m:sSub>
                <m:r>
                  <w:rPr>
                    <w:rFonts w:ascii="Cambria Math" w:hAnsi="Cambria Math"/>
                    <w:sz w:val="20"/>
                    <w:szCs w:val="20"/>
                  </w:rPr>
                  <m:t>ProESGPolic</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st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k</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ε</m:t>
                    </m:r>
                  </m:e>
                  <m:sub>
                    <m:r>
                      <w:rPr>
                        <w:rFonts w:ascii="Cambria Math" w:hAnsi="Cambria Math"/>
                        <w:sz w:val="20"/>
                        <w:szCs w:val="20"/>
                      </w:rPr>
                      <m:t>it</m:t>
                    </m:r>
                  </m:sub>
                </m:sSub>
              </m:oMath>
            </m:oMathPara>
          </w:p>
        </w:tc>
        <w:tc>
          <w:tcPr>
            <w:tcW w:w="535" w:type="dxa"/>
            <w:vAlign w:val="center"/>
          </w:tcPr>
          <w:p w14:paraId="682D844B" w14:textId="321C9866" w:rsidR="00A279DB" w:rsidRPr="00063811" w:rsidRDefault="00A279DB" w:rsidP="00F256FD">
            <w:pPr>
              <w:spacing w:after="240" w:line="480" w:lineRule="auto"/>
              <w:jc w:val="center"/>
              <w:rPr>
                <w:sz w:val="20"/>
                <w:szCs w:val="20"/>
              </w:rPr>
            </w:pPr>
            <w:r w:rsidRPr="00063811">
              <w:rPr>
                <w:sz w:val="20"/>
                <w:szCs w:val="20"/>
              </w:rPr>
              <w:t>(</w:t>
            </w:r>
            <w:r w:rsidR="0051427E" w:rsidRPr="00063811">
              <w:rPr>
                <w:sz w:val="20"/>
                <w:szCs w:val="20"/>
              </w:rPr>
              <w:t>4</w:t>
            </w:r>
            <w:r w:rsidRPr="00063811">
              <w:rPr>
                <w:sz w:val="20"/>
                <w:szCs w:val="20"/>
              </w:rPr>
              <w:t>)</w:t>
            </w:r>
          </w:p>
        </w:tc>
      </w:tr>
    </w:tbl>
    <w:p w14:paraId="5D4E69A9" w14:textId="69A79A46" w:rsidR="00951B32" w:rsidRPr="00063811" w:rsidRDefault="00951B32" w:rsidP="00F256FD">
      <w:pPr>
        <w:spacing w:line="480" w:lineRule="auto"/>
      </w:pPr>
      <w:r w:rsidRPr="00063811">
        <w:t xml:space="preserve">where </w:t>
      </w:r>
      <m:oMath>
        <m:sSub>
          <m:sSubPr>
            <m:ctrlPr>
              <w:rPr>
                <w:rFonts w:ascii="Cambria Math" w:hAnsi="Cambria Math"/>
                <w:i/>
              </w:rPr>
            </m:ctrlPr>
          </m:sSubPr>
          <m:e>
            <m:r>
              <w:rPr>
                <w:rFonts w:ascii="Cambria Math" w:hAnsi="Cambria Math"/>
              </w:rPr>
              <m:t>Y</m:t>
            </m:r>
          </m:e>
          <m:sub>
            <m:r>
              <w:rPr>
                <w:rFonts w:ascii="Cambria Math" w:hAnsi="Cambria Math"/>
              </w:rPr>
              <m:t>it</m:t>
            </m:r>
          </m:sub>
        </m:sSub>
      </m:oMath>
      <w:r w:rsidRPr="00063811">
        <w:t xml:space="preserve"> represents the ESG performance metric (overall, environmental, or social score) for firm </w:t>
      </w:r>
      <m:oMath>
        <m:r>
          <w:rPr>
            <w:rFonts w:ascii="Cambria Math" w:hAnsi="Cambria Math"/>
          </w:rPr>
          <m:t>i</m:t>
        </m:r>
      </m:oMath>
      <w:r w:rsidRPr="00063811">
        <w:t xml:space="preserve"> at time </w:t>
      </w:r>
      <m:oMath>
        <m:r>
          <w:rPr>
            <w:rFonts w:ascii="Cambria Math" w:hAnsi="Cambria Math"/>
          </w:rPr>
          <m:t>t</m:t>
        </m:r>
      </m:oMath>
      <w:r w:rsidRPr="00063811">
        <w:t xml:space="preserve">. The coefficients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1</m:t>
            </m:r>
          </m:sub>
        </m:sSub>
      </m:oMath>
      <w:r w:rsidRPr="00063811">
        <w:t xml:space="preserve"> and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2</m:t>
            </m:r>
          </m:sub>
        </m:sSub>
      </m:oMath>
      <w:r w:rsidRPr="00063811">
        <w:t xml:space="preserve"> capture the direct effects of anti-ESG and pro-ESG policies, respectively. </w:t>
      </w:r>
      <w:r w:rsidR="00580520" w:rsidRPr="00063811">
        <w:t>V</w:t>
      </w:r>
      <w:r w:rsidRPr="00063811">
        <w:t xml:space="preserve">ector </w:t>
      </w:r>
      <m:oMath>
        <m:sSub>
          <m:sSubPr>
            <m:ctrlPr>
              <w:rPr>
                <w:rFonts w:ascii="Cambria Math" w:hAnsi="Cambria Math"/>
                <w:i/>
              </w:rPr>
            </m:ctrlPr>
          </m:sSubPr>
          <m:e>
            <m:r>
              <w:rPr>
                <w:rFonts w:ascii="Cambria Math" w:hAnsi="Cambria Math"/>
              </w:rPr>
              <m:t>X</m:t>
            </m:r>
          </m:e>
          <m:sub>
            <m:r>
              <w:rPr>
                <w:rFonts w:ascii="Cambria Math" w:hAnsi="Cambria Math"/>
              </w:rPr>
              <m:t>it</m:t>
            </m:r>
          </m:sub>
        </m:sSub>
      </m:oMath>
      <w:r w:rsidRPr="00063811">
        <w:t xml:space="preserve"> encompasses the firm-level control variables, while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oMath>
      <w:r w:rsidRPr="00063811">
        <w:t xml:space="preserve"> and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m:t>
            </m:r>
          </m:sub>
        </m:sSub>
      </m:oMath>
      <w:r w:rsidRPr="00063811">
        <w:t xml:space="preserve"> represent </w:t>
      </w:r>
      <w:r w:rsidR="008D5ED9" w:rsidRPr="00063811">
        <w:t>year</w:t>
      </w:r>
      <w:r w:rsidRPr="00063811">
        <w:t xml:space="preserve"> and </w:t>
      </w:r>
      <w:r w:rsidR="008D5ED9" w:rsidRPr="00063811">
        <w:t>company</w:t>
      </w:r>
      <w:r w:rsidRPr="00063811">
        <w:t xml:space="preserve"> fixed effects, respectively, and </w:t>
      </w:r>
      <m:oMath>
        <m:sSub>
          <m:sSubPr>
            <m:ctrlPr>
              <w:rPr>
                <w:rFonts w:ascii="Cambria Math" w:hAnsi="Cambria Math"/>
                <w:i/>
              </w:rPr>
            </m:ctrlPr>
          </m:sSubPr>
          <m:e>
            <m:r>
              <m:rPr>
                <m:sty m:val="p"/>
              </m:rPr>
              <w:rPr>
                <w:rFonts w:ascii="Cambria Math" w:hAnsi="Cambria Math"/>
              </w:rPr>
              <m:t>ε</m:t>
            </m:r>
            <m:ctrlPr>
              <w:rPr>
                <w:rFonts w:ascii="Cambria Math" w:hAnsi="Cambria Math"/>
              </w:rPr>
            </m:ctrlPr>
          </m:e>
          <m:sub>
            <m:r>
              <w:rPr>
                <w:rFonts w:ascii="Cambria Math" w:hAnsi="Cambria Math"/>
              </w:rPr>
              <m:t>it</m:t>
            </m:r>
          </m:sub>
        </m:sSub>
      </m:oMath>
      <w:r w:rsidRPr="00063811">
        <w:t xml:space="preserve"> is the error term.</w:t>
      </w:r>
    </w:p>
    <w:p w14:paraId="70EE05F3" w14:textId="77777777" w:rsidR="00A279DB" w:rsidRPr="00063811" w:rsidRDefault="00A279DB" w:rsidP="00F256FD">
      <w:pPr>
        <w:spacing w:line="480" w:lineRule="auto"/>
        <w:ind w:firstLine="720"/>
      </w:pPr>
      <w:r w:rsidRPr="00063811">
        <w:lastRenderedPageBreak/>
        <w:t>To investigate the moderating role of board gender diversity on policy effects, I extend the model to include interaction terms:</w:t>
      </w:r>
    </w:p>
    <w:tbl>
      <w:tblPr>
        <w:tblStyle w:val="TableGrid"/>
        <w:tblW w:w="0" w:type="auto"/>
        <w:tblLook w:val="04A0" w:firstRow="1" w:lastRow="0" w:firstColumn="1" w:lastColumn="0" w:noHBand="0" w:noVBand="1"/>
      </w:tblPr>
      <w:tblGrid>
        <w:gridCol w:w="8815"/>
        <w:gridCol w:w="535"/>
      </w:tblGrid>
      <w:tr w:rsidR="00A279DB" w:rsidRPr="00063811" w14:paraId="1A13E189" w14:textId="77777777" w:rsidTr="007127BB">
        <w:tc>
          <w:tcPr>
            <w:tcW w:w="8815" w:type="dxa"/>
            <w:tcBorders>
              <w:top w:val="nil"/>
              <w:left w:val="nil"/>
              <w:bottom w:val="nil"/>
              <w:right w:val="nil"/>
            </w:tcBorders>
          </w:tcPr>
          <w:p w14:paraId="32DE525A" w14:textId="4044B516" w:rsidR="00A279DB" w:rsidRPr="00063811" w:rsidRDefault="00000000" w:rsidP="00F256FD">
            <w:pPr>
              <w:spacing w:line="480" w:lineRule="auto"/>
              <w:ind w:firstLine="720"/>
              <w:jc w:val="center"/>
            </w:pPr>
            <m:oMathPara>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1</m:t>
                    </m:r>
                  </m:sub>
                </m:sSub>
                <m:r>
                  <w:rPr>
                    <w:rFonts w:ascii="Cambria Math" w:hAnsi="Cambria Math"/>
                    <w:sz w:val="20"/>
                    <w:szCs w:val="20"/>
                  </w:rPr>
                  <m:t>AntiESGPolic</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st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2</m:t>
                    </m:r>
                  </m:sub>
                </m:sSub>
                <m:r>
                  <w:rPr>
                    <w:rFonts w:ascii="Cambria Math" w:hAnsi="Cambria Math"/>
                    <w:sz w:val="20"/>
                    <w:szCs w:val="20"/>
                  </w:rPr>
                  <m:t>ProESGPolic</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st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3</m:t>
                    </m:r>
                  </m:sub>
                </m:sSub>
                <m:sSub>
                  <m:sSubPr>
                    <m:ctrlPr>
                      <w:rPr>
                        <w:rFonts w:ascii="Cambria Math" w:hAnsi="Cambria Math"/>
                        <w:i/>
                        <w:sz w:val="20"/>
                        <w:szCs w:val="20"/>
                      </w:rPr>
                    </m:ctrlPr>
                  </m:sSubPr>
                  <m:e>
                    <m:d>
                      <m:dPr>
                        <m:ctrlPr>
                          <w:rPr>
                            <w:rFonts w:ascii="Cambria Math" w:hAnsi="Cambria Math"/>
                            <w:sz w:val="20"/>
                            <w:szCs w:val="20"/>
                          </w:rPr>
                        </m:ctrlPr>
                      </m:dPr>
                      <m:e>
                        <m:r>
                          <w:rPr>
                            <w:rFonts w:ascii="Cambria Math" w:hAnsi="Cambria Math"/>
                            <w:sz w:val="20"/>
                            <w:szCs w:val="20"/>
                          </w:rPr>
                          <m:t>AntiESGPolicy</m:t>
                        </m:r>
                        <m:r>
                          <m:rPr>
                            <m:sty m:val="p"/>
                          </m:rPr>
                          <w:rPr>
                            <w:rFonts w:ascii="Cambria Math" w:hAnsi="Cambria Math"/>
                            <w:sz w:val="20"/>
                            <w:szCs w:val="20"/>
                          </w:rPr>
                          <m:t>×</m:t>
                        </m:r>
                        <m:r>
                          <w:rPr>
                            <w:rFonts w:ascii="Cambria Math" w:hAnsi="Cambria Math"/>
                            <w:sz w:val="20"/>
                            <w:szCs w:val="20"/>
                          </w:rPr>
                          <m:t>BoardGenderDiversity</m:t>
                        </m:r>
                        <m:ctrlPr>
                          <w:rPr>
                            <w:rFonts w:ascii="Cambria Math" w:hAnsi="Cambria Math"/>
                            <w:i/>
                            <w:sz w:val="20"/>
                            <w:szCs w:val="20"/>
                          </w:rPr>
                        </m:ctrlPr>
                      </m:e>
                    </m:d>
                  </m:e>
                  <m:sub>
                    <m:r>
                      <w:rPr>
                        <w:rFonts w:ascii="Cambria Math" w:hAnsi="Cambria Math"/>
                        <w:sz w:val="20"/>
                        <w:szCs w:val="20"/>
                      </w:rPr>
                      <m:t>it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4</m:t>
                    </m:r>
                  </m:sub>
                </m:sSub>
                <m:sSub>
                  <m:sSubPr>
                    <m:ctrlPr>
                      <w:rPr>
                        <w:rFonts w:ascii="Cambria Math" w:hAnsi="Cambria Math"/>
                        <w:i/>
                        <w:sz w:val="20"/>
                        <w:szCs w:val="20"/>
                      </w:rPr>
                    </m:ctrlPr>
                  </m:sSubPr>
                  <m:e>
                    <m:d>
                      <m:dPr>
                        <m:ctrlPr>
                          <w:rPr>
                            <w:rFonts w:ascii="Cambria Math" w:hAnsi="Cambria Math"/>
                            <w:sz w:val="20"/>
                            <w:szCs w:val="20"/>
                          </w:rPr>
                        </m:ctrlPr>
                      </m:dPr>
                      <m:e>
                        <m:r>
                          <w:rPr>
                            <w:rFonts w:ascii="Cambria Math" w:hAnsi="Cambria Math"/>
                            <w:sz w:val="20"/>
                            <w:szCs w:val="20"/>
                          </w:rPr>
                          <m:t>ProESGPolicy</m:t>
                        </m:r>
                        <m:r>
                          <m:rPr>
                            <m:sty m:val="p"/>
                          </m:rPr>
                          <w:rPr>
                            <w:rFonts w:ascii="Cambria Math" w:hAnsi="Cambria Math"/>
                            <w:sz w:val="20"/>
                            <w:szCs w:val="20"/>
                          </w:rPr>
                          <m:t>×</m:t>
                        </m:r>
                        <m:r>
                          <w:rPr>
                            <w:rFonts w:ascii="Cambria Math" w:hAnsi="Cambria Math"/>
                            <w:sz w:val="20"/>
                            <w:szCs w:val="20"/>
                          </w:rPr>
                          <m:t>BoardGenderDiversity</m:t>
                        </m:r>
                        <m:ctrlPr>
                          <w:rPr>
                            <w:rFonts w:ascii="Cambria Math" w:hAnsi="Cambria Math"/>
                            <w:i/>
                            <w:sz w:val="20"/>
                            <w:szCs w:val="20"/>
                          </w:rPr>
                        </m:ctrlPr>
                      </m:e>
                    </m:d>
                  </m:e>
                  <m:sub>
                    <m:r>
                      <w:rPr>
                        <w:rFonts w:ascii="Cambria Math" w:hAnsi="Cambria Math"/>
                        <w:sz w:val="20"/>
                        <w:szCs w:val="20"/>
                      </w:rPr>
                      <m:t>it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k</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ε</m:t>
                    </m:r>
                  </m:e>
                  <m:sub>
                    <m:r>
                      <w:rPr>
                        <w:rFonts w:ascii="Cambria Math" w:hAnsi="Cambria Math"/>
                        <w:sz w:val="20"/>
                        <w:szCs w:val="20"/>
                      </w:rPr>
                      <m:t>it</m:t>
                    </m:r>
                  </m:sub>
                </m:sSub>
              </m:oMath>
            </m:oMathPara>
          </w:p>
        </w:tc>
        <w:tc>
          <w:tcPr>
            <w:tcW w:w="535" w:type="dxa"/>
            <w:tcBorders>
              <w:top w:val="nil"/>
              <w:left w:val="nil"/>
              <w:bottom w:val="nil"/>
              <w:right w:val="nil"/>
            </w:tcBorders>
          </w:tcPr>
          <w:p w14:paraId="160A094F" w14:textId="6AE23788" w:rsidR="00A279DB" w:rsidRPr="00063811" w:rsidRDefault="000458F4" w:rsidP="00F256FD">
            <w:pPr>
              <w:spacing w:line="480" w:lineRule="auto"/>
            </w:pPr>
            <w:r w:rsidRPr="00063811">
              <w:t>(</w:t>
            </w:r>
            <w:r w:rsidR="0051427E" w:rsidRPr="00063811">
              <w:t>5</w:t>
            </w:r>
            <w:r w:rsidRPr="00063811">
              <w:t>)</w:t>
            </w:r>
          </w:p>
        </w:tc>
      </w:tr>
    </w:tbl>
    <w:p w14:paraId="001D8158" w14:textId="081765F6" w:rsidR="00134356" w:rsidRPr="00063811" w:rsidRDefault="000458F4" w:rsidP="00F256FD">
      <w:pPr>
        <w:spacing w:line="480" w:lineRule="auto"/>
        <w:ind w:firstLine="720"/>
      </w:pPr>
      <w:r w:rsidRPr="00063811">
        <w:t xml:space="preserve">In this expanded specification,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3</m:t>
            </m:r>
          </m:sub>
        </m:sSub>
      </m:oMath>
      <w:r w:rsidRPr="00063811">
        <w:t xml:space="preserve"> and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4</m:t>
            </m:r>
          </m:sub>
        </m:sSub>
      </m:oMath>
      <w:r w:rsidRPr="00063811">
        <w:t xml:space="preserve"> represent the differential effects of state ESG policies conditional on varying levels of board gender diversity. This approach enables the assessment of whether gender</w:t>
      </w:r>
      <w:r w:rsidR="00A10843" w:rsidRPr="00063811">
        <w:t xml:space="preserve"> </w:t>
      </w:r>
      <w:r w:rsidRPr="00063811">
        <w:t>divers</w:t>
      </w:r>
      <w:r w:rsidR="00A10843" w:rsidRPr="00063811">
        <w:t>ity</w:t>
      </w:r>
      <w:r w:rsidRPr="00063811">
        <w:t xml:space="preserve"> </w:t>
      </w:r>
      <w:r w:rsidR="00A10843" w:rsidRPr="00063811">
        <w:t>moderates the</w:t>
      </w:r>
      <w:r w:rsidRPr="00063811">
        <w:t xml:space="preserve"> effects of anti-ESG policies pro-ESG </w:t>
      </w:r>
      <w:r w:rsidR="00A10843" w:rsidRPr="00063811">
        <w:t>legislation</w:t>
      </w:r>
      <w:r w:rsidRPr="00063811">
        <w:t>.</w:t>
      </w:r>
      <w:r w:rsidR="00A10843" w:rsidRPr="00063811">
        <w:t xml:space="preserve"> </w:t>
      </w:r>
      <w:r w:rsidR="00C602D7" w:rsidRPr="00063811">
        <w:t xml:space="preserve">To address potential heteroscedasticity, </w:t>
      </w:r>
      <w:r w:rsidR="00363441" w:rsidRPr="00063811">
        <w:t>I</w:t>
      </w:r>
      <w:r w:rsidR="00C602D7" w:rsidRPr="00063811">
        <w:t xml:space="preserve"> estimated the model using robust standard errors. This approach provides more conservative inference by accounting for potential violations of homoscedasticity assumptions. The inclusion of fixed effects helps mitigate concerns about omitted variable bias from unobserved </w:t>
      </w:r>
      <w:r w:rsidR="008D5ED9" w:rsidRPr="00063811">
        <w:t xml:space="preserve">year and company </w:t>
      </w:r>
      <w:r w:rsidR="00C602D7" w:rsidRPr="00063811">
        <w:t>characteristics that might correlate with both ESG policies and firm performance.</w:t>
      </w:r>
    </w:p>
    <w:p w14:paraId="11F569BD" w14:textId="390B17EC" w:rsidR="00870FFE" w:rsidRPr="00063811" w:rsidRDefault="00870FFE" w:rsidP="006760A7">
      <w:pPr>
        <w:pStyle w:val="Heading2"/>
      </w:pPr>
      <w:bookmarkStart w:id="34" w:name="_Toc193977952"/>
      <w:r w:rsidRPr="00063811">
        <w:t>Discussion</w:t>
      </w:r>
      <w:bookmarkEnd w:id="34"/>
    </w:p>
    <w:p w14:paraId="4E5DA951" w14:textId="3A6ED3BC" w:rsidR="00372DF4" w:rsidRPr="00063811" w:rsidRDefault="00987585" w:rsidP="00F256FD">
      <w:pPr>
        <w:spacing w:line="480" w:lineRule="auto"/>
        <w:ind w:firstLine="720"/>
      </w:pPr>
      <w:r w:rsidRPr="00063811">
        <w:t>The empirical analysis reveals nuanced relationships between state-level ESG policies and corporate sustainability outcomes. These findings contribute to understanding the complex interplay between regulatory frameworks and firm ESG performance, while highlighting the moderating role of board composition.</w:t>
      </w:r>
    </w:p>
    <w:p w14:paraId="0E8E5F06" w14:textId="77777777" w:rsidR="00987585" w:rsidRPr="00063811" w:rsidRDefault="00987585" w:rsidP="006760A7">
      <w:pPr>
        <w:pStyle w:val="Heading3"/>
      </w:pPr>
      <w:r w:rsidRPr="00063811">
        <w:t>Differential Policy Effects on ESG Dimensions</w:t>
      </w:r>
    </w:p>
    <w:p w14:paraId="650B4FEF" w14:textId="35230594" w:rsidR="000B639C" w:rsidRPr="00063811" w:rsidRDefault="00987585" w:rsidP="00F256FD">
      <w:pPr>
        <w:spacing w:line="480" w:lineRule="auto"/>
        <w:ind w:firstLine="720"/>
      </w:pPr>
      <w:r w:rsidRPr="00063811">
        <w:t xml:space="preserve">The results demonstrate that </w:t>
      </w:r>
      <w:r w:rsidR="00CE0C5B" w:rsidRPr="00063811">
        <w:t>a</w:t>
      </w:r>
      <w:r w:rsidRPr="00063811">
        <w:t xml:space="preserve">nti-ESG and </w:t>
      </w:r>
      <w:r w:rsidR="00CE0C5B" w:rsidRPr="00063811">
        <w:t>p</w:t>
      </w:r>
      <w:r w:rsidRPr="00063811">
        <w:t>ro-ESG policies have asymmetric effects on corporate sustainability performance, varying significantly across ESG dimensions</w:t>
      </w:r>
      <w:r w:rsidR="00CE0C5B" w:rsidRPr="00063811">
        <w:t xml:space="preserve"> (see Table </w:t>
      </w:r>
      <w:r w:rsidR="00372CB1">
        <w:t>5</w:t>
      </w:r>
      <w:r w:rsidR="00CE0C5B" w:rsidRPr="00063811">
        <w:t>)</w:t>
      </w:r>
      <w:r w:rsidRPr="00063811">
        <w:t xml:space="preserve">. </w:t>
      </w:r>
      <w:r w:rsidR="00CE0C5B" w:rsidRPr="00063811">
        <w:t>a</w:t>
      </w:r>
      <w:r w:rsidRPr="00063811">
        <w:t xml:space="preserve">nti-ESG legislation shows a statistically significant negative impact on environmental performance (β = -2.097, p &lt; 0.01) in the baseline model, with an even stronger effect when accounting for interaction terms (β = -4.880, p &lt; 0.01). This substantial coefficient suggests that </w:t>
      </w:r>
      <w:r w:rsidR="00372CB1">
        <w:lastRenderedPageBreak/>
        <w:t>a</w:t>
      </w:r>
      <w:r w:rsidRPr="00063811">
        <w:t>nti-ESG policies may effectively discourage corporate environmental initiatives, potentially by reducing regulatory pressure and signaling state-level de-prioritization of environmental concerns.</w:t>
      </w:r>
    </w:p>
    <w:p w14:paraId="46E5BCBB" w14:textId="783CE24C" w:rsidR="00F9570A" w:rsidRPr="00063811" w:rsidRDefault="00987585" w:rsidP="00F9570A">
      <w:pPr>
        <w:spacing w:line="480" w:lineRule="auto"/>
        <w:ind w:firstLine="720"/>
      </w:pPr>
      <w:r w:rsidRPr="00063811">
        <w:t xml:space="preserve">In contrast, </w:t>
      </w:r>
      <w:r w:rsidR="00CE0C5B" w:rsidRPr="00063811">
        <w:t>p</w:t>
      </w:r>
      <w:r w:rsidRPr="00063811">
        <w:t xml:space="preserve">ro-ESG policies exhibit a positive and significant effect on overall ESG scores (β = 0.708, p &lt; 0.05) and social performance (β = 1.509, p &lt; 0.01) in the baseline model. This finding aligns with signaling theory (Connelly et al., 2011), suggesting that supportive regulatory environments encourage firms to enhance their ESG disclosures and performance to signal compliance with evolving norms. Surprisingly, </w:t>
      </w:r>
      <w:r w:rsidR="00CE0C5B" w:rsidRPr="00063811">
        <w:t>p</w:t>
      </w:r>
      <w:r w:rsidRPr="00063811">
        <w:t xml:space="preserve">ro-ESG policies show no significant effect on environmental performance, indicating these policies may be more effective at improving social governance aspects than addressing environmental challenges in the short term. Future research should incorporate a lag variable to account for strategic compliance that firms exhibit in the face of new regulation. </w:t>
      </w:r>
      <w:r w:rsidR="00F9570A" w:rsidRPr="00063811">
        <w:t xml:space="preserve">As witnessed by Arvidsson and Dumay's (2022), firms initially </w:t>
      </w:r>
      <w:proofErr w:type="gramStart"/>
      <w:r w:rsidR="00F9570A" w:rsidRPr="00063811">
        <w:t>enter into</w:t>
      </w:r>
      <w:proofErr w:type="gramEnd"/>
      <w:r w:rsidR="00F9570A" w:rsidRPr="00063811">
        <w:t xml:space="preserve"> a minimal compliance strategy until enforcement mechanisms are better understood, at which point ESG performance begins to increase.</w:t>
      </w:r>
    </w:p>
    <w:p w14:paraId="78A47697" w14:textId="77777777" w:rsidR="00F9570A" w:rsidRPr="00063811" w:rsidRDefault="00F9570A" w:rsidP="00D02041">
      <w:pPr>
        <w:spacing w:line="480" w:lineRule="auto"/>
        <w:ind w:firstLine="720"/>
      </w:pPr>
    </w:p>
    <w:p w14:paraId="491AC097" w14:textId="77777777" w:rsidR="00CE0C5B" w:rsidRPr="008612B7" w:rsidRDefault="00CE0C5B">
      <w:pPr>
        <w:spacing w:after="160" w:line="278" w:lineRule="auto"/>
        <w:rPr>
          <w:rFonts w:eastAsiaTheme="minorHAnsi"/>
          <w:b/>
          <w:bCs/>
          <w:color w:val="000000" w:themeColor="text1"/>
          <w:kern w:val="2"/>
          <w:sz w:val="20"/>
          <w:szCs w:val="20"/>
          <w14:ligatures w14:val="standardContextual"/>
        </w:rPr>
      </w:pPr>
      <w:r w:rsidRPr="008612B7">
        <w:rPr>
          <w:b/>
          <w:bCs/>
          <w:i/>
          <w:iCs/>
          <w:color w:val="000000" w:themeColor="text1"/>
          <w:sz w:val="20"/>
          <w:szCs w:val="20"/>
        </w:rPr>
        <w:br w:type="page"/>
      </w:r>
    </w:p>
    <w:p w14:paraId="11BE1F1B" w14:textId="03F38A12" w:rsidR="00D02041" w:rsidRPr="008612B7" w:rsidRDefault="00D02041" w:rsidP="00D02041">
      <w:pPr>
        <w:pStyle w:val="Caption"/>
        <w:keepNext/>
        <w:spacing w:after="0"/>
        <w:rPr>
          <w:rFonts w:ascii="Times New Roman" w:hAnsi="Times New Roman" w:cs="Times New Roman"/>
          <w:b/>
          <w:bCs/>
          <w:i w:val="0"/>
          <w:iCs w:val="0"/>
          <w:color w:val="000000" w:themeColor="text1"/>
          <w:sz w:val="20"/>
          <w:szCs w:val="20"/>
        </w:rPr>
      </w:pPr>
    </w:p>
    <w:p w14:paraId="0B7EDCDC" w14:textId="0A5F0F2C" w:rsidR="00CE0C5B" w:rsidRPr="008612B7" w:rsidRDefault="00CE0C5B" w:rsidP="008612B7">
      <w:pPr>
        <w:pStyle w:val="Caption"/>
        <w:keepNext/>
        <w:spacing w:after="0"/>
        <w:rPr>
          <w:b/>
          <w:bCs/>
          <w:sz w:val="20"/>
          <w:szCs w:val="20"/>
        </w:rPr>
      </w:pPr>
    </w:p>
    <w:p w14:paraId="5EF1476C" w14:textId="77C7FC68" w:rsidR="00063811" w:rsidRPr="008612B7" w:rsidRDefault="00063811" w:rsidP="008612B7">
      <w:pPr>
        <w:pStyle w:val="Caption"/>
        <w:keepNext/>
        <w:spacing w:after="0"/>
        <w:rPr>
          <w:b/>
          <w:bCs/>
          <w:sz w:val="20"/>
          <w:szCs w:val="20"/>
        </w:rPr>
      </w:pPr>
      <w:r w:rsidRPr="008612B7">
        <w:rPr>
          <w:rFonts w:ascii="Times New Roman" w:hAnsi="Times New Roman" w:cs="Times New Roman"/>
          <w:b/>
          <w:bCs/>
          <w:i w:val="0"/>
          <w:iCs w:val="0"/>
          <w:color w:val="auto"/>
          <w:sz w:val="20"/>
          <w:szCs w:val="20"/>
        </w:rPr>
        <w:t xml:space="preserve">Table </w:t>
      </w:r>
      <w:r w:rsidRPr="008612B7">
        <w:rPr>
          <w:rFonts w:ascii="Times New Roman" w:hAnsi="Times New Roman" w:cs="Times New Roman"/>
          <w:b/>
          <w:bCs/>
          <w:i w:val="0"/>
          <w:iCs w:val="0"/>
          <w:color w:val="auto"/>
          <w:sz w:val="20"/>
          <w:szCs w:val="20"/>
        </w:rPr>
        <w:fldChar w:fldCharType="begin"/>
      </w:r>
      <w:r w:rsidRPr="008612B7">
        <w:rPr>
          <w:rFonts w:ascii="Times New Roman" w:hAnsi="Times New Roman" w:cs="Times New Roman"/>
          <w:b/>
          <w:bCs/>
          <w:i w:val="0"/>
          <w:iCs w:val="0"/>
          <w:color w:val="auto"/>
          <w:sz w:val="20"/>
          <w:szCs w:val="20"/>
        </w:rPr>
        <w:instrText xml:space="preserve"> SEQ Table \* ARABIC </w:instrText>
      </w:r>
      <w:r w:rsidRPr="008612B7">
        <w:rPr>
          <w:rFonts w:ascii="Times New Roman" w:hAnsi="Times New Roman" w:cs="Times New Roman"/>
          <w:b/>
          <w:bCs/>
          <w:i w:val="0"/>
          <w:iCs w:val="0"/>
          <w:color w:val="auto"/>
          <w:sz w:val="20"/>
          <w:szCs w:val="20"/>
        </w:rPr>
        <w:fldChar w:fldCharType="separate"/>
      </w:r>
      <w:r w:rsidRPr="008612B7">
        <w:rPr>
          <w:rFonts w:ascii="Times New Roman" w:hAnsi="Times New Roman" w:cs="Times New Roman"/>
          <w:b/>
          <w:bCs/>
          <w:i w:val="0"/>
          <w:iCs w:val="0"/>
          <w:noProof/>
          <w:color w:val="auto"/>
          <w:sz w:val="20"/>
          <w:szCs w:val="20"/>
        </w:rPr>
        <w:t>5</w:t>
      </w:r>
      <w:r w:rsidRPr="008612B7">
        <w:rPr>
          <w:rFonts w:ascii="Times New Roman" w:hAnsi="Times New Roman" w:cs="Times New Roman"/>
          <w:b/>
          <w:bCs/>
          <w:i w:val="0"/>
          <w:iCs w:val="0"/>
          <w:color w:val="auto"/>
          <w:sz w:val="20"/>
          <w:szCs w:val="20"/>
        </w:rPr>
        <w:fldChar w:fldCharType="end"/>
      </w:r>
      <w:r w:rsidRPr="008612B7">
        <w:rPr>
          <w:rFonts w:ascii="Times New Roman" w:hAnsi="Times New Roman" w:cs="Times New Roman"/>
          <w:b/>
          <w:bCs/>
          <w:i w:val="0"/>
          <w:iCs w:val="0"/>
          <w:color w:val="auto"/>
          <w:sz w:val="20"/>
          <w:szCs w:val="20"/>
        </w:rPr>
        <w:t xml:space="preserve">. </w:t>
      </w:r>
      <w:bookmarkStart w:id="35" w:name="_Toc193976798"/>
      <w:r w:rsidRPr="008612B7">
        <w:rPr>
          <w:rFonts w:ascii="Times New Roman" w:hAnsi="Times New Roman" w:cs="Times New Roman"/>
          <w:b/>
          <w:bCs/>
          <w:i w:val="0"/>
          <w:iCs w:val="0"/>
          <w:color w:val="auto"/>
          <w:sz w:val="20"/>
          <w:szCs w:val="20"/>
        </w:rPr>
        <w:t>Baseline Results</w:t>
      </w:r>
      <w:bookmarkEnd w:id="35"/>
    </w:p>
    <w:tbl>
      <w:tblPr>
        <w:tblStyle w:val="PlainTable5"/>
        <w:tblW w:w="9360" w:type="dxa"/>
        <w:tblLook w:val="04A0" w:firstRow="1" w:lastRow="0" w:firstColumn="1" w:lastColumn="0" w:noHBand="0" w:noVBand="1"/>
      </w:tblPr>
      <w:tblGrid>
        <w:gridCol w:w="2970"/>
        <w:gridCol w:w="2160"/>
        <w:gridCol w:w="2700"/>
        <w:gridCol w:w="1530"/>
      </w:tblGrid>
      <w:tr w:rsidR="00183449" w:rsidRPr="00063811" w14:paraId="5B6AD9D1" w14:textId="77777777" w:rsidTr="00183449">
        <w:trPr>
          <w:cnfStyle w:val="100000000000" w:firstRow="1" w:lastRow="0" w:firstColumn="0" w:lastColumn="0" w:oddVBand="0" w:evenVBand="0" w:oddHBand="0" w:evenHBand="0" w:firstRowFirstColumn="0" w:firstRowLastColumn="0" w:lastRowFirstColumn="0" w:lastRowLastColumn="0"/>
          <w:trHeight w:val="276"/>
        </w:trPr>
        <w:tc>
          <w:tcPr>
            <w:cnfStyle w:val="001000000100" w:firstRow="0" w:lastRow="0" w:firstColumn="1" w:lastColumn="0" w:oddVBand="0" w:evenVBand="0" w:oddHBand="0" w:evenHBand="0" w:firstRowFirstColumn="1" w:firstRowLastColumn="0" w:lastRowFirstColumn="0" w:lastRowLastColumn="0"/>
            <w:tcW w:w="2970" w:type="dxa"/>
            <w:tcBorders>
              <w:top w:val="single" w:sz="4" w:space="0" w:color="auto"/>
              <w:right w:val="single" w:sz="4" w:space="0" w:color="auto"/>
            </w:tcBorders>
            <w:noWrap/>
            <w:vAlign w:val="center"/>
            <w:hideMark/>
          </w:tcPr>
          <w:p w14:paraId="5F0E568D" w14:textId="77777777" w:rsidR="00E52BF7" w:rsidRPr="00907A18" w:rsidRDefault="00E52BF7" w:rsidP="00183449">
            <w:pPr>
              <w:jc w:val="center"/>
              <w:rPr>
                <w:b/>
                <w:bCs/>
                <w:sz w:val="20"/>
                <w:szCs w:val="20"/>
              </w:rPr>
            </w:pPr>
            <w:r w:rsidRPr="00907A18">
              <w:rPr>
                <w:b/>
                <w:bCs/>
                <w:sz w:val="20"/>
                <w:szCs w:val="20"/>
              </w:rPr>
              <w:t>Variables</w:t>
            </w:r>
          </w:p>
        </w:tc>
        <w:tc>
          <w:tcPr>
            <w:tcW w:w="2160" w:type="dxa"/>
            <w:tcBorders>
              <w:top w:val="single" w:sz="4" w:space="0" w:color="auto"/>
              <w:left w:val="single" w:sz="4" w:space="0" w:color="auto"/>
            </w:tcBorders>
            <w:noWrap/>
            <w:vAlign w:val="center"/>
            <w:hideMark/>
          </w:tcPr>
          <w:p w14:paraId="441B56F5" w14:textId="77777777" w:rsidR="00E52BF7" w:rsidRPr="00907A18" w:rsidRDefault="00E52BF7" w:rsidP="00183449">
            <w:pPr>
              <w:jc w:val="center"/>
              <w:cnfStyle w:val="100000000000" w:firstRow="1" w:lastRow="0" w:firstColumn="0" w:lastColumn="0" w:oddVBand="0" w:evenVBand="0" w:oddHBand="0" w:evenHBand="0" w:firstRowFirstColumn="0" w:firstRowLastColumn="0" w:lastRowFirstColumn="0" w:lastRowLastColumn="0"/>
              <w:rPr>
                <w:b/>
                <w:bCs/>
                <w:sz w:val="20"/>
                <w:szCs w:val="20"/>
              </w:rPr>
            </w:pPr>
            <w:r w:rsidRPr="00907A18">
              <w:rPr>
                <w:b/>
                <w:bCs/>
                <w:sz w:val="20"/>
                <w:szCs w:val="20"/>
              </w:rPr>
              <w:t>Overall ESG Score</w:t>
            </w:r>
          </w:p>
        </w:tc>
        <w:tc>
          <w:tcPr>
            <w:tcW w:w="2700" w:type="dxa"/>
            <w:tcBorders>
              <w:top w:val="single" w:sz="4" w:space="0" w:color="auto"/>
            </w:tcBorders>
            <w:noWrap/>
            <w:vAlign w:val="center"/>
            <w:hideMark/>
          </w:tcPr>
          <w:p w14:paraId="67E3D8E2" w14:textId="77777777" w:rsidR="00E52BF7" w:rsidRPr="00907A18" w:rsidRDefault="00E52BF7" w:rsidP="00183449">
            <w:pPr>
              <w:jc w:val="center"/>
              <w:cnfStyle w:val="100000000000" w:firstRow="1" w:lastRow="0" w:firstColumn="0" w:lastColumn="0" w:oddVBand="0" w:evenVBand="0" w:oddHBand="0" w:evenHBand="0" w:firstRowFirstColumn="0" w:firstRowLastColumn="0" w:lastRowFirstColumn="0" w:lastRowLastColumn="0"/>
              <w:rPr>
                <w:b/>
                <w:bCs/>
                <w:sz w:val="20"/>
                <w:szCs w:val="20"/>
              </w:rPr>
            </w:pPr>
            <w:r w:rsidRPr="00907A18">
              <w:rPr>
                <w:b/>
                <w:bCs/>
                <w:sz w:val="20"/>
                <w:szCs w:val="20"/>
              </w:rPr>
              <w:t>Environmental Score</w:t>
            </w:r>
          </w:p>
        </w:tc>
        <w:tc>
          <w:tcPr>
            <w:tcW w:w="1530" w:type="dxa"/>
            <w:tcBorders>
              <w:top w:val="single" w:sz="4" w:space="0" w:color="auto"/>
            </w:tcBorders>
            <w:noWrap/>
            <w:vAlign w:val="center"/>
            <w:hideMark/>
          </w:tcPr>
          <w:p w14:paraId="2B0434D0" w14:textId="77777777" w:rsidR="00E52BF7" w:rsidRPr="00907A18" w:rsidRDefault="00E52BF7" w:rsidP="00183449">
            <w:pPr>
              <w:jc w:val="center"/>
              <w:cnfStyle w:val="100000000000" w:firstRow="1" w:lastRow="0" w:firstColumn="0" w:lastColumn="0" w:oddVBand="0" w:evenVBand="0" w:oddHBand="0" w:evenHBand="0" w:firstRowFirstColumn="0" w:firstRowLastColumn="0" w:lastRowFirstColumn="0" w:lastRowLastColumn="0"/>
              <w:rPr>
                <w:b/>
                <w:bCs/>
                <w:sz w:val="20"/>
                <w:szCs w:val="20"/>
              </w:rPr>
            </w:pPr>
            <w:r w:rsidRPr="00907A18">
              <w:rPr>
                <w:b/>
                <w:bCs/>
                <w:sz w:val="20"/>
                <w:szCs w:val="20"/>
              </w:rPr>
              <w:t>Social Score</w:t>
            </w:r>
          </w:p>
        </w:tc>
      </w:tr>
      <w:tr w:rsidR="00E52BF7" w:rsidRPr="00063811" w14:paraId="7AA950D1" w14:textId="77777777" w:rsidTr="0018344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970" w:type="dxa"/>
            <w:tcBorders>
              <w:right w:val="single" w:sz="4" w:space="0" w:color="auto"/>
            </w:tcBorders>
            <w:noWrap/>
            <w:vAlign w:val="center"/>
          </w:tcPr>
          <w:p w14:paraId="2D3300FE" w14:textId="77777777" w:rsidR="00E52BF7" w:rsidRPr="00907A18" w:rsidRDefault="00E52BF7" w:rsidP="00183449">
            <w:pPr>
              <w:jc w:val="center"/>
              <w:rPr>
                <w:b/>
                <w:bCs/>
                <w:sz w:val="20"/>
                <w:szCs w:val="20"/>
              </w:rPr>
            </w:pPr>
          </w:p>
        </w:tc>
        <w:tc>
          <w:tcPr>
            <w:tcW w:w="2160" w:type="dxa"/>
            <w:tcBorders>
              <w:left w:val="single" w:sz="4" w:space="0" w:color="auto"/>
            </w:tcBorders>
            <w:noWrap/>
            <w:vAlign w:val="center"/>
          </w:tcPr>
          <w:p w14:paraId="18B9D07D"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b/>
                <w:bCs/>
                <w:sz w:val="20"/>
                <w:szCs w:val="20"/>
              </w:rPr>
            </w:pPr>
          </w:p>
        </w:tc>
        <w:tc>
          <w:tcPr>
            <w:tcW w:w="2700" w:type="dxa"/>
            <w:noWrap/>
            <w:vAlign w:val="center"/>
          </w:tcPr>
          <w:p w14:paraId="2B801870"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b/>
                <w:bCs/>
                <w:sz w:val="20"/>
                <w:szCs w:val="20"/>
              </w:rPr>
            </w:pPr>
          </w:p>
        </w:tc>
        <w:tc>
          <w:tcPr>
            <w:tcW w:w="1530" w:type="dxa"/>
            <w:noWrap/>
            <w:vAlign w:val="center"/>
          </w:tcPr>
          <w:p w14:paraId="6C365009"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b/>
                <w:bCs/>
                <w:sz w:val="20"/>
                <w:szCs w:val="20"/>
              </w:rPr>
            </w:pPr>
          </w:p>
        </w:tc>
      </w:tr>
      <w:tr w:rsidR="00E52BF7" w:rsidRPr="00063811" w14:paraId="440778BF" w14:textId="77777777" w:rsidTr="00183449">
        <w:trPr>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4C8E6354" w14:textId="77777777" w:rsidR="00E52BF7" w:rsidRPr="00907A18" w:rsidRDefault="00E52BF7" w:rsidP="00183449">
            <w:pPr>
              <w:jc w:val="center"/>
              <w:rPr>
                <w:sz w:val="20"/>
                <w:szCs w:val="20"/>
              </w:rPr>
            </w:pPr>
            <w:r w:rsidRPr="00907A18">
              <w:rPr>
                <w:sz w:val="20"/>
                <w:szCs w:val="20"/>
              </w:rPr>
              <w:t>Anti ESG Policy (1=Yes)</w:t>
            </w:r>
          </w:p>
        </w:tc>
        <w:tc>
          <w:tcPr>
            <w:tcW w:w="2160" w:type="dxa"/>
            <w:noWrap/>
            <w:vAlign w:val="center"/>
            <w:hideMark/>
          </w:tcPr>
          <w:p w14:paraId="0D855BAB"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-0.0852</w:t>
            </w:r>
          </w:p>
        </w:tc>
        <w:tc>
          <w:tcPr>
            <w:tcW w:w="2700" w:type="dxa"/>
            <w:noWrap/>
            <w:vAlign w:val="center"/>
            <w:hideMark/>
          </w:tcPr>
          <w:p w14:paraId="501A73E8"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-2.097***</w:t>
            </w:r>
          </w:p>
        </w:tc>
        <w:tc>
          <w:tcPr>
            <w:tcW w:w="1530" w:type="dxa"/>
            <w:noWrap/>
            <w:vAlign w:val="center"/>
            <w:hideMark/>
          </w:tcPr>
          <w:p w14:paraId="21DD5B62"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0.484</w:t>
            </w:r>
          </w:p>
        </w:tc>
      </w:tr>
      <w:tr w:rsidR="00E52BF7" w:rsidRPr="00063811" w14:paraId="75B957F9" w14:textId="77777777" w:rsidTr="00183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6DB00F6D" w14:textId="77777777" w:rsidR="00E52BF7" w:rsidRPr="00907A18" w:rsidRDefault="00E52BF7" w:rsidP="00183449">
            <w:pPr>
              <w:jc w:val="center"/>
              <w:rPr>
                <w:sz w:val="20"/>
                <w:szCs w:val="20"/>
              </w:rPr>
            </w:pPr>
          </w:p>
        </w:tc>
        <w:tc>
          <w:tcPr>
            <w:tcW w:w="2160" w:type="dxa"/>
            <w:noWrap/>
            <w:vAlign w:val="center"/>
            <w:hideMark/>
          </w:tcPr>
          <w:p w14:paraId="164CB2D9"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(0.411)</w:t>
            </w:r>
          </w:p>
        </w:tc>
        <w:tc>
          <w:tcPr>
            <w:tcW w:w="2700" w:type="dxa"/>
            <w:noWrap/>
            <w:vAlign w:val="center"/>
            <w:hideMark/>
          </w:tcPr>
          <w:p w14:paraId="1775F831"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(0.635)</w:t>
            </w:r>
          </w:p>
        </w:tc>
        <w:tc>
          <w:tcPr>
            <w:tcW w:w="1530" w:type="dxa"/>
            <w:noWrap/>
            <w:vAlign w:val="center"/>
            <w:hideMark/>
          </w:tcPr>
          <w:p w14:paraId="23BF1C9C"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(0.514)</w:t>
            </w:r>
          </w:p>
        </w:tc>
      </w:tr>
      <w:tr w:rsidR="00E52BF7" w:rsidRPr="00063811" w14:paraId="13D35C6F" w14:textId="77777777" w:rsidTr="00183449">
        <w:trPr>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6270DA59" w14:textId="77777777" w:rsidR="00E52BF7" w:rsidRPr="00907A18" w:rsidRDefault="00E52BF7" w:rsidP="00183449">
            <w:pPr>
              <w:jc w:val="center"/>
              <w:rPr>
                <w:sz w:val="20"/>
                <w:szCs w:val="20"/>
              </w:rPr>
            </w:pPr>
            <w:r w:rsidRPr="00907A18">
              <w:rPr>
                <w:sz w:val="20"/>
                <w:szCs w:val="20"/>
              </w:rPr>
              <w:t>Pro ESG Policy (1=Yes)</w:t>
            </w:r>
          </w:p>
        </w:tc>
        <w:tc>
          <w:tcPr>
            <w:tcW w:w="2160" w:type="dxa"/>
            <w:noWrap/>
            <w:vAlign w:val="center"/>
            <w:hideMark/>
          </w:tcPr>
          <w:p w14:paraId="1E7581F1"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0.708**</w:t>
            </w:r>
          </w:p>
        </w:tc>
        <w:tc>
          <w:tcPr>
            <w:tcW w:w="2700" w:type="dxa"/>
            <w:noWrap/>
            <w:vAlign w:val="center"/>
            <w:hideMark/>
          </w:tcPr>
          <w:p w14:paraId="1D06CCD3"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-0.0948</w:t>
            </w:r>
          </w:p>
        </w:tc>
        <w:tc>
          <w:tcPr>
            <w:tcW w:w="1530" w:type="dxa"/>
            <w:noWrap/>
            <w:vAlign w:val="center"/>
            <w:hideMark/>
          </w:tcPr>
          <w:p w14:paraId="28EC7F10"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1.509***</w:t>
            </w:r>
          </w:p>
        </w:tc>
      </w:tr>
      <w:tr w:rsidR="00E52BF7" w:rsidRPr="00063811" w14:paraId="6FDB3C5F" w14:textId="77777777" w:rsidTr="00183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2E8DDD13" w14:textId="77777777" w:rsidR="00E52BF7" w:rsidRPr="00907A18" w:rsidRDefault="00E52BF7" w:rsidP="00183449">
            <w:pPr>
              <w:jc w:val="center"/>
              <w:rPr>
                <w:sz w:val="20"/>
                <w:szCs w:val="20"/>
              </w:rPr>
            </w:pPr>
          </w:p>
        </w:tc>
        <w:tc>
          <w:tcPr>
            <w:tcW w:w="2160" w:type="dxa"/>
            <w:noWrap/>
            <w:vAlign w:val="center"/>
            <w:hideMark/>
          </w:tcPr>
          <w:p w14:paraId="1366F813"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(0.358)</w:t>
            </w:r>
          </w:p>
        </w:tc>
        <w:tc>
          <w:tcPr>
            <w:tcW w:w="2700" w:type="dxa"/>
            <w:noWrap/>
            <w:vAlign w:val="center"/>
            <w:hideMark/>
          </w:tcPr>
          <w:p w14:paraId="7047A008"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(0.521)</w:t>
            </w:r>
          </w:p>
        </w:tc>
        <w:tc>
          <w:tcPr>
            <w:tcW w:w="1530" w:type="dxa"/>
            <w:noWrap/>
            <w:vAlign w:val="center"/>
            <w:hideMark/>
          </w:tcPr>
          <w:p w14:paraId="06D3366A"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(0.411)</w:t>
            </w:r>
          </w:p>
        </w:tc>
      </w:tr>
      <w:tr w:rsidR="00E52BF7" w:rsidRPr="00063811" w14:paraId="6A1BCAF8" w14:textId="77777777" w:rsidTr="00183449">
        <w:trPr>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48A80DBC" w14:textId="77777777" w:rsidR="00E52BF7" w:rsidRPr="00907A18" w:rsidRDefault="00E52BF7" w:rsidP="00183449">
            <w:pPr>
              <w:jc w:val="center"/>
              <w:rPr>
                <w:sz w:val="20"/>
                <w:szCs w:val="20"/>
              </w:rPr>
            </w:pPr>
            <w:r w:rsidRPr="00907A18">
              <w:rPr>
                <w:sz w:val="20"/>
                <w:szCs w:val="20"/>
              </w:rPr>
              <w:t>Board Gender Diversity</w:t>
            </w:r>
          </w:p>
        </w:tc>
        <w:tc>
          <w:tcPr>
            <w:tcW w:w="2160" w:type="dxa"/>
            <w:noWrap/>
            <w:vAlign w:val="center"/>
            <w:hideMark/>
          </w:tcPr>
          <w:p w14:paraId="7223BDA2"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0.0454***</w:t>
            </w:r>
          </w:p>
        </w:tc>
        <w:tc>
          <w:tcPr>
            <w:tcW w:w="2700" w:type="dxa"/>
            <w:noWrap/>
            <w:vAlign w:val="center"/>
            <w:hideMark/>
          </w:tcPr>
          <w:p w14:paraId="602EF5F9"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0.0361***</w:t>
            </w:r>
          </w:p>
        </w:tc>
        <w:tc>
          <w:tcPr>
            <w:tcW w:w="1530" w:type="dxa"/>
            <w:noWrap/>
            <w:vAlign w:val="center"/>
            <w:hideMark/>
          </w:tcPr>
          <w:p w14:paraId="049F30B2"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0.0331***</w:t>
            </w:r>
          </w:p>
        </w:tc>
      </w:tr>
      <w:tr w:rsidR="00E52BF7" w:rsidRPr="00063811" w14:paraId="1EE0EDBC" w14:textId="77777777" w:rsidTr="00183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47466FAC" w14:textId="77777777" w:rsidR="00E52BF7" w:rsidRPr="00907A18" w:rsidRDefault="00E52BF7" w:rsidP="00183449">
            <w:pPr>
              <w:jc w:val="center"/>
              <w:rPr>
                <w:sz w:val="20"/>
                <w:szCs w:val="20"/>
              </w:rPr>
            </w:pPr>
          </w:p>
        </w:tc>
        <w:tc>
          <w:tcPr>
            <w:tcW w:w="2160" w:type="dxa"/>
            <w:noWrap/>
            <w:vAlign w:val="center"/>
            <w:hideMark/>
          </w:tcPr>
          <w:p w14:paraId="743702AE"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(0.00404)</w:t>
            </w:r>
          </w:p>
        </w:tc>
        <w:tc>
          <w:tcPr>
            <w:tcW w:w="2700" w:type="dxa"/>
            <w:noWrap/>
            <w:vAlign w:val="center"/>
            <w:hideMark/>
          </w:tcPr>
          <w:p w14:paraId="7D6ECE4F"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(0.00569)</w:t>
            </w:r>
          </w:p>
        </w:tc>
        <w:tc>
          <w:tcPr>
            <w:tcW w:w="1530" w:type="dxa"/>
            <w:noWrap/>
            <w:vAlign w:val="center"/>
            <w:hideMark/>
          </w:tcPr>
          <w:p w14:paraId="1EEDABB4"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(0.00491)</w:t>
            </w:r>
          </w:p>
        </w:tc>
      </w:tr>
      <w:tr w:rsidR="00E52BF7" w:rsidRPr="00063811" w14:paraId="4CA1DB3D" w14:textId="77777777" w:rsidTr="00183449">
        <w:trPr>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360D1ADE" w14:textId="77777777" w:rsidR="00E52BF7" w:rsidRPr="00907A18" w:rsidRDefault="00E52BF7" w:rsidP="00183449">
            <w:pPr>
              <w:jc w:val="center"/>
              <w:rPr>
                <w:sz w:val="20"/>
                <w:szCs w:val="20"/>
              </w:rPr>
            </w:pPr>
            <w:r w:rsidRPr="00907A18">
              <w:rPr>
                <w:sz w:val="20"/>
                <w:szCs w:val="20"/>
              </w:rPr>
              <w:t>Board Average Tenure</w:t>
            </w:r>
          </w:p>
        </w:tc>
        <w:tc>
          <w:tcPr>
            <w:tcW w:w="2160" w:type="dxa"/>
            <w:noWrap/>
            <w:vAlign w:val="center"/>
            <w:hideMark/>
          </w:tcPr>
          <w:p w14:paraId="2FCC7AC2"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0.0206***</w:t>
            </w:r>
          </w:p>
        </w:tc>
        <w:tc>
          <w:tcPr>
            <w:tcW w:w="2700" w:type="dxa"/>
            <w:noWrap/>
            <w:vAlign w:val="center"/>
            <w:hideMark/>
          </w:tcPr>
          <w:p w14:paraId="528E4296"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0.00871</w:t>
            </w:r>
          </w:p>
        </w:tc>
        <w:tc>
          <w:tcPr>
            <w:tcW w:w="1530" w:type="dxa"/>
            <w:noWrap/>
            <w:vAlign w:val="center"/>
            <w:hideMark/>
          </w:tcPr>
          <w:p w14:paraId="369D53BA"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0.0208***</w:t>
            </w:r>
          </w:p>
        </w:tc>
      </w:tr>
      <w:tr w:rsidR="00E52BF7" w:rsidRPr="00063811" w14:paraId="5CD3C9AA" w14:textId="77777777" w:rsidTr="00183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786496BD" w14:textId="77777777" w:rsidR="00E52BF7" w:rsidRPr="00907A18" w:rsidRDefault="00E52BF7" w:rsidP="00183449">
            <w:pPr>
              <w:jc w:val="center"/>
              <w:rPr>
                <w:sz w:val="20"/>
                <w:szCs w:val="20"/>
              </w:rPr>
            </w:pPr>
          </w:p>
        </w:tc>
        <w:tc>
          <w:tcPr>
            <w:tcW w:w="2160" w:type="dxa"/>
            <w:noWrap/>
            <w:vAlign w:val="center"/>
            <w:hideMark/>
          </w:tcPr>
          <w:p w14:paraId="45F7B9DC"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(0.00492)</w:t>
            </w:r>
          </w:p>
        </w:tc>
        <w:tc>
          <w:tcPr>
            <w:tcW w:w="2700" w:type="dxa"/>
            <w:noWrap/>
            <w:vAlign w:val="center"/>
            <w:hideMark/>
          </w:tcPr>
          <w:p w14:paraId="4BA207A9"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(0.00636)</w:t>
            </w:r>
          </w:p>
        </w:tc>
        <w:tc>
          <w:tcPr>
            <w:tcW w:w="1530" w:type="dxa"/>
            <w:noWrap/>
            <w:vAlign w:val="center"/>
            <w:hideMark/>
          </w:tcPr>
          <w:p w14:paraId="220CB6F6"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(0.00583)</w:t>
            </w:r>
          </w:p>
        </w:tc>
      </w:tr>
      <w:tr w:rsidR="00E52BF7" w:rsidRPr="00063811" w14:paraId="2F8D037B" w14:textId="77777777" w:rsidTr="00183449">
        <w:trPr>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43EC77D8" w14:textId="77777777" w:rsidR="00E52BF7" w:rsidRPr="00907A18" w:rsidRDefault="00E52BF7" w:rsidP="00183449">
            <w:pPr>
              <w:jc w:val="center"/>
              <w:rPr>
                <w:sz w:val="20"/>
                <w:szCs w:val="20"/>
              </w:rPr>
            </w:pPr>
            <w:r w:rsidRPr="00907A18">
              <w:rPr>
                <w:sz w:val="20"/>
                <w:szCs w:val="20"/>
              </w:rPr>
              <w:t>Company Age</w:t>
            </w:r>
          </w:p>
        </w:tc>
        <w:tc>
          <w:tcPr>
            <w:tcW w:w="2160" w:type="dxa"/>
            <w:noWrap/>
            <w:vAlign w:val="center"/>
            <w:hideMark/>
          </w:tcPr>
          <w:p w14:paraId="61BE6153"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-0.0612</w:t>
            </w:r>
          </w:p>
        </w:tc>
        <w:tc>
          <w:tcPr>
            <w:tcW w:w="2700" w:type="dxa"/>
            <w:noWrap/>
            <w:vAlign w:val="center"/>
            <w:hideMark/>
          </w:tcPr>
          <w:p w14:paraId="5FA88E68"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0.182**</w:t>
            </w:r>
          </w:p>
        </w:tc>
        <w:tc>
          <w:tcPr>
            <w:tcW w:w="1530" w:type="dxa"/>
            <w:noWrap/>
            <w:vAlign w:val="center"/>
            <w:hideMark/>
          </w:tcPr>
          <w:p w14:paraId="606C2324"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0.373***</w:t>
            </w:r>
          </w:p>
        </w:tc>
      </w:tr>
      <w:tr w:rsidR="00E52BF7" w:rsidRPr="00063811" w14:paraId="687B81A0" w14:textId="77777777" w:rsidTr="00183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4FCB52A2" w14:textId="77777777" w:rsidR="00E52BF7" w:rsidRPr="00907A18" w:rsidRDefault="00E52BF7" w:rsidP="00183449">
            <w:pPr>
              <w:jc w:val="center"/>
              <w:rPr>
                <w:sz w:val="20"/>
                <w:szCs w:val="20"/>
              </w:rPr>
            </w:pPr>
          </w:p>
        </w:tc>
        <w:tc>
          <w:tcPr>
            <w:tcW w:w="2160" w:type="dxa"/>
            <w:noWrap/>
            <w:vAlign w:val="center"/>
            <w:hideMark/>
          </w:tcPr>
          <w:p w14:paraId="462DFF98"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(0.0661)</w:t>
            </w:r>
          </w:p>
        </w:tc>
        <w:tc>
          <w:tcPr>
            <w:tcW w:w="2700" w:type="dxa"/>
            <w:noWrap/>
            <w:vAlign w:val="center"/>
            <w:hideMark/>
          </w:tcPr>
          <w:p w14:paraId="6DB355E3"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(0.0892)</w:t>
            </w:r>
          </w:p>
        </w:tc>
        <w:tc>
          <w:tcPr>
            <w:tcW w:w="1530" w:type="dxa"/>
            <w:noWrap/>
            <w:vAlign w:val="center"/>
            <w:hideMark/>
          </w:tcPr>
          <w:p w14:paraId="13F2E658"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(0.0774)</w:t>
            </w:r>
          </w:p>
        </w:tc>
      </w:tr>
      <w:tr w:rsidR="00E52BF7" w:rsidRPr="00063811" w14:paraId="62B82768" w14:textId="77777777" w:rsidTr="00183449">
        <w:trPr>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6528D826" w14:textId="77777777" w:rsidR="00E52BF7" w:rsidRPr="00907A18" w:rsidRDefault="00E52BF7" w:rsidP="00183449">
            <w:pPr>
              <w:jc w:val="center"/>
              <w:rPr>
                <w:sz w:val="20"/>
                <w:szCs w:val="20"/>
              </w:rPr>
            </w:pPr>
            <w:r w:rsidRPr="00907A18">
              <w:rPr>
                <w:sz w:val="20"/>
                <w:szCs w:val="20"/>
              </w:rPr>
              <w:t>Company Size</w:t>
            </w:r>
          </w:p>
        </w:tc>
        <w:tc>
          <w:tcPr>
            <w:tcW w:w="2160" w:type="dxa"/>
            <w:noWrap/>
            <w:vAlign w:val="center"/>
            <w:hideMark/>
          </w:tcPr>
          <w:p w14:paraId="6AF921C3"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2.240***</w:t>
            </w:r>
          </w:p>
        </w:tc>
        <w:tc>
          <w:tcPr>
            <w:tcW w:w="2700" w:type="dxa"/>
            <w:noWrap/>
            <w:vAlign w:val="center"/>
            <w:hideMark/>
          </w:tcPr>
          <w:p w14:paraId="72912E9F"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2.760***</w:t>
            </w:r>
          </w:p>
        </w:tc>
        <w:tc>
          <w:tcPr>
            <w:tcW w:w="1530" w:type="dxa"/>
            <w:noWrap/>
            <w:vAlign w:val="center"/>
            <w:hideMark/>
          </w:tcPr>
          <w:p w14:paraId="46B68279"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2.066***</w:t>
            </w:r>
          </w:p>
        </w:tc>
      </w:tr>
      <w:tr w:rsidR="00E52BF7" w:rsidRPr="00063811" w14:paraId="195D64D4" w14:textId="77777777" w:rsidTr="00183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4DCCBD9C" w14:textId="77777777" w:rsidR="00E52BF7" w:rsidRPr="00907A18" w:rsidRDefault="00E52BF7" w:rsidP="00183449">
            <w:pPr>
              <w:jc w:val="center"/>
              <w:rPr>
                <w:sz w:val="20"/>
                <w:szCs w:val="20"/>
              </w:rPr>
            </w:pPr>
          </w:p>
        </w:tc>
        <w:tc>
          <w:tcPr>
            <w:tcW w:w="2160" w:type="dxa"/>
            <w:noWrap/>
            <w:vAlign w:val="center"/>
            <w:hideMark/>
          </w:tcPr>
          <w:p w14:paraId="4292FB0A"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(0.313)</w:t>
            </w:r>
          </w:p>
        </w:tc>
        <w:tc>
          <w:tcPr>
            <w:tcW w:w="2700" w:type="dxa"/>
            <w:noWrap/>
            <w:vAlign w:val="center"/>
            <w:hideMark/>
          </w:tcPr>
          <w:p w14:paraId="1BB581A8"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(0.446)</w:t>
            </w:r>
          </w:p>
        </w:tc>
        <w:tc>
          <w:tcPr>
            <w:tcW w:w="1530" w:type="dxa"/>
            <w:noWrap/>
            <w:vAlign w:val="center"/>
            <w:hideMark/>
          </w:tcPr>
          <w:p w14:paraId="1D3BC766"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(0.362)</w:t>
            </w:r>
          </w:p>
        </w:tc>
      </w:tr>
      <w:tr w:rsidR="00E52BF7" w:rsidRPr="00063811" w14:paraId="13DF3E55" w14:textId="77777777" w:rsidTr="00183449">
        <w:trPr>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2EF1EB83" w14:textId="77777777" w:rsidR="00E52BF7" w:rsidRPr="00907A18" w:rsidRDefault="00E52BF7" w:rsidP="00183449">
            <w:pPr>
              <w:jc w:val="center"/>
              <w:rPr>
                <w:sz w:val="20"/>
                <w:szCs w:val="20"/>
              </w:rPr>
            </w:pPr>
            <w:r w:rsidRPr="00907A18">
              <w:rPr>
                <w:sz w:val="20"/>
                <w:szCs w:val="20"/>
              </w:rPr>
              <w:t>Leverage</w:t>
            </w:r>
          </w:p>
        </w:tc>
        <w:tc>
          <w:tcPr>
            <w:tcW w:w="2160" w:type="dxa"/>
            <w:noWrap/>
            <w:vAlign w:val="center"/>
            <w:hideMark/>
          </w:tcPr>
          <w:p w14:paraId="11E4D9E8"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0.0583</w:t>
            </w:r>
          </w:p>
        </w:tc>
        <w:tc>
          <w:tcPr>
            <w:tcW w:w="2700" w:type="dxa"/>
            <w:noWrap/>
            <w:vAlign w:val="center"/>
            <w:hideMark/>
          </w:tcPr>
          <w:p w14:paraId="1388608B"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0.0998</w:t>
            </w:r>
          </w:p>
        </w:tc>
        <w:tc>
          <w:tcPr>
            <w:tcW w:w="1530" w:type="dxa"/>
            <w:noWrap/>
            <w:vAlign w:val="center"/>
            <w:hideMark/>
          </w:tcPr>
          <w:p w14:paraId="71EC5E01"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0.0494</w:t>
            </w:r>
          </w:p>
        </w:tc>
      </w:tr>
      <w:tr w:rsidR="00E52BF7" w:rsidRPr="00063811" w14:paraId="65998263" w14:textId="77777777" w:rsidTr="00183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766700FE" w14:textId="77777777" w:rsidR="00E52BF7" w:rsidRPr="00907A18" w:rsidRDefault="00E52BF7" w:rsidP="00183449">
            <w:pPr>
              <w:jc w:val="center"/>
              <w:rPr>
                <w:sz w:val="20"/>
                <w:szCs w:val="20"/>
              </w:rPr>
            </w:pPr>
          </w:p>
        </w:tc>
        <w:tc>
          <w:tcPr>
            <w:tcW w:w="2160" w:type="dxa"/>
            <w:noWrap/>
            <w:vAlign w:val="center"/>
            <w:hideMark/>
          </w:tcPr>
          <w:p w14:paraId="689E005D"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(0.0572)</w:t>
            </w:r>
          </w:p>
        </w:tc>
        <w:tc>
          <w:tcPr>
            <w:tcW w:w="2700" w:type="dxa"/>
            <w:noWrap/>
            <w:vAlign w:val="center"/>
            <w:hideMark/>
          </w:tcPr>
          <w:p w14:paraId="1080E5CD"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(0.0811)</w:t>
            </w:r>
          </w:p>
        </w:tc>
        <w:tc>
          <w:tcPr>
            <w:tcW w:w="1530" w:type="dxa"/>
            <w:noWrap/>
            <w:vAlign w:val="center"/>
            <w:hideMark/>
          </w:tcPr>
          <w:p w14:paraId="3BFCA02C"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(0.0646)</w:t>
            </w:r>
          </w:p>
        </w:tc>
      </w:tr>
      <w:tr w:rsidR="00E52BF7" w:rsidRPr="00063811" w14:paraId="21BF129F" w14:textId="77777777" w:rsidTr="00183449">
        <w:trPr>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4D2BF7F7" w14:textId="77777777" w:rsidR="00E52BF7" w:rsidRPr="00907A18" w:rsidRDefault="00E52BF7" w:rsidP="00183449">
            <w:pPr>
              <w:jc w:val="center"/>
              <w:rPr>
                <w:sz w:val="20"/>
                <w:szCs w:val="20"/>
              </w:rPr>
            </w:pPr>
            <w:r w:rsidRPr="00907A18">
              <w:rPr>
                <w:sz w:val="20"/>
                <w:szCs w:val="20"/>
              </w:rPr>
              <w:t>Return on Assets</w:t>
            </w:r>
          </w:p>
        </w:tc>
        <w:tc>
          <w:tcPr>
            <w:tcW w:w="2160" w:type="dxa"/>
            <w:noWrap/>
            <w:vAlign w:val="center"/>
            <w:hideMark/>
          </w:tcPr>
          <w:p w14:paraId="2AD49D11"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2.117***</w:t>
            </w:r>
          </w:p>
        </w:tc>
        <w:tc>
          <w:tcPr>
            <w:tcW w:w="2700" w:type="dxa"/>
            <w:noWrap/>
            <w:vAlign w:val="center"/>
            <w:hideMark/>
          </w:tcPr>
          <w:p w14:paraId="399A62F4"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0.837</w:t>
            </w:r>
          </w:p>
        </w:tc>
        <w:tc>
          <w:tcPr>
            <w:tcW w:w="1530" w:type="dxa"/>
            <w:noWrap/>
            <w:vAlign w:val="center"/>
            <w:hideMark/>
          </w:tcPr>
          <w:p w14:paraId="72D2F2F2"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3.245***</w:t>
            </w:r>
          </w:p>
        </w:tc>
      </w:tr>
      <w:tr w:rsidR="00E52BF7" w:rsidRPr="00063811" w14:paraId="2D01C41E" w14:textId="77777777" w:rsidTr="00183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3A3A1609" w14:textId="77777777" w:rsidR="00E52BF7" w:rsidRPr="00907A18" w:rsidRDefault="00E52BF7" w:rsidP="00183449">
            <w:pPr>
              <w:jc w:val="center"/>
              <w:rPr>
                <w:sz w:val="20"/>
                <w:szCs w:val="20"/>
              </w:rPr>
            </w:pPr>
          </w:p>
        </w:tc>
        <w:tc>
          <w:tcPr>
            <w:tcW w:w="2160" w:type="dxa"/>
            <w:noWrap/>
            <w:vAlign w:val="center"/>
            <w:hideMark/>
          </w:tcPr>
          <w:p w14:paraId="616C1A8E"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(0.752)</w:t>
            </w:r>
          </w:p>
        </w:tc>
        <w:tc>
          <w:tcPr>
            <w:tcW w:w="2700" w:type="dxa"/>
            <w:noWrap/>
            <w:vAlign w:val="center"/>
            <w:hideMark/>
          </w:tcPr>
          <w:p w14:paraId="0B4397C6"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(1.116)</w:t>
            </w:r>
          </w:p>
        </w:tc>
        <w:tc>
          <w:tcPr>
            <w:tcW w:w="1530" w:type="dxa"/>
            <w:noWrap/>
            <w:vAlign w:val="center"/>
            <w:hideMark/>
          </w:tcPr>
          <w:p w14:paraId="3B2246C5"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(0.942)</w:t>
            </w:r>
          </w:p>
        </w:tc>
      </w:tr>
      <w:tr w:rsidR="00E52BF7" w:rsidRPr="00063811" w14:paraId="4E0715E3" w14:textId="77777777" w:rsidTr="00183449">
        <w:trPr>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37CD707E" w14:textId="77777777" w:rsidR="00E52BF7" w:rsidRPr="00907A18" w:rsidRDefault="00E52BF7" w:rsidP="00183449">
            <w:pPr>
              <w:jc w:val="center"/>
              <w:rPr>
                <w:sz w:val="20"/>
                <w:szCs w:val="20"/>
              </w:rPr>
            </w:pPr>
            <w:r w:rsidRPr="00907A18">
              <w:rPr>
                <w:sz w:val="20"/>
                <w:szCs w:val="20"/>
              </w:rPr>
              <w:t>Tobin's Q</w:t>
            </w:r>
          </w:p>
        </w:tc>
        <w:tc>
          <w:tcPr>
            <w:tcW w:w="2160" w:type="dxa"/>
            <w:noWrap/>
            <w:vAlign w:val="center"/>
            <w:hideMark/>
          </w:tcPr>
          <w:p w14:paraId="5F615116"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0.211***</w:t>
            </w:r>
          </w:p>
        </w:tc>
        <w:tc>
          <w:tcPr>
            <w:tcW w:w="2700" w:type="dxa"/>
            <w:noWrap/>
            <w:vAlign w:val="center"/>
            <w:hideMark/>
          </w:tcPr>
          <w:p w14:paraId="3370A57D"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0.376***</w:t>
            </w:r>
          </w:p>
        </w:tc>
        <w:tc>
          <w:tcPr>
            <w:tcW w:w="1530" w:type="dxa"/>
            <w:noWrap/>
            <w:vAlign w:val="center"/>
            <w:hideMark/>
          </w:tcPr>
          <w:p w14:paraId="038986DA"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0.118*</w:t>
            </w:r>
          </w:p>
        </w:tc>
      </w:tr>
      <w:tr w:rsidR="00E52BF7" w:rsidRPr="00063811" w14:paraId="5AF461EA" w14:textId="77777777" w:rsidTr="00183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00DF8441" w14:textId="77777777" w:rsidR="00E52BF7" w:rsidRPr="00907A18" w:rsidRDefault="00E52BF7" w:rsidP="00183449">
            <w:pPr>
              <w:jc w:val="center"/>
              <w:rPr>
                <w:sz w:val="20"/>
                <w:szCs w:val="20"/>
              </w:rPr>
            </w:pPr>
          </w:p>
        </w:tc>
        <w:tc>
          <w:tcPr>
            <w:tcW w:w="2160" w:type="dxa"/>
            <w:noWrap/>
            <w:vAlign w:val="center"/>
            <w:hideMark/>
          </w:tcPr>
          <w:p w14:paraId="19E15C7A"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(0.0584)</w:t>
            </w:r>
          </w:p>
        </w:tc>
        <w:tc>
          <w:tcPr>
            <w:tcW w:w="2700" w:type="dxa"/>
            <w:noWrap/>
            <w:vAlign w:val="center"/>
            <w:hideMark/>
          </w:tcPr>
          <w:p w14:paraId="75A563E6"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(0.103)</w:t>
            </w:r>
          </w:p>
        </w:tc>
        <w:tc>
          <w:tcPr>
            <w:tcW w:w="1530" w:type="dxa"/>
            <w:noWrap/>
            <w:vAlign w:val="center"/>
            <w:hideMark/>
          </w:tcPr>
          <w:p w14:paraId="64F66101"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(0.0714)</w:t>
            </w:r>
          </w:p>
        </w:tc>
      </w:tr>
      <w:tr w:rsidR="00E52BF7" w:rsidRPr="00063811" w14:paraId="3DC54831" w14:textId="77777777" w:rsidTr="00183449">
        <w:trPr>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6C5D4631" w14:textId="77777777" w:rsidR="00E52BF7" w:rsidRPr="00907A18" w:rsidRDefault="00E52BF7" w:rsidP="00183449">
            <w:pPr>
              <w:jc w:val="center"/>
              <w:rPr>
                <w:sz w:val="20"/>
                <w:szCs w:val="20"/>
              </w:rPr>
            </w:pPr>
            <w:r w:rsidRPr="00907A18">
              <w:rPr>
                <w:sz w:val="20"/>
                <w:szCs w:val="20"/>
              </w:rPr>
              <w:t>Constant</w:t>
            </w:r>
          </w:p>
        </w:tc>
        <w:tc>
          <w:tcPr>
            <w:tcW w:w="2160" w:type="dxa"/>
            <w:noWrap/>
            <w:vAlign w:val="center"/>
            <w:hideMark/>
          </w:tcPr>
          <w:p w14:paraId="515AAD20"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12.51***</w:t>
            </w:r>
          </w:p>
        </w:tc>
        <w:tc>
          <w:tcPr>
            <w:tcW w:w="2700" w:type="dxa"/>
            <w:noWrap/>
            <w:vAlign w:val="center"/>
            <w:hideMark/>
          </w:tcPr>
          <w:p w14:paraId="1EB0910C"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-9.254*</w:t>
            </w:r>
          </w:p>
        </w:tc>
        <w:tc>
          <w:tcPr>
            <w:tcW w:w="1530" w:type="dxa"/>
            <w:noWrap/>
            <w:vAlign w:val="center"/>
            <w:hideMark/>
          </w:tcPr>
          <w:p w14:paraId="76B94CD4"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-17.04***</w:t>
            </w:r>
          </w:p>
        </w:tc>
      </w:tr>
      <w:tr w:rsidR="00E52BF7" w:rsidRPr="00063811" w14:paraId="5DC1A277" w14:textId="77777777" w:rsidTr="00183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546F5E49" w14:textId="77777777" w:rsidR="00E52BF7" w:rsidRPr="00907A18" w:rsidRDefault="00E52BF7" w:rsidP="00183449">
            <w:pPr>
              <w:jc w:val="center"/>
              <w:rPr>
                <w:sz w:val="20"/>
                <w:szCs w:val="20"/>
              </w:rPr>
            </w:pPr>
          </w:p>
        </w:tc>
        <w:tc>
          <w:tcPr>
            <w:tcW w:w="2160" w:type="dxa"/>
            <w:noWrap/>
            <w:vAlign w:val="center"/>
            <w:hideMark/>
          </w:tcPr>
          <w:p w14:paraId="4F80F23B"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(3.720)</w:t>
            </w:r>
          </w:p>
        </w:tc>
        <w:tc>
          <w:tcPr>
            <w:tcW w:w="2700" w:type="dxa"/>
            <w:noWrap/>
            <w:vAlign w:val="center"/>
            <w:hideMark/>
          </w:tcPr>
          <w:p w14:paraId="20D9A7DD"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(5.356)</w:t>
            </w:r>
          </w:p>
        </w:tc>
        <w:tc>
          <w:tcPr>
            <w:tcW w:w="1530" w:type="dxa"/>
            <w:noWrap/>
            <w:vAlign w:val="center"/>
            <w:hideMark/>
          </w:tcPr>
          <w:p w14:paraId="59098860"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(4.349)</w:t>
            </w:r>
          </w:p>
        </w:tc>
      </w:tr>
      <w:tr w:rsidR="00E52BF7" w:rsidRPr="00063811" w14:paraId="4E03BEF8" w14:textId="77777777" w:rsidTr="00183449">
        <w:trPr>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tcPr>
          <w:p w14:paraId="68829608" w14:textId="77777777" w:rsidR="00E52BF7" w:rsidRPr="00907A18" w:rsidRDefault="00E52BF7" w:rsidP="00183449">
            <w:pPr>
              <w:jc w:val="center"/>
              <w:rPr>
                <w:sz w:val="20"/>
                <w:szCs w:val="20"/>
              </w:rPr>
            </w:pPr>
          </w:p>
        </w:tc>
        <w:tc>
          <w:tcPr>
            <w:tcW w:w="2160" w:type="dxa"/>
            <w:noWrap/>
            <w:vAlign w:val="center"/>
          </w:tcPr>
          <w:p w14:paraId="74C292D6"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700" w:type="dxa"/>
            <w:noWrap/>
            <w:vAlign w:val="center"/>
          </w:tcPr>
          <w:p w14:paraId="67880517"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530" w:type="dxa"/>
            <w:noWrap/>
            <w:vAlign w:val="center"/>
          </w:tcPr>
          <w:p w14:paraId="68382C2E"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E52BF7" w:rsidRPr="00063811" w14:paraId="1DEFDD22" w14:textId="77777777" w:rsidTr="00183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tcPr>
          <w:p w14:paraId="00C21D45" w14:textId="77777777" w:rsidR="00E52BF7" w:rsidRPr="00907A18" w:rsidRDefault="00E52BF7" w:rsidP="00183449">
            <w:pPr>
              <w:jc w:val="center"/>
              <w:rPr>
                <w:sz w:val="20"/>
                <w:szCs w:val="20"/>
              </w:rPr>
            </w:pPr>
            <w:r w:rsidRPr="00907A18">
              <w:rPr>
                <w:sz w:val="20"/>
                <w:szCs w:val="20"/>
              </w:rPr>
              <w:t>Company FE</w:t>
            </w:r>
          </w:p>
        </w:tc>
        <w:tc>
          <w:tcPr>
            <w:tcW w:w="2160" w:type="dxa"/>
            <w:noWrap/>
            <w:vAlign w:val="center"/>
          </w:tcPr>
          <w:p w14:paraId="31E98622"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Yes</w:t>
            </w:r>
          </w:p>
        </w:tc>
        <w:tc>
          <w:tcPr>
            <w:tcW w:w="2700" w:type="dxa"/>
            <w:noWrap/>
            <w:vAlign w:val="center"/>
          </w:tcPr>
          <w:p w14:paraId="66CB8451"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Yes</w:t>
            </w:r>
          </w:p>
        </w:tc>
        <w:tc>
          <w:tcPr>
            <w:tcW w:w="1530" w:type="dxa"/>
            <w:noWrap/>
            <w:vAlign w:val="center"/>
          </w:tcPr>
          <w:p w14:paraId="28A00516"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Yes</w:t>
            </w:r>
          </w:p>
        </w:tc>
      </w:tr>
      <w:tr w:rsidR="00E52BF7" w:rsidRPr="00063811" w14:paraId="268A3F4A" w14:textId="77777777" w:rsidTr="00183449">
        <w:trPr>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tcPr>
          <w:p w14:paraId="1603276A" w14:textId="77777777" w:rsidR="00E52BF7" w:rsidRPr="00907A18" w:rsidRDefault="00E52BF7" w:rsidP="00183449">
            <w:pPr>
              <w:jc w:val="center"/>
              <w:rPr>
                <w:sz w:val="20"/>
                <w:szCs w:val="20"/>
              </w:rPr>
            </w:pPr>
            <w:r w:rsidRPr="00907A18">
              <w:rPr>
                <w:sz w:val="20"/>
                <w:szCs w:val="20"/>
              </w:rPr>
              <w:t>Year FE</w:t>
            </w:r>
          </w:p>
        </w:tc>
        <w:tc>
          <w:tcPr>
            <w:tcW w:w="2160" w:type="dxa"/>
            <w:noWrap/>
            <w:vAlign w:val="center"/>
          </w:tcPr>
          <w:p w14:paraId="120BBA9E"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Yes</w:t>
            </w:r>
          </w:p>
        </w:tc>
        <w:tc>
          <w:tcPr>
            <w:tcW w:w="2700" w:type="dxa"/>
            <w:noWrap/>
            <w:vAlign w:val="center"/>
          </w:tcPr>
          <w:p w14:paraId="67030036"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Yes</w:t>
            </w:r>
          </w:p>
        </w:tc>
        <w:tc>
          <w:tcPr>
            <w:tcW w:w="1530" w:type="dxa"/>
            <w:noWrap/>
            <w:vAlign w:val="center"/>
          </w:tcPr>
          <w:p w14:paraId="792BF606" w14:textId="77777777" w:rsidR="00E52BF7" w:rsidRPr="00907A18" w:rsidRDefault="00E52BF7" w:rsidP="001834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907A18">
              <w:rPr>
                <w:sz w:val="20"/>
                <w:szCs w:val="20"/>
              </w:rPr>
              <w:t>Yes</w:t>
            </w:r>
          </w:p>
        </w:tc>
      </w:tr>
      <w:tr w:rsidR="00E52BF7" w:rsidRPr="00063811" w14:paraId="3DA84D76" w14:textId="77777777" w:rsidTr="00183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70" w:type="dxa"/>
            <w:noWrap/>
            <w:vAlign w:val="center"/>
            <w:hideMark/>
          </w:tcPr>
          <w:p w14:paraId="20AABE25" w14:textId="77777777" w:rsidR="00E52BF7" w:rsidRPr="00907A18" w:rsidRDefault="00E52BF7" w:rsidP="00183449">
            <w:pPr>
              <w:jc w:val="center"/>
              <w:rPr>
                <w:sz w:val="20"/>
                <w:szCs w:val="20"/>
              </w:rPr>
            </w:pPr>
            <w:r w:rsidRPr="00907A18">
              <w:rPr>
                <w:sz w:val="20"/>
                <w:szCs w:val="20"/>
              </w:rPr>
              <w:t>R-squared</w:t>
            </w:r>
          </w:p>
        </w:tc>
        <w:tc>
          <w:tcPr>
            <w:tcW w:w="2160" w:type="dxa"/>
            <w:noWrap/>
            <w:vAlign w:val="center"/>
            <w:hideMark/>
          </w:tcPr>
          <w:p w14:paraId="514D5720"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0.175</w:t>
            </w:r>
          </w:p>
        </w:tc>
        <w:tc>
          <w:tcPr>
            <w:tcW w:w="2700" w:type="dxa"/>
            <w:noWrap/>
            <w:vAlign w:val="center"/>
            <w:hideMark/>
          </w:tcPr>
          <w:p w14:paraId="1F143D9E"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0.214</w:t>
            </w:r>
          </w:p>
        </w:tc>
        <w:tc>
          <w:tcPr>
            <w:tcW w:w="1530" w:type="dxa"/>
            <w:noWrap/>
            <w:vAlign w:val="center"/>
            <w:hideMark/>
          </w:tcPr>
          <w:p w14:paraId="668CABD1" w14:textId="77777777" w:rsidR="00E52BF7" w:rsidRPr="00907A18" w:rsidRDefault="00E52BF7" w:rsidP="001834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907A18">
              <w:rPr>
                <w:sz w:val="20"/>
                <w:szCs w:val="20"/>
              </w:rPr>
              <w:t>0.111</w:t>
            </w:r>
          </w:p>
        </w:tc>
      </w:tr>
      <w:tr w:rsidR="00E52BF7" w:rsidRPr="00063811" w14:paraId="4B2718CD" w14:textId="77777777" w:rsidTr="00183449">
        <w:trPr>
          <w:trHeight w:val="288"/>
        </w:trPr>
        <w:tc>
          <w:tcPr>
            <w:cnfStyle w:val="001000000000" w:firstRow="0" w:lastRow="0" w:firstColumn="1" w:lastColumn="0" w:oddVBand="0" w:evenVBand="0" w:oddHBand="0" w:evenHBand="0" w:firstRowFirstColumn="0" w:firstRowLastColumn="0" w:lastRowFirstColumn="0" w:lastRowLastColumn="0"/>
            <w:tcW w:w="9360" w:type="dxa"/>
            <w:gridSpan w:val="4"/>
            <w:tcBorders>
              <w:top w:val="single" w:sz="4" w:space="0" w:color="auto"/>
              <w:right w:val="none" w:sz="0" w:space="0" w:color="auto"/>
            </w:tcBorders>
            <w:shd w:val="clear" w:color="auto" w:fill="auto"/>
            <w:noWrap/>
            <w:hideMark/>
          </w:tcPr>
          <w:p w14:paraId="7CB08E37" w14:textId="20FFC632" w:rsidR="00E52BF7" w:rsidRPr="008612B7" w:rsidRDefault="00E52BF7" w:rsidP="00183449">
            <w:pPr>
              <w:jc w:val="left"/>
              <w:rPr>
                <w:i w:val="0"/>
                <w:iCs w:val="0"/>
                <w:sz w:val="20"/>
                <w:szCs w:val="20"/>
              </w:rPr>
            </w:pPr>
            <w:r w:rsidRPr="008612B7">
              <w:rPr>
                <w:sz w:val="20"/>
                <w:szCs w:val="20"/>
              </w:rPr>
              <w:t>Note: Robust standard errors in parentheses. *** p&lt;0.01, ** p&lt;0.05, * p&lt;0.1. 2,938 unique companies</w:t>
            </w:r>
            <w:r w:rsidR="00D02041" w:rsidRPr="008612B7">
              <w:rPr>
                <w:sz w:val="20"/>
                <w:szCs w:val="20"/>
              </w:rPr>
              <w:t xml:space="preserve">, </w:t>
            </w:r>
            <w:r w:rsidR="00D02041" w:rsidRPr="008612B7">
              <w:rPr>
                <w:color w:val="000000" w:themeColor="text1"/>
                <w:sz w:val="20"/>
                <w:szCs w:val="20"/>
              </w:rPr>
              <w:t>n=12,938.</w:t>
            </w:r>
          </w:p>
          <w:p w14:paraId="1C4CD8D5" w14:textId="77777777" w:rsidR="00E52BF7" w:rsidRPr="008612B7" w:rsidRDefault="00E52BF7" w:rsidP="00183449">
            <w:pPr>
              <w:jc w:val="left"/>
              <w:rPr>
                <w:sz w:val="24"/>
              </w:rPr>
            </w:pPr>
            <w:r w:rsidRPr="008612B7">
              <w:t> </w:t>
            </w:r>
          </w:p>
        </w:tc>
      </w:tr>
    </w:tbl>
    <w:p w14:paraId="6D8BFDDB" w14:textId="29827836" w:rsidR="00987585" w:rsidRPr="008612B7" w:rsidRDefault="00987585" w:rsidP="00F9570A">
      <w:pPr>
        <w:pStyle w:val="Heading3"/>
        <w:rPr>
          <w:sz w:val="20"/>
          <w:szCs w:val="20"/>
        </w:rPr>
      </w:pPr>
      <w:r w:rsidRPr="008612B7">
        <w:rPr>
          <w:sz w:val="20"/>
          <w:szCs w:val="20"/>
        </w:rPr>
        <w:t>Environmental vs. Social Impact: Resource Economy Considerations</w:t>
      </w:r>
    </w:p>
    <w:p w14:paraId="272F10E2" w14:textId="4801568A" w:rsidR="006D1A93" w:rsidRPr="00063811" w:rsidRDefault="006D1A93" w:rsidP="00F256FD">
      <w:pPr>
        <w:spacing w:line="480" w:lineRule="auto"/>
        <w:ind w:firstLine="720"/>
      </w:pPr>
      <w:r w:rsidRPr="00063811">
        <w:t xml:space="preserve">A particularly notable finding is the stronger negative effect of anti-ESG policies on environmental performance compared to social metrics. This disparity supports congressman Jordan et al.'s (2023) assertion that </w:t>
      </w:r>
      <w:r w:rsidR="00372CB1">
        <w:t>a</w:t>
      </w:r>
      <w:r w:rsidRPr="00063811">
        <w:t xml:space="preserve">nti-ESG legislation </w:t>
      </w:r>
      <w:r w:rsidR="00183449" w:rsidRPr="00063811">
        <w:t>is economic for</w:t>
      </w:r>
      <w:r w:rsidRPr="00063811">
        <w:t xml:space="preserve"> resource-extractive state economies. The concentration of negative effects in environmental dimensions rather than social aspects suggests these policies may specifically target environmental restrictions that could constrain resource extraction industries.</w:t>
      </w:r>
    </w:p>
    <w:p w14:paraId="7D1D7307" w14:textId="1F119D59" w:rsidR="00DF28BE" w:rsidRPr="00063811" w:rsidRDefault="006D1A93" w:rsidP="00F256FD">
      <w:pPr>
        <w:spacing w:line="480" w:lineRule="auto"/>
        <w:ind w:firstLine="720"/>
      </w:pPr>
      <w:r w:rsidRPr="00063811">
        <w:lastRenderedPageBreak/>
        <w:t xml:space="preserve">This asymmetry challenges Naeem et al.'s (2022) findings that environmentally sensitive firms benefit financially from stronger ESG performance. The significant negative coefficient for environmental scores under </w:t>
      </w:r>
      <w:r w:rsidR="00372CB1">
        <w:t>a</w:t>
      </w:r>
      <w:r w:rsidRPr="00063811">
        <w:t xml:space="preserve">nti-ESG regimes indicates these policies may create environments where short-term economic considerations outweigh the long-term risk mitigation benefits identified by Naeem et al. (2022) and Alvarez-Perez and Fuentes (2024). By focusing primarily on immediate economic concerns over long-term sustainability, </w:t>
      </w:r>
      <w:r w:rsidR="00372CB1">
        <w:t>a</w:t>
      </w:r>
      <w:r w:rsidRPr="00063811">
        <w:t>nti-ESG legislation appears to create conditions where firms reduce environmental commitments without necessarily altering social initiatives.</w:t>
      </w:r>
    </w:p>
    <w:p w14:paraId="2279A17A" w14:textId="768E243E" w:rsidR="00D02041" w:rsidRPr="00372CB1" w:rsidRDefault="008329A6" w:rsidP="008612B7">
      <w:pPr>
        <w:spacing w:line="480" w:lineRule="auto"/>
        <w:ind w:firstLine="720"/>
      </w:pPr>
      <w:r w:rsidRPr="00063811">
        <w:t>The</w:t>
      </w:r>
      <w:r w:rsidR="006D1A93" w:rsidRPr="00063811">
        <w:t xml:space="preserve"> findings expand upon Garrett and Ivanov's (2022) research on the financial implications of </w:t>
      </w:r>
      <w:r w:rsidR="00372CB1">
        <w:t>a</w:t>
      </w:r>
      <w:r w:rsidR="006D1A93" w:rsidRPr="00063811">
        <w:t xml:space="preserve">nti-ESG legislation in Texas. While their study documented increased borrowing costs following market exit by major financial institutions, </w:t>
      </w:r>
      <w:r w:rsidRPr="00063811">
        <w:t>this</w:t>
      </w:r>
      <w:r w:rsidR="006D1A93" w:rsidRPr="00063811">
        <w:t xml:space="preserve"> broader analysis reveals the direct impact on corporate sustainability performance. The pronounced negative effects on environmental scores align with their observed market disruptions, suggesting Anti-ESG policies create a dual burden: potentially increasing costs for citizens while simultaneously undermining environmental stewardship. This connection between financial consequences and diminished environmental performance further solidifies the economic-environmental trade-off that characterizes Anti-ESG policy environments.</w:t>
      </w:r>
    </w:p>
    <w:p w14:paraId="780B54CD" w14:textId="77777777" w:rsidR="006D1A93" w:rsidRPr="00063811" w:rsidRDefault="006D1A93" w:rsidP="006760A7">
      <w:pPr>
        <w:pStyle w:val="Heading3"/>
      </w:pPr>
      <w:r w:rsidRPr="00063811">
        <w:t>Critical Mass Theory and ESG Policy Effectiveness</w:t>
      </w:r>
    </w:p>
    <w:p w14:paraId="133BC4E5" w14:textId="23F8BC72" w:rsidR="00063811" w:rsidRPr="00063811" w:rsidRDefault="006D1A93" w:rsidP="00063811">
      <w:pPr>
        <w:spacing w:line="480" w:lineRule="auto"/>
        <w:ind w:firstLine="720"/>
      </w:pPr>
      <w:r w:rsidRPr="00063811">
        <w:t xml:space="preserve">The interaction model reveals significant moderating effects of board gender diversity on the relationship between </w:t>
      </w:r>
      <w:r w:rsidR="00372CB1">
        <w:t>a</w:t>
      </w:r>
      <w:r w:rsidRPr="00063811">
        <w:t>nti-ESG policies and sustainability performance</w:t>
      </w:r>
      <w:r w:rsidR="00063811" w:rsidRPr="00063811">
        <w:t xml:space="preserve"> (see Table </w:t>
      </w:r>
      <w:r w:rsidR="00372CB1">
        <w:t>6</w:t>
      </w:r>
      <w:r w:rsidR="00063811" w:rsidRPr="00063811">
        <w:t>)</w:t>
      </w:r>
      <w:r w:rsidRPr="00063811">
        <w:t xml:space="preserve">. Specifically, the interaction term between </w:t>
      </w:r>
      <w:r w:rsidR="00372CB1">
        <w:t>a</w:t>
      </w:r>
      <w:r w:rsidRPr="00063811">
        <w:t xml:space="preserve">nti-ESG policies and board gender diversity shows positive and significant coefficients across all ESG dimensions: overall ESG (β = 0.0180, p &lt; 0.05), environmental (β = 0.0521, p &lt; 0.01), and social (β = 0.0293, p &lt; 0.05). These results </w:t>
      </w:r>
      <w:r w:rsidRPr="00063811">
        <w:lastRenderedPageBreak/>
        <w:t>strongly support Critical Mass Theory (Kanter, 1977; Konrad et al., 2008), indicating that gender-diverse boards effectively buffer against negative regulatory pressures.</w:t>
      </w:r>
      <w:r w:rsidR="00063811" w:rsidRPr="00063811">
        <w:t xml:space="preserve"> </w:t>
      </w:r>
    </w:p>
    <w:p w14:paraId="16A58DB3" w14:textId="4D74C1CD" w:rsidR="00063811" w:rsidRPr="00063811" w:rsidRDefault="00063811" w:rsidP="00063811">
      <w:pPr>
        <w:spacing w:line="480" w:lineRule="auto"/>
        <w:ind w:firstLine="720"/>
      </w:pPr>
      <w:r w:rsidRPr="00063811">
        <w:t xml:space="preserve">These findings extend Critical Mass Theory beyond its traditional application to boardroom dynamics by demonstrating its relevance to policy resilience. Boards with higher gender diversity appear more resistant to external pressures to reduce ESG commitments, particularly in environments characterized by Anti-ESG legislation. This aligns with </w:t>
      </w:r>
      <w:proofErr w:type="spellStart"/>
      <w:r w:rsidRPr="00063811">
        <w:t>Yarram</w:t>
      </w:r>
      <w:proofErr w:type="spellEnd"/>
      <w:r w:rsidRPr="00063811">
        <w:t xml:space="preserve"> and Adapa's (2021) observation that gender-diverse boards maintain stronger sustainability commitments even in challenging contexts. Interestingly, the interaction between pro-ESG policies and board gender diversity does not yield statistically significant results. This asymmetry suggests that while gender-diverse boards are particularly effective at resisting negative regulatory pressure, they may not necessarily amplify positive policy effects. </w:t>
      </w:r>
    </w:p>
    <w:p w14:paraId="094F7835" w14:textId="6839C1C0" w:rsidR="00063811" w:rsidRPr="00063811" w:rsidRDefault="00063811" w:rsidP="00183449">
      <w:pPr>
        <w:spacing w:line="480" w:lineRule="auto"/>
        <w:ind w:firstLine="720"/>
      </w:pPr>
    </w:p>
    <w:p w14:paraId="099856C6" w14:textId="77777777" w:rsidR="00063811" w:rsidRPr="00063811" w:rsidRDefault="00063811">
      <w:pPr>
        <w:spacing w:after="160" w:line="278" w:lineRule="auto"/>
      </w:pPr>
      <w:r w:rsidRPr="00063811">
        <w:br w:type="page"/>
      </w:r>
    </w:p>
    <w:p w14:paraId="1BEAC45E" w14:textId="04E18391" w:rsidR="00063811" w:rsidRPr="008612B7" w:rsidRDefault="00063811" w:rsidP="00063811">
      <w:pPr>
        <w:pStyle w:val="Caption"/>
        <w:keepNext/>
        <w:spacing w:after="0"/>
        <w:rPr>
          <w:rFonts w:ascii="Times New Roman" w:hAnsi="Times New Roman" w:cs="Times New Roman"/>
          <w:b/>
          <w:bCs/>
          <w:i w:val="0"/>
          <w:iCs w:val="0"/>
          <w:color w:val="auto"/>
          <w:sz w:val="20"/>
          <w:szCs w:val="20"/>
        </w:rPr>
      </w:pPr>
    </w:p>
    <w:p w14:paraId="76ED23EE" w14:textId="191B5BC7" w:rsidR="00063811" w:rsidRPr="008612B7" w:rsidRDefault="00063811" w:rsidP="008612B7">
      <w:pPr>
        <w:pStyle w:val="Caption"/>
        <w:keepNext/>
        <w:spacing w:after="0"/>
        <w:rPr>
          <w:b/>
          <w:bCs/>
          <w:sz w:val="20"/>
          <w:szCs w:val="20"/>
        </w:rPr>
      </w:pPr>
      <w:r w:rsidRPr="008612B7">
        <w:rPr>
          <w:rFonts w:ascii="Times New Roman" w:hAnsi="Times New Roman" w:cs="Times New Roman"/>
          <w:b/>
          <w:bCs/>
          <w:i w:val="0"/>
          <w:iCs w:val="0"/>
          <w:color w:val="auto"/>
          <w:sz w:val="20"/>
          <w:szCs w:val="20"/>
        </w:rPr>
        <w:t xml:space="preserve">Table </w:t>
      </w:r>
      <w:r w:rsidRPr="008612B7">
        <w:rPr>
          <w:rFonts w:ascii="Times New Roman" w:hAnsi="Times New Roman" w:cs="Times New Roman"/>
          <w:b/>
          <w:bCs/>
          <w:i w:val="0"/>
          <w:iCs w:val="0"/>
          <w:color w:val="auto"/>
          <w:sz w:val="20"/>
          <w:szCs w:val="20"/>
        </w:rPr>
        <w:fldChar w:fldCharType="begin"/>
      </w:r>
      <w:r w:rsidRPr="008612B7">
        <w:rPr>
          <w:rFonts w:ascii="Times New Roman" w:hAnsi="Times New Roman" w:cs="Times New Roman"/>
          <w:b/>
          <w:bCs/>
          <w:i w:val="0"/>
          <w:iCs w:val="0"/>
          <w:color w:val="auto"/>
          <w:sz w:val="20"/>
          <w:szCs w:val="20"/>
        </w:rPr>
        <w:instrText xml:space="preserve"> SEQ Table \* ARABIC </w:instrText>
      </w:r>
      <w:r w:rsidRPr="008612B7">
        <w:rPr>
          <w:rFonts w:ascii="Times New Roman" w:hAnsi="Times New Roman" w:cs="Times New Roman"/>
          <w:b/>
          <w:bCs/>
          <w:i w:val="0"/>
          <w:iCs w:val="0"/>
          <w:color w:val="auto"/>
          <w:sz w:val="20"/>
          <w:szCs w:val="20"/>
        </w:rPr>
        <w:fldChar w:fldCharType="separate"/>
      </w:r>
      <w:r w:rsidRPr="008612B7">
        <w:rPr>
          <w:rFonts w:ascii="Times New Roman" w:hAnsi="Times New Roman" w:cs="Times New Roman"/>
          <w:b/>
          <w:bCs/>
          <w:i w:val="0"/>
          <w:iCs w:val="0"/>
          <w:noProof/>
          <w:color w:val="auto"/>
          <w:sz w:val="20"/>
          <w:szCs w:val="20"/>
        </w:rPr>
        <w:t>6</w:t>
      </w:r>
      <w:r w:rsidRPr="008612B7">
        <w:rPr>
          <w:rFonts w:ascii="Times New Roman" w:hAnsi="Times New Roman" w:cs="Times New Roman"/>
          <w:b/>
          <w:bCs/>
          <w:i w:val="0"/>
          <w:iCs w:val="0"/>
          <w:color w:val="auto"/>
          <w:sz w:val="20"/>
          <w:szCs w:val="20"/>
        </w:rPr>
        <w:fldChar w:fldCharType="end"/>
      </w:r>
      <w:r w:rsidRPr="008612B7">
        <w:rPr>
          <w:rFonts w:ascii="Times New Roman" w:hAnsi="Times New Roman" w:cs="Times New Roman"/>
          <w:b/>
          <w:bCs/>
          <w:i w:val="0"/>
          <w:iCs w:val="0"/>
          <w:noProof/>
          <w:color w:val="auto"/>
          <w:sz w:val="20"/>
          <w:szCs w:val="20"/>
        </w:rPr>
        <w:t xml:space="preserve">. </w:t>
      </w:r>
      <w:bookmarkStart w:id="36" w:name="_Toc193976799"/>
      <w:r w:rsidRPr="008612B7">
        <w:rPr>
          <w:rFonts w:ascii="Times New Roman" w:hAnsi="Times New Roman" w:cs="Times New Roman"/>
          <w:b/>
          <w:bCs/>
          <w:i w:val="0"/>
          <w:iCs w:val="0"/>
          <w:noProof/>
          <w:color w:val="auto"/>
          <w:sz w:val="20"/>
          <w:szCs w:val="20"/>
        </w:rPr>
        <w:t>Interaction Results</w:t>
      </w:r>
      <w:bookmarkEnd w:id="36"/>
    </w:p>
    <w:tbl>
      <w:tblPr>
        <w:tblStyle w:val="PlainTable5"/>
        <w:tblW w:w="9184" w:type="dxa"/>
        <w:tblLook w:val="04A0" w:firstRow="1" w:lastRow="0" w:firstColumn="1" w:lastColumn="0" w:noHBand="0" w:noVBand="1"/>
      </w:tblPr>
      <w:tblGrid>
        <w:gridCol w:w="3420"/>
        <w:gridCol w:w="1980"/>
        <w:gridCol w:w="2340"/>
        <w:gridCol w:w="1444"/>
      </w:tblGrid>
      <w:tr w:rsidR="00063811" w:rsidRPr="00063811" w14:paraId="09C20182" w14:textId="77777777" w:rsidTr="00BC658E">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3420" w:type="dxa"/>
            <w:noWrap/>
            <w:vAlign w:val="bottom"/>
            <w:hideMark/>
          </w:tcPr>
          <w:p w14:paraId="187C0965" w14:textId="77777777" w:rsidR="00063811" w:rsidRPr="008612B7" w:rsidRDefault="00063811" w:rsidP="00BC658E">
            <w:pPr>
              <w:jc w:val="left"/>
              <w:rPr>
                <w:b/>
                <w:bCs/>
                <w:sz w:val="20"/>
                <w:szCs w:val="20"/>
              </w:rPr>
            </w:pPr>
            <w:r w:rsidRPr="008612B7">
              <w:rPr>
                <w:b/>
                <w:bCs/>
                <w:sz w:val="20"/>
                <w:szCs w:val="20"/>
              </w:rPr>
              <w:t>Variables</w:t>
            </w:r>
          </w:p>
        </w:tc>
        <w:tc>
          <w:tcPr>
            <w:tcW w:w="1980" w:type="dxa"/>
            <w:noWrap/>
            <w:vAlign w:val="bottom"/>
            <w:hideMark/>
          </w:tcPr>
          <w:p w14:paraId="6981177E" w14:textId="77777777" w:rsidR="00063811" w:rsidRPr="008612B7" w:rsidRDefault="00063811" w:rsidP="00BC658E">
            <w:pPr>
              <w:jc w:val="center"/>
              <w:cnfStyle w:val="100000000000" w:firstRow="1" w:lastRow="0" w:firstColumn="0" w:lastColumn="0" w:oddVBand="0" w:evenVBand="0" w:oddHBand="0" w:evenHBand="0" w:firstRowFirstColumn="0" w:firstRowLastColumn="0" w:lastRowFirstColumn="0" w:lastRowLastColumn="0"/>
              <w:rPr>
                <w:b/>
                <w:bCs/>
                <w:sz w:val="20"/>
                <w:szCs w:val="20"/>
              </w:rPr>
            </w:pPr>
            <w:r w:rsidRPr="008612B7">
              <w:rPr>
                <w:b/>
                <w:bCs/>
                <w:sz w:val="20"/>
                <w:szCs w:val="20"/>
              </w:rPr>
              <w:t>Overall ESG Score</w:t>
            </w:r>
          </w:p>
        </w:tc>
        <w:tc>
          <w:tcPr>
            <w:tcW w:w="2340" w:type="dxa"/>
            <w:noWrap/>
            <w:vAlign w:val="bottom"/>
            <w:hideMark/>
          </w:tcPr>
          <w:p w14:paraId="186F38A2" w14:textId="77777777" w:rsidR="00063811" w:rsidRPr="008612B7" w:rsidRDefault="00063811" w:rsidP="00BC658E">
            <w:pPr>
              <w:jc w:val="center"/>
              <w:cnfStyle w:val="100000000000" w:firstRow="1" w:lastRow="0" w:firstColumn="0" w:lastColumn="0" w:oddVBand="0" w:evenVBand="0" w:oddHBand="0" w:evenHBand="0" w:firstRowFirstColumn="0" w:firstRowLastColumn="0" w:lastRowFirstColumn="0" w:lastRowLastColumn="0"/>
              <w:rPr>
                <w:b/>
                <w:bCs/>
                <w:sz w:val="20"/>
                <w:szCs w:val="20"/>
              </w:rPr>
            </w:pPr>
            <w:r w:rsidRPr="008612B7">
              <w:rPr>
                <w:b/>
                <w:bCs/>
                <w:sz w:val="20"/>
                <w:szCs w:val="20"/>
              </w:rPr>
              <w:t>Environmental Score</w:t>
            </w:r>
          </w:p>
        </w:tc>
        <w:tc>
          <w:tcPr>
            <w:tcW w:w="1444" w:type="dxa"/>
            <w:noWrap/>
            <w:vAlign w:val="bottom"/>
            <w:hideMark/>
          </w:tcPr>
          <w:p w14:paraId="7DDC5BFD" w14:textId="77777777" w:rsidR="00063811" w:rsidRPr="008612B7" w:rsidRDefault="00063811" w:rsidP="00BC658E">
            <w:pPr>
              <w:jc w:val="center"/>
              <w:cnfStyle w:val="100000000000" w:firstRow="1" w:lastRow="0" w:firstColumn="0" w:lastColumn="0" w:oddVBand="0" w:evenVBand="0" w:oddHBand="0" w:evenHBand="0" w:firstRowFirstColumn="0" w:firstRowLastColumn="0" w:lastRowFirstColumn="0" w:lastRowLastColumn="0"/>
              <w:rPr>
                <w:b/>
                <w:bCs/>
                <w:sz w:val="20"/>
                <w:szCs w:val="20"/>
              </w:rPr>
            </w:pPr>
            <w:r w:rsidRPr="008612B7">
              <w:rPr>
                <w:b/>
                <w:bCs/>
                <w:sz w:val="20"/>
                <w:szCs w:val="20"/>
              </w:rPr>
              <w:t>Social Score</w:t>
            </w:r>
          </w:p>
        </w:tc>
      </w:tr>
      <w:tr w:rsidR="00063811" w:rsidRPr="00063811" w14:paraId="1781D187" w14:textId="77777777" w:rsidTr="00BC65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tcPr>
          <w:p w14:paraId="72C090CB" w14:textId="77777777" w:rsidR="00063811" w:rsidRPr="008612B7" w:rsidRDefault="00063811" w:rsidP="00BC658E">
            <w:pPr>
              <w:rPr>
                <w:b/>
                <w:bCs/>
                <w:sz w:val="20"/>
                <w:szCs w:val="20"/>
              </w:rPr>
            </w:pPr>
          </w:p>
        </w:tc>
        <w:tc>
          <w:tcPr>
            <w:tcW w:w="1980" w:type="dxa"/>
            <w:noWrap/>
            <w:vAlign w:val="bottom"/>
          </w:tcPr>
          <w:p w14:paraId="607FC144"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b/>
                <w:bCs/>
                <w:sz w:val="20"/>
                <w:szCs w:val="20"/>
              </w:rPr>
            </w:pPr>
          </w:p>
        </w:tc>
        <w:tc>
          <w:tcPr>
            <w:tcW w:w="2340" w:type="dxa"/>
            <w:noWrap/>
            <w:vAlign w:val="bottom"/>
          </w:tcPr>
          <w:p w14:paraId="202641EB"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b/>
                <w:bCs/>
                <w:sz w:val="20"/>
                <w:szCs w:val="20"/>
              </w:rPr>
            </w:pPr>
          </w:p>
        </w:tc>
        <w:tc>
          <w:tcPr>
            <w:tcW w:w="1444" w:type="dxa"/>
            <w:noWrap/>
            <w:vAlign w:val="bottom"/>
          </w:tcPr>
          <w:p w14:paraId="76BBA3A4"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b/>
                <w:bCs/>
                <w:sz w:val="20"/>
                <w:szCs w:val="20"/>
              </w:rPr>
            </w:pPr>
          </w:p>
        </w:tc>
      </w:tr>
      <w:tr w:rsidR="00063811" w:rsidRPr="00063811" w14:paraId="07F3ED1D" w14:textId="77777777" w:rsidTr="00BC658E">
        <w:trPr>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6A4FE0C3" w14:textId="77777777" w:rsidR="00063811" w:rsidRPr="008612B7" w:rsidRDefault="00063811" w:rsidP="00BC658E">
            <w:pPr>
              <w:jc w:val="left"/>
              <w:rPr>
                <w:sz w:val="20"/>
                <w:szCs w:val="20"/>
              </w:rPr>
            </w:pPr>
            <w:r w:rsidRPr="008612B7">
              <w:rPr>
                <w:sz w:val="20"/>
                <w:szCs w:val="20"/>
              </w:rPr>
              <w:t>Anti ESG Policy (1=Yes)</w:t>
            </w:r>
          </w:p>
        </w:tc>
        <w:tc>
          <w:tcPr>
            <w:tcW w:w="1980" w:type="dxa"/>
            <w:noWrap/>
            <w:vAlign w:val="bottom"/>
            <w:hideMark/>
          </w:tcPr>
          <w:p w14:paraId="156E85F0"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-1.042*</w:t>
            </w:r>
          </w:p>
        </w:tc>
        <w:tc>
          <w:tcPr>
            <w:tcW w:w="2340" w:type="dxa"/>
            <w:noWrap/>
            <w:vAlign w:val="bottom"/>
            <w:hideMark/>
          </w:tcPr>
          <w:p w14:paraId="4C150DA5"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-4.880***</w:t>
            </w:r>
          </w:p>
        </w:tc>
        <w:tc>
          <w:tcPr>
            <w:tcW w:w="1444" w:type="dxa"/>
            <w:noWrap/>
            <w:vAlign w:val="bottom"/>
            <w:hideMark/>
          </w:tcPr>
          <w:p w14:paraId="5EB95B64"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-1.076</w:t>
            </w:r>
          </w:p>
        </w:tc>
      </w:tr>
      <w:tr w:rsidR="00063811" w:rsidRPr="00063811" w14:paraId="7F0465E4" w14:textId="77777777" w:rsidTr="00BC65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33DC2696" w14:textId="77777777" w:rsidR="00063811" w:rsidRPr="008612B7" w:rsidRDefault="00063811" w:rsidP="00BC658E">
            <w:pPr>
              <w:jc w:val="left"/>
              <w:rPr>
                <w:sz w:val="20"/>
                <w:szCs w:val="20"/>
              </w:rPr>
            </w:pPr>
            <w:r w:rsidRPr="008612B7">
              <w:rPr>
                <w:sz w:val="20"/>
                <w:szCs w:val="20"/>
              </w:rPr>
              <w:t> </w:t>
            </w:r>
          </w:p>
        </w:tc>
        <w:tc>
          <w:tcPr>
            <w:tcW w:w="1980" w:type="dxa"/>
            <w:noWrap/>
            <w:vAlign w:val="bottom"/>
            <w:hideMark/>
          </w:tcPr>
          <w:p w14:paraId="1FC1130C"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(0.560)</w:t>
            </w:r>
          </w:p>
        </w:tc>
        <w:tc>
          <w:tcPr>
            <w:tcW w:w="2340" w:type="dxa"/>
            <w:noWrap/>
            <w:vAlign w:val="bottom"/>
            <w:hideMark/>
          </w:tcPr>
          <w:p w14:paraId="4D0482EF"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(0.844)</w:t>
            </w:r>
          </w:p>
        </w:tc>
        <w:tc>
          <w:tcPr>
            <w:tcW w:w="1444" w:type="dxa"/>
            <w:noWrap/>
            <w:vAlign w:val="bottom"/>
            <w:hideMark/>
          </w:tcPr>
          <w:p w14:paraId="411FE0EB"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(0.756)</w:t>
            </w:r>
          </w:p>
        </w:tc>
      </w:tr>
      <w:tr w:rsidR="00063811" w:rsidRPr="00063811" w14:paraId="2F4B4554" w14:textId="77777777" w:rsidTr="00BC658E">
        <w:trPr>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66C5E9D1" w14:textId="77777777" w:rsidR="00063811" w:rsidRPr="008612B7" w:rsidRDefault="00063811" w:rsidP="00BC658E">
            <w:pPr>
              <w:jc w:val="left"/>
              <w:rPr>
                <w:sz w:val="20"/>
                <w:szCs w:val="20"/>
              </w:rPr>
            </w:pPr>
            <w:r w:rsidRPr="008612B7">
              <w:rPr>
                <w:sz w:val="20"/>
                <w:szCs w:val="20"/>
              </w:rPr>
              <w:t>Anti ESG Policy x Board Gender Diversity</w:t>
            </w:r>
          </w:p>
        </w:tc>
        <w:tc>
          <w:tcPr>
            <w:tcW w:w="1980" w:type="dxa"/>
            <w:noWrap/>
            <w:vAlign w:val="bottom"/>
            <w:hideMark/>
          </w:tcPr>
          <w:p w14:paraId="51A7D8DB"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0.0180**</w:t>
            </w:r>
          </w:p>
        </w:tc>
        <w:tc>
          <w:tcPr>
            <w:tcW w:w="2340" w:type="dxa"/>
            <w:noWrap/>
            <w:vAlign w:val="bottom"/>
            <w:hideMark/>
          </w:tcPr>
          <w:p w14:paraId="2F3732E9"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0.0521***</w:t>
            </w:r>
          </w:p>
        </w:tc>
        <w:tc>
          <w:tcPr>
            <w:tcW w:w="1444" w:type="dxa"/>
            <w:noWrap/>
            <w:vAlign w:val="bottom"/>
            <w:hideMark/>
          </w:tcPr>
          <w:p w14:paraId="73A8D6F4"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0.0293**</w:t>
            </w:r>
          </w:p>
        </w:tc>
      </w:tr>
      <w:tr w:rsidR="00063811" w:rsidRPr="00063811" w14:paraId="549C35A3" w14:textId="77777777" w:rsidTr="00BC65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75AF7690" w14:textId="77777777" w:rsidR="00063811" w:rsidRPr="008612B7" w:rsidRDefault="00063811" w:rsidP="00BC658E">
            <w:pPr>
              <w:jc w:val="left"/>
              <w:rPr>
                <w:sz w:val="20"/>
                <w:szCs w:val="20"/>
              </w:rPr>
            </w:pPr>
            <w:r w:rsidRPr="008612B7">
              <w:rPr>
                <w:sz w:val="20"/>
                <w:szCs w:val="20"/>
              </w:rPr>
              <w:t> </w:t>
            </w:r>
          </w:p>
        </w:tc>
        <w:tc>
          <w:tcPr>
            <w:tcW w:w="1980" w:type="dxa"/>
            <w:noWrap/>
            <w:vAlign w:val="bottom"/>
            <w:hideMark/>
          </w:tcPr>
          <w:p w14:paraId="6764645A"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(0.00909)</w:t>
            </w:r>
          </w:p>
        </w:tc>
        <w:tc>
          <w:tcPr>
            <w:tcW w:w="2340" w:type="dxa"/>
            <w:noWrap/>
            <w:vAlign w:val="bottom"/>
            <w:hideMark/>
          </w:tcPr>
          <w:p w14:paraId="116ABC38"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(0.0141)</w:t>
            </w:r>
          </w:p>
        </w:tc>
        <w:tc>
          <w:tcPr>
            <w:tcW w:w="1444" w:type="dxa"/>
            <w:noWrap/>
            <w:vAlign w:val="bottom"/>
            <w:hideMark/>
          </w:tcPr>
          <w:p w14:paraId="46C37CEC"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(0.0121)</w:t>
            </w:r>
          </w:p>
        </w:tc>
      </w:tr>
      <w:tr w:rsidR="00063811" w:rsidRPr="00063811" w14:paraId="1A43DB80" w14:textId="77777777" w:rsidTr="00BC658E">
        <w:trPr>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07C28822" w14:textId="77777777" w:rsidR="00063811" w:rsidRPr="008612B7" w:rsidRDefault="00063811" w:rsidP="00BC658E">
            <w:pPr>
              <w:jc w:val="left"/>
              <w:rPr>
                <w:sz w:val="20"/>
                <w:szCs w:val="20"/>
              </w:rPr>
            </w:pPr>
            <w:r w:rsidRPr="008612B7">
              <w:rPr>
                <w:sz w:val="20"/>
                <w:szCs w:val="20"/>
              </w:rPr>
              <w:t>Pro ESG Policy (1=Yes)</w:t>
            </w:r>
          </w:p>
        </w:tc>
        <w:tc>
          <w:tcPr>
            <w:tcW w:w="1980" w:type="dxa"/>
            <w:noWrap/>
            <w:vAlign w:val="bottom"/>
            <w:hideMark/>
          </w:tcPr>
          <w:p w14:paraId="4CED32A1"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0.248</w:t>
            </w:r>
          </w:p>
        </w:tc>
        <w:tc>
          <w:tcPr>
            <w:tcW w:w="2340" w:type="dxa"/>
            <w:noWrap/>
            <w:vAlign w:val="bottom"/>
            <w:hideMark/>
          </w:tcPr>
          <w:p w14:paraId="42BC1FC2"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-0.580</w:t>
            </w:r>
          </w:p>
        </w:tc>
        <w:tc>
          <w:tcPr>
            <w:tcW w:w="1444" w:type="dxa"/>
            <w:noWrap/>
            <w:vAlign w:val="bottom"/>
            <w:hideMark/>
          </w:tcPr>
          <w:p w14:paraId="461B2414"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0.863</w:t>
            </w:r>
          </w:p>
        </w:tc>
      </w:tr>
      <w:tr w:rsidR="00063811" w:rsidRPr="00063811" w14:paraId="1DD8DFFD" w14:textId="77777777" w:rsidTr="00BC65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384874DF" w14:textId="77777777" w:rsidR="00063811" w:rsidRPr="008612B7" w:rsidRDefault="00063811" w:rsidP="00BC658E">
            <w:pPr>
              <w:jc w:val="left"/>
              <w:rPr>
                <w:sz w:val="20"/>
                <w:szCs w:val="20"/>
              </w:rPr>
            </w:pPr>
            <w:r w:rsidRPr="008612B7">
              <w:rPr>
                <w:sz w:val="20"/>
                <w:szCs w:val="20"/>
              </w:rPr>
              <w:t> </w:t>
            </w:r>
          </w:p>
        </w:tc>
        <w:tc>
          <w:tcPr>
            <w:tcW w:w="1980" w:type="dxa"/>
            <w:noWrap/>
            <w:vAlign w:val="bottom"/>
            <w:hideMark/>
          </w:tcPr>
          <w:p w14:paraId="4EB871C4"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(0.645)</w:t>
            </w:r>
          </w:p>
        </w:tc>
        <w:tc>
          <w:tcPr>
            <w:tcW w:w="2340" w:type="dxa"/>
            <w:noWrap/>
            <w:vAlign w:val="bottom"/>
            <w:hideMark/>
          </w:tcPr>
          <w:p w14:paraId="14F1557B"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(1.020)</w:t>
            </w:r>
          </w:p>
        </w:tc>
        <w:tc>
          <w:tcPr>
            <w:tcW w:w="1444" w:type="dxa"/>
            <w:noWrap/>
            <w:vAlign w:val="bottom"/>
            <w:hideMark/>
          </w:tcPr>
          <w:p w14:paraId="09690B08"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(0.743)</w:t>
            </w:r>
          </w:p>
        </w:tc>
      </w:tr>
      <w:tr w:rsidR="00063811" w:rsidRPr="00063811" w14:paraId="35757778" w14:textId="77777777" w:rsidTr="00BC658E">
        <w:trPr>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2415BB96" w14:textId="77777777" w:rsidR="00063811" w:rsidRPr="008612B7" w:rsidRDefault="00063811" w:rsidP="00BC658E">
            <w:pPr>
              <w:jc w:val="left"/>
              <w:rPr>
                <w:sz w:val="20"/>
                <w:szCs w:val="20"/>
              </w:rPr>
            </w:pPr>
            <w:r w:rsidRPr="008612B7">
              <w:rPr>
                <w:sz w:val="20"/>
                <w:szCs w:val="20"/>
              </w:rPr>
              <w:t>Pro ESG Policy x Board Gender Diversity</w:t>
            </w:r>
          </w:p>
        </w:tc>
        <w:tc>
          <w:tcPr>
            <w:tcW w:w="1980" w:type="dxa"/>
            <w:noWrap/>
            <w:vAlign w:val="bottom"/>
            <w:hideMark/>
          </w:tcPr>
          <w:p w14:paraId="70CA38B0"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0.00693</w:t>
            </w:r>
          </w:p>
        </w:tc>
        <w:tc>
          <w:tcPr>
            <w:tcW w:w="2340" w:type="dxa"/>
            <w:noWrap/>
            <w:vAlign w:val="bottom"/>
            <w:hideMark/>
          </w:tcPr>
          <w:p w14:paraId="18EDB7EB"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0.00749</w:t>
            </w:r>
          </w:p>
        </w:tc>
        <w:tc>
          <w:tcPr>
            <w:tcW w:w="1444" w:type="dxa"/>
            <w:noWrap/>
            <w:vAlign w:val="bottom"/>
            <w:hideMark/>
          </w:tcPr>
          <w:p w14:paraId="72B56F23"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0.00976</w:t>
            </w:r>
          </w:p>
        </w:tc>
      </w:tr>
      <w:tr w:rsidR="00063811" w:rsidRPr="00063811" w14:paraId="1FE2F71D" w14:textId="77777777" w:rsidTr="00BC65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767503D8" w14:textId="77777777" w:rsidR="00063811" w:rsidRPr="008612B7" w:rsidRDefault="00063811" w:rsidP="00BC658E">
            <w:pPr>
              <w:jc w:val="left"/>
              <w:rPr>
                <w:sz w:val="20"/>
                <w:szCs w:val="20"/>
              </w:rPr>
            </w:pPr>
            <w:r w:rsidRPr="008612B7">
              <w:rPr>
                <w:sz w:val="20"/>
                <w:szCs w:val="20"/>
              </w:rPr>
              <w:t> </w:t>
            </w:r>
          </w:p>
        </w:tc>
        <w:tc>
          <w:tcPr>
            <w:tcW w:w="1980" w:type="dxa"/>
            <w:noWrap/>
            <w:vAlign w:val="bottom"/>
            <w:hideMark/>
          </w:tcPr>
          <w:p w14:paraId="022159BA"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(0.00948)</w:t>
            </w:r>
          </w:p>
        </w:tc>
        <w:tc>
          <w:tcPr>
            <w:tcW w:w="2340" w:type="dxa"/>
            <w:noWrap/>
            <w:vAlign w:val="bottom"/>
            <w:hideMark/>
          </w:tcPr>
          <w:p w14:paraId="547BE98B"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(0.0150)</w:t>
            </w:r>
          </w:p>
        </w:tc>
        <w:tc>
          <w:tcPr>
            <w:tcW w:w="1444" w:type="dxa"/>
            <w:noWrap/>
            <w:vAlign w:val="bottom"/>
            <w:hideMark/>
          </w:tcPr>
          <w:p w14:paraId="30BB6373"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(0.0107)</w:t>
            </w:r>
          </w:p>
        </w:tc>
      </w:tr>
      <w:tr w:rsidR="00063811" w:rsidRPr="00063811" w14:paraId="2691A922" w14:textId="77777777" w:rsidTr="00BC658E">
        <w:trPr>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612EE02F" w14:textId="77777777" w:rsidR="00063811" w:rsidRPr="008612B7" w:rsidRDefault="00063811" w:rsidP="00BC658E">
            <w:pPr>
              <w:jc w:val="left"/>
              <w:rPr>
                <w:sz w:val="20"/>
                <w:szCs w:val="20"/>
              </w:rPr>
            </w:pPr>
            <w:r w:rsidRPr="008612B7">
              <w:rPr>
                <w:sz w:val="20"/>
                <w:szCs w:val="20"/>
              </w:rPr>
              <w:t>Board Gender Diversity</w:t>
            </w:r>
          </w:p>
        </w:tc>
        <w:tc>
          <w:tcPr>
            <w:tcW w:w="1980" w:type="dxa"/>
            <w:noWrap/>
            <w:vAlign w:val="bottom"/>
            <w:hideMark/>
          </w:tcPr>
          <w:p w14:paraId="5E5B644F"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0.0440***</w:t>
            </w:r>
          </w:p>
        </w:tc>
        <w:tc>
          <w:tcPr>
            <w:tcW w:w="2340" w:type="dxa"/>
            <w:noWrap/>
            <w:vAlign w:val="bottom"/>
            <w:hideMark/>
          </w:tcPr>
          <w:p w14:paraId="7324007D"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0.0332***</w:t>
            </w:r>
          </w:p>
        </w:tc>
        <w:tc>
          <w:tcPr>
            <w:tcW w:w="1444" w:type="dxa"/>
            <w:noWrap/>
            <w:vAlign w:val="bottom"/>
            <w:hideMark/>
          </w:tcPr>
          <w:p w14:paraId="4733BACA"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0.0310***</w:t>
            </w:r>
          </w:p>
        </w:tc>
      </w:tr>
      <w:tr w:rsidR="00063811" w:rsidRPr="00063811" w14:paraId="72FCA8E0" w14:textId="77777777" w:rsidTr="00BC65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3D123759" w14:textId="77777777" w:rsidR="00063811" w:rsidRPr="008612B7" w:rsidRDefault="00063811" w:rsidP="00BC658E">
            <w:pPr>
              <w:jc w:val="left"/>
              <w:rPr>
                <w:sz w:val="20"/>
                <w:szCs w:val="20"/>
              </w:rPr>
            </w:pPr>
            <w:r w:rsidRPr="008612B7">
              <w:rPr>
                <w:sz w:val="20"/>
                <w:szCs w:val="20"/>
              </w:rPr>
              <w:t> </w:t>
            </w:r>
          </w:p>
        </w:tc>
        <w:tc>
          <w:tcPr>
            <w:tcW w:w="1980" w:type="dxa"/>
            <w:noWrap/>
            <w:vAlign w:val="bottom"/>
            <w:hideMark/>
          </w:tcPr>
          <w:p w14:paraId="7EE21B6F"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(0.00415)</w:t>
            </w:r>
          </w:p>
        </w:tc>
        <w:tc>
          <w:tcPr>
            <w:tcW w:w="2340" w:type="dxa"/>
            <w:noWrap/>
            <w:vAlign w:val="bottom"/>
            <w:hideMark/>
          </w:tcPr>
          <w:p w14:paraId="434363D1"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(0.00571)</w:t>
            </w:r>
          </w:p>
        </w:tc>
        <w:tc>
          <w:tcPr>
            <w:tcW w:w="1444" w:type="dxa"/>
            <w:noWrap/>
            <w:vAlign w:val="bottom"/>
            <w:hideMark/>
          </w:tcPr>
          <w:p w14:paraId="0B591163"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(0.00508)</w:t>
            </w:r>
          </w:p>
        </w:tc>
      </w:tr>
      <w:tr w:rsidR="00063811" w:rsidRPr="00063811" w14:paraId="6C18D9C1" w14:textId="77777777" w:rsidTr="00BC658E">
        <w:trPr>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61E79621" w14:textId="77777777" w:rsidR="00063811" w:rsidRPr="008612B7" w:rsidRDefault="00063811" w:rsidP="00BC658E">
            <w:pPr>
              <w:jc w:val="left"/>
              <w:rPr>
                <w:sz w:val="20"/>
                <w:szCs w:val="20"/>
              </w:rPr>
            </w:pPr>
            <w:r w:rsidRPr="008612B7">
              <w:rPr>
                <w:sz w:val="20"/>
                <w:szCs w:val="20"/>
              </w:rPr>
              <w:t>Board Average Tenure</w:t>
            </w:r>
          </w:p>
        </w:tc>
        <w:tc>
          <w:tcPr>
            <w:tcW w:w="1980" w:type="dxa"/>
            <w:noWrap/>
            <w:vAlign w:val="bottom"/>
            <w:hideMark/>
          </w:tcPr>
          <w:p w14:paraId="0C775A77"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0.0205***</w:t>
            </w:r>
          </w:p>
        </w:tc>
        <w:tc>
          <w:tcPr>
            <w:tcW w:w="2340" w:type="dxa"/>
            <w:noWrap/>
            <w:vAlign w:val="bottom"/>
            <w:hideMark/>
          </w:tcPr>
          <w:p w14:paraId="59D63EFA"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0.00859</w:t>
            </w:r>
          </w:p>
        </w:tc>
        <w:tc>
          <w:tcPr>
            <w:tcW w:w="1444" w:type="dxa"/>
            <w:noWrap/>
            <w:vAlign w:val="bottom"/>
            <w:hideMark/>
          </w:tcPr>
          <w:p w14:paraId="0B3ADC0F"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0.0207***</w:t>
            </w:r>
          </w:p>
        </w:tc>
      </w:tr>
      <w:tr w:rsidR="00063811" w:rsidRPr="00063811" w14:paraId="65EAAA12" w14:textId="77777777" w:rsidTr="00BC65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1066A4B2" w14:textId="77777777" w:rsidR="00063811" w:rsidRPr="008612B7" w:rsidRDefault="00063811" w:rsidP="00BC658E">
            <w:pPr>
              <w:jc w:val="left"/>
              <w:rPr>
                <w:sz w:val="20"/>
                <w:szCs w:val="20"/>
              </w:rPr>
            </w:pPr>
            <w:r w:rsidRPr="008612B7">
              <w:rPr>
                <w:sz w:val="20"/>
                <w:szCs w:val="20"/>
              </w:rPr>
              <w:t> </w:t>
            </w:r>
          </w:p>
        </w:tc>
        <w:tc>
          <w:tcPr>
            <w:tcW w:w="1980" w:type="dxa"/>
            <w:noWrap/>
            <w:vAlign w:val="bottom"/>
            <w:hideMark/>
          </w:tcPr>
          <w:p w14:paraId="4CC90393"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(0.00492)</w:t>
            </w:r>
          </w:p>
        </w:tc>
        <w:tc>
          <w:tcPr>
            <w:tcW w:w="2340" w:type="dxa"/>
            <w:noWrap/>
            <w:vAlign w:val="bottom"/>
            <w:hideMark/>
          </w:tcPr>
          <w:p w14:paraId="569B001C"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(0.00635)</w:t>
            </w:r>
          </w:p>
        </w:tc>
        <w:tc>
          <w:tcPr>
            <w:tcW w:w="1444" w:type="dxa"/>
            <w:noWrap/>
            <w:vAlign w:val="bottom"/>
            <w:hideMark/>
          </w:tcPr>
          <w:p w14:paraId="1360069E"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(0.00583)</w:t>
            </w:r>
          </w:p>
        </w:tc>
      </w:tr>
      <w:tr w:rsidR="00063811" w:rsidRPr="00063811" w14:paraId="1DAF996C" w14:textId="77777777" w:rsidTr="00BC658E">
        <w:trPr>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768B6A19" w14:textId="77777777" w:rsidR="00063811" w:rsidRPr="008612B7" w:rsidRDefault="00063811" w:rsidP="00BC658E">
            <w:pPr>
              <w:jc w:val="left"/>
              <w:rPr>
                <w:sz w:val="20"/>
                <w:szCs w:val="20"/>
              </w:rPr>
            </w:pPr>
            <w:r w:rsidRPr="008612B7">
              <w:rPr>
                <w:sz w:val="20"/>
                <w:szCs w:val="20"/>
              </w:rPr>
              <w:t>Company Age</w:t>
            </w:r>
          </w:p>
        </w:tc>
        <w:tc>
          <w:tcPr>
            <w:tcW w:w="1980" w:type="dxa"/>
            <w:noWrap/>
            <w:vAlign w:val="bottom"/>
            <w:hideMark/>
          </w:tcPr>
          <w:p w14:paraId="5D72410F"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-0.0571</w:t>
            </w:r>
          </w:p>
        </w:tc>
        <w:tc>
          <w:tcPr>
            <w:tcW w:w="2340" w:type="dxa"/>
            <w:noWrap/>
            <w:vAlign w:val="bottom"/>
            <w:hideMark/>
          </w:tcPr>
          <w:p w14:paraId="0336BF95"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0.191**</w:t>
            </w:r>
          </w:p>
        </w:tc>
        <w:tc>
          <w:tcPr>
            <w:tcW w:w="1444" w:type="dxa"/>
            <w:noWrap/>
            <w:vAlign w:val="bottom"/>
            <w:hideMark/>
          </w:tcPr>
          <w:p w14:paraId="66607684"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0.379***</w:t>
            </w:r>
          </w:p>
        </w:tc>
      </w:tr>
      <w:tr w:rsidR="00063811" w:rsidRPr="00063811" w14:paraId="29B4D401" w14:textId="77777777" w:rsidTr="00BC65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749D8B30" w14:textId="77777777" w:rsidR="00063811" w:rsidRPr="008612B7" w:rsidRDefault="00063811" w:rsidP="00BC658E">
            <w:pPr>
              <w:jc w:val="left"/>
              <w:rPr>
                <w:sz w:val="20"/>
                <w:szCs w:val="20"/>
              </w:rPr>
            </w:pPr>
            <w:r w:rsidRPr="008612B7">
              <w:rPr>
                <w:sz w:val="20"/>
                <w:szCs w:val="20"/>
              </w:rPr>
              <w:t> </w:t>
            </w:r>
          </w:p>
        </w:tc>
        <w:tc>
          <w:tcPr>
            <w:tcW w:w="1980" w:type="dxa"/>
            <w:noWrap/>
            <w:vAlign w:val="bottom"/>
            <w:hideMark/>
          </w:tcPr>
          <w:p w14:paraId="5AF1B12A"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(0.0662)</w:t>
            </w:r>
          </w:p>
        </w:tc>
        <w:tc>
          <w:tcPr>
            <w:tcW w:w="2340" w:type="dxa"/>
            <w:noWrap/>
            <w:vAlign w:val="bottom"/>
            <w:hideMark/>
          </w:tcPr>
          <w:p w14:paraId="05267480"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(0.0892)</w:t>
            </w:r>
          </w:p>
        </w:tc>
        <w:tc>
          <w:tcPr>
            <w:tcW w:w="1444" w:type="dxa"/>
            <w:noWrap/>
            <w:vAlign w:val="bottom"/>
            <w:hideMark/>
          </w:tcPr>
          <w:p w14:paraId="2F4FF69E"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(0.0775)</w:t>
            </w:r>
          </w:p>
        </w:tc>
      </w:tr>
      <w:tr w:rsidR="00063811" w:rsidRPr="00063811" w14:paraId="12C2DE00" w14:textId="77777777" w:rsidTr="00BC658E">
        <w:trPr>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19360494" w14:textId="77777777" w:rsidR="00063811" w:rsidRPr="008612B7" w:rsidRDefault="00063811" w:rsidP="00BC658E">
            <w:pPr>
              <w:jc w:val="left"/>
              <w:rPr>
                <w:sz w:val="20"/>
                <w:szCs w:val="20"/>
              </w:rPr>
            </w:pPr>
            <w:r w:rsidRPr="008612B7">
              <w:rPr>
                <w:sz w:val="20"/>
                <w:szCs w:val="20"/>
              </w:rPr>
              <w:t>Company Size</w:t>
            </w:r>
          </w:p>
        </w:tc>
        <w:tc>
          <w:tcPr>
            <w:tcW w:w="1980" w:type="dxa"/>
            <w:noWrap/>
            <w:vAlign w:val="bottom"/>
            <w:hideMark/>
          </w:tcPr>
          <w:p w14:paraId="485A6FEA"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2.251***</w:t>
            </w:r>
          </w:p>
        </w:tc>
        <w:tc>
          <w:tcPr>
            <w:tcW w:w="2340" w:type="dxa"/>
            <w:noWrap/>
            <w:vAlign w:val="bottom"/>
            <w:hideMark/>
          </w:tcPr>
          <w:p w14:paraId="50844F28"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2.781***</w:t>
            </w:r>
          </w:p>
        </w:tc>
        <w:tc>
          <w:tcPr>
            <w:tcW w:w="1444" w:type="dxa"/>
            <w:noWrap/>
            <w:vAlign w:val="bottom"/>
            <w:hideMark/>
          </w:tcPr>
          <w:p w14:paraId="7EDD81A0"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2.082***</w:t>
            </w:r>
          </w:p>
        </w:tc>
      </w:tr>
      <w:tr w:rsidR="00063811" w:rsidRPr="00063811" w14:paraId="2C844072" w14:textId="77777777" w:rsidTr="00BC65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58CB57AD" w14:textId="77777777" w:rsidR="00063811" w:rsidRPr="008612B7" w:rsidRDefault="00063811" w:rsidP="00BC658E">
            <w:pPr>
              <w:jc w:val="left"/>
              <w:rPr>
                <w:sz w:val="20"/>
                <w:szCs w:val="20"/>
              </w:rPr>
            </w:pPr>
            <w:r w:rsidRPr="008612B7">
              <w:rPr>
                <w:sz w:val="20"/>
                <w:szCs w:val="20"/>
              </w:rPr>
              <w:t> </w:t>
            </w:r>
          </w:p>
        </w:tc>
        <w:tc>
          <w:tcPr>
            <w:tcW w:w="1980" w:type="dxa"/>
            <w:noWrap/>
            <w:vAlign w:val="bottom"/>
            <w:hideMark/>
          </w:tcPr>
          <w:p w14:paraId="0BEF7219"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(0.313)</w:t>
            </w:r>
          </w:p>
        </w:tc>
        <w:tc>
          <w:tcPr>
            <w:tcW w:w="2340" w:type="dxa"/>
            <w:noWrap/>
            <w:vAlign w:val="bottom"/>
            <w:hideMark/>
          </w:tcPr>
          <w:p w14:paraId="7BF8F249"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(0.446)</w:t>
            </w:r>
          </w:p>
        </w:tc>
        <w:tc>
          <w:tcPr>
            <w:tcW w:w="1444" w:type="dxa"/>
            <w:noWrap/>
            <w:vAlign w:val="bottom"/>
            <w:hideMark/>
          </w:tcPr>
          <w:p w14:paraId="1873C61F"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(0.363)</w:t>
            </w:r>
          </w:p>
        </w:tc>
      </w:tr>
      <w:tr w:rsidR="00063811" w:rsidRPr="00063811" w14:paraId="07AC49D7" w14:textId="77777777" w:rsidTr="00BC658E">
        <w:trPr>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68A91D31" w14:textId="77777777" w:rsidR="00063811" w:rsidRPr="008612B7" w:rsidRDefault="00063811" w:rsidP="00BC658E">
            <w:pPr>
              <w:jc w:val="left"/>
              <w:rPr>
                <w:sz w:val="20"/>
                <w:szCs w:val="20"/>
              </w:rPr>
            </w:pPr>
            <w:r w:rsidRPr="008612B7">
              <w:rPr>
                <w:sz w:val="20"/>
                <w:szCs w:val="20"/>
              </w:rPr>
              <w:t>Leverage</w:t>
            </w:r>
          </w:p>
        </w:tc>
        <w:tc>
          <w:tcPr>
            <w:tcW w:w="1980" w:type="dxa"/>
            <w:noWrap/>
            <w:vAlign w:val="bottom"/>
            <w:hideMark/>
          </w:tcPr>
          <w:p w14:paraId="3AD1E174"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0.0585</w:t>
            </w:r>
          </w:p>
        </w:tc>
        <w:tc>
          <w:tcPr>
            <w:tcW w:w="2340" w:type="dxa"/>
            <w:noWrap/>
            <w:vAlign w:val="bottom"/>
            <w:hideMark/>
          </w:tcPr>
          <w:p w14:paraId="20C2F443"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0.100</w:t>
            </w:r>
          </w:p>
        </w:tc>
        <w:tc>
          <w:tcPr>
            <w:tcW w:w="1444" w:type="dxa"/>
            <w:noWrap/>
            <w:vAlign w:val="bottom"/>
            <w:hideMark/>
          </w:tcPr>
          <w:p w14:paraId="72216F00"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0.0496</w:t>
            </w:r>
          </w:p>
        </w:tc>
      </w:tr>
      <w:tr w:rsidR="00063811" w:rsidRPr="00063811" w14:paraId="5637035C" w14:textId="77777777" w:rsidTr="00BC65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779973E0" w14:textId="77777777" w:rsidR="00063811" w:rsidRPr="008612B7" w:rsidRDefault="00063811" w:rsidP="00BC658E">
            <w:pPr>
              <w:jc w:val="left"/>
              <w:rPr>
                <w:sz w:val="20"/>
                <w:szCs w:val="20"/>
              </w:rPr>
            </w:pPr>
            <w:r w:rsidRPr="008612B7">
              <w:rPr>
                <w:sz w:val="20"/>
                <w:szCs w:val="20"/>
              </w:rPr>
              <w:t> </w:t>
            </w:r>
          </w:p>
        </w:tc>
        <w:tc>
          <w:tcPr>
            <w:tcW w:w="1980" w:type="dxa"/>
            <w:noWrap/>
            <w:vAlign w:val="bottom"/>
            <w:hideMark/>
          </w:tcPr>
          <w:p w14:paraId="54FF501C"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(0.0573)</w:t>
            </w:r>
          </w:p>
        </w:tc>
        <w:tc>
          <w:tcPr>
            <w:tcW w:w="2340" w:type="dxa"/>
            <w:noWrap/>
            <w:vAlign w:val="bottom"/>
            <w:hideMark/>
          </w:tcPr>
          <w:p w14:paraId="61B12633"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(0.0812)</w:t>
            </w:r>
          </w:p>
        </w:tc>
        <w:tc>
          <w:tcPr>
            <w:tcW w:w="1444" w:type="dxa"/>
            <w:noWrap/>
            <w:vAlign w:val="bottom"/>
            <w:hideMark/>
          </w:tcPr>
          <w:p w14:paraId="64135F2C"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(0.0646)</w:t>
            </w:r>
          </w:p>
        </w:tc>
      </w:tr>
      <w:tr w:rsidR="00063811" w:rsidRPr="00063811" w14:paraId="61F603EF" w14:textId="77777777" w:rsidTr="00BC658E">
        <w:trPr>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1788BB3D" w14:textId="77777777" w:rsidR="00063811" w:rsidRPr="008612B7" w:rsidRDefault="00063811" w:rsidP="00BC658E">
            <w:pPr>
              <w:jc w:val="left"/>
              <w:rPr>
                <w:sz w:val="20"/>
                <w:szCs w:val="20"/>
              </w:rPr>
            </w:pPr>
            <w:r w:rsidRPr="008612B7">
              <w:rPr>
                <w:sz w:val="20"/>
                <w:szCs w:val="20"/>
              </w:rPr>
              <w:t>Return on Assets</w:t>
            </w:r>
          </w:p>
        </w:tc>
        <w:tc>
          <w:tcPr>
            <w:tcW w:w="1980" w:type="dxa"/>
            <w:noWrap/>
            <w:vAlign w:val="bottom"/>
            <w:hideMark/>
          </w:tcPr>
          <w:p w14:paraId="7383CC54"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2.147***</w:t>
            </w:r>
          </w:p>
        </w:tc>
        <w:tc>
          <w:tcPr>
            <w:tcW w:w="2340" w:type="dxa"/>
            <w:noWrap/>
            <w:vAlign w:val="bottom"/>
            <w:hideMark/>
          </w:tcPr>
          <w:p w14:paraId="2242A30F"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0.913</w:t>
            </w:r>
          </w:p>
        </w:tc>
        <w:tc>
          <w:tcPr>
            <w:tcW w:w="1444" w:type="dxa"/>
            <w:noWrap/>
            <w:vAlign w:val="bottom"/>
            <w:hideMark/>
          </w:tcPr>
          <w:p w14:paraId="717649B1"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3.293***</w:t>
            </w:r>
          </w:p>
        </w:tc>
      </w:tr>
      <w:tr w:rsidR="00063811" w:rsidRPr="00063811" w14:paraId="4E31807D" w14:textId="77777777" w:rsidTr="00BC65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3601D2BF" w14:textId="77777777" w:rsidR="00063811" w:rsidRPr="008612B7" w:rsidRDefault="00063811" w:rsidP="00BC658E">
            <w:pPr>
              <w:jc w:val="left"/>
              <w:rPr>
                <w:sz w:val="20"/>
                <w:szCs w:val="20"/>
              </w:rPr>
            </w:pPr>
            <w:r w:rsidRPr="008612B7">
              <w:rPr>
                <w:sz w:val="20"/>
                <w:szCs w:val="20"/>
              </w:rPr>
              <w:t> </w:t>
            </w:r>
          </w:p>
        </w:tc>
        <w:tc>
          <w:tcPr>
            <w:tcW w:w="1980" w:type="dxa"/>
            <w:noWrap/>
            <w:vAlign w:val="bottom"/>
            <w:hideMark/>
          </w:tcPr>
          <w:p w14:paraId="7EFECAF1"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(0.751)</w:t>
            </w:r>
          </w:p>
        </w:tc>
        <w:tc>
          <w:tcPr>
            <w:tcW w:w="2340" w:type="dxa"/>
            <w:noWrap/>
            <w:vAlign w:val="bottom"/>
            <w:hideMark/>
          </w:tcPr>
          <w:p w14:paraId="0FBC6C6D"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(1.114)</w:t>
            </w:r>
          </w:p>
        </w:tc>
        <w:tc>
          <w:tcPr>
            <w:tcW w:w="1444" w:type="dxa"/>
            <w:noWrap/>
            <w:vAlign w:val="bottom"/>
            <w:hideMark/>
          </w:tcPr>
          <w:p w14:paraId="4A98423A"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(0.940)</w:t>
            </w:r>
          </w:p>
        </w:tc>
      </w:tr>
      <w:tr w:rsidR="00063811" w:rsidRPr="00063811" w14:paraId="6E9BB13B" w14:textId="77777777" w:rsidTr="00BC658E">
        <w:trPr>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5C1B17F2" w14:textId="77777777" w:rsidR="00063811" w:rsidRPr="008612B7" w:rsidRDefault="00063811" w:rsidP="00BC658E">
            <w:pPr>
              <w:jc w:val="left"/>
              <w:rPr>
                <w:sz w:val="20"/>
                <w:szCs w:val="20"/>
              </w:rPr>
            </w:pPr>
            <w:r w:rsidRPr="008612B7">
              <w:rPr>
                <w:sz w:val="20"/>
                <w:szCs w:val="20"/>
              </w:rPr>
              <w:t>Tobin's Q</w:t>
            </w:r>
          </w:p>
        </w:tc>
        <w:tc>
          <w:tcPr>
            <w:tcW w:w="1980" w:type="dxa"/>
            <w:noWrap/>
            <w:vAlign w:val="bottom"/>
            <w:hideMark/>
          </w:tcPr>
          <w:p w14:paraId="16728545"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0.212***</w:t>
            </w:r>
          </w:p>
        </w:tc>
        <w:tc>
          <w:tcPr>
            <w:tcW w:w="2340" w:type="dxa"/>
            <w:noWrap/>
            <w:vAlign w:val="bottom"/>
            <w:hideMark/>
          </w:tcPr>
          <w:p w14:paraId="426F6030"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0.377***</w:t>
            </w:r>
          </w:p>
        </w:tc>
        <w:tc>
          <w:tcPr>
            <w:tcW w:w="1444" w:type="dxa"/>
            <w:noWrap/>
            <w:vAlign w:val="bottom"/>
            <w:hideMark/>
          </w:tcPr>
          <w:p w14:paraId="45C9ED26"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0.120*</w:t>
            </w:r>
          </w:p>
        </w:tc>
      </w:tr>
      <w:tr w:rsidR="00063811" w:rsidRPr="00063811" w14:paraId="67371672" w14:textId="77777777" w:rsidTr="00BC65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65EB09E2" w14:textId="77777777" w:rsidR="00063811" w:rsidRPr="008612B7" w:rsidRDefault="00063811" w:rsidP="00BC658E">
            <w:pPr>
              <w:jc w:val="left"/>
              <w:rPr>
                <w:sz w:val="20"/>
                <w:szCs w:val="20"/>
              </w:rPr>
            </w:pPr>
            <w:r w:rsidRPr="008612B7">
              <w:rPr>
                <w:sz w:val="20"/>
                <w:szCs w:val="20"/>
              </w:rPr>
              <w:t> </w:t>
            </w:r>
          </w:p>
        </w:tc>
        <w:tc>
          <w:tcPr>
            <w:tcW w:w="1980" w:type="dxa"/>
            <w:noWrap/>
            <w:vAlign w:val="bottom"/>
            <w:hideMark/>
          </w:tcPr>
          <w:p w14:paraId="04E72136"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(0.0585)</w:t>
            </w:r>
          </w:p>
        </w:tc>
        <w:tc>
          <w:tcPr>
            <w:tcW w:w="2340" w:type="dxa"/>
            <w:noWrap/>
            <w:vAlign w:val="bottom"/>
            <w:hideMark/>
          </w:tcPr>
          <w:p w14:paraId="31F1BCA1"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(0.103)</w:t>
            </w:r>
          </w:p>
        </w:tc>
        <w:tc>
          <w:tcPr>
            <w:tcW w:w="1444" w:type="dxa"/>
            <w:noWrap/>
            <w:vAlign w:val="bottom"/>
            <w:hideMark/>
          </w:tcPr>
          <w:p w14:paraId="21DE462E"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(0.0716)</w:t>
            </w:r>
          </w:p>
        </w:tc>
      </w:tr>
      <w:tr w:rsidR="00063811" w:rsidRPr="00063811" w14:paraId="1726A625" w14:textId="77777777" w:rsidTr="00BC658E">
        <w:trPr>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4764F50C" w14:textId="77777777" w:rsidR="00063811" w:rsidRPr="008612B7" w:rsidRDefault="00063811" w:rsidP="00BC658E">
            <w:pPr>
              <w:jc w:val="left"/>
              <w:rPr>
                <w:sz w:val="20"/>
                <w:szCs w:val="20"/>
              </w:rPr>
            </w:pPr>
            <w:r w:rsidRPr="008612B7">
              <w:rPr>
                <w:sz w:val="20"/>
                <w:szCs w:val="20"/>
              </w:rPr>
              <w:t> </w:t>
            </w:r>
          </w:p>
        </w:tc>
        <w:tc>
          <w:tcPr>
            <w:tcW w:w="1980" w:type="dxa"/>
            <w:noWrap/>
            <w:vAlign w:val="bottom"/>
            <w:hideMark/>
          </w:tcPr>
          <w:p w14:paraId="07199AD7"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 </w:t>
            </w:r>
          </w:p>
        </w:tc>
        <w:tc>
          <w:tcPr>
            <w:tcW w:w="2340" w:type="dxa"/>
            <w:noWrap/>
            <w:vAlign w:val="bottom"/>
            <w:hideMark/>
          </w:tcPr>
          <w:p w14:paraId="7C55D689"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 </w:t>
            </w:r>
          </w:p>
        </w:tc>
        <w:tc>
          <w:tcPr>
            <w:tcW w:w="1444" w:type="dxa"/>
            <w:noWrap/>
            <w:vAlign w:val="bottom"/>
            <w:hideMark/>
          </w:tcPr>
          <w:p w14:paraId="04143AF6"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 </w:t>
            </w:r>
          </w:p>
        </w:tc>
      </w:tr>
      <w:tr w:rsidR="00063811" w:rsidRPr="00063811" w14:paraId="241AD6DC" w14:textId="77777777" w:rsidTr="00BC65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40C08473" w14:textId="77777777" w:rsidR="00063811" w:rsidRPr="008612B7" w:rsidRDefault="00063811" w:rsidP="00BC658E">
            <w:pPr>
              <w:jc w:val="left"/>
              <w:rPr>
                <w:sz w:val="20"/>
                <w:szCs w:val="20"/>
              </w:rPr>
            </w:pPr>
            <w:r w:rsidRPr="008612B7">
              <w:rPr>
                <w:sz w:val="20"/>
                <w:szCs w:val="20"/>
              </w:rPr>
              <w:t>Company FE</w:t>
            </w:r>
          </w:p>
        </w:tc>
        <w:tc>
          <w:tcPr>
            <w:tcW w:w="1980" w:type="dxa"/>
            <w:noWrap/>
            <w:vAlign w:val="bottom"/>
            <w:hideMark/>
          </w:tcPr>
          <w:p w14:paraId="34A613A8"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Yes</w:t>
            </w:r>
          </w:p>
        </w:tc>
        <w:tc>
          <w:tcPr>
            <w:tcW w:w="2340" w:type="dxa"/>
            <w:noWrap/>
            <w:vAlign w:val="bottom"/>
            <w:hideMark/>
          </w:tcPr>
          <w:p w14:paraId="624CF2BD"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Yes</w:t>
            </w:r>
          </w:p>
        </w:tc>
        <w:tc>
          <w:tcPr>
            <w:tcW w:w="1444" w:type="dxa"/>
            <w:noWrap/>
            <w:vAlign w:val="bottom"/>
            <w:hideMark/>
          </w:tcPr>
          <w:p w14:paraId="3D092D47"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Yes</w:t>
            </w:r>
          </w:p>
        </w:tc>
      </w:tr>
      <w:tr w:rsidR="00063811" w:rsidRPr="00063811" w14:paraId="5D2269B3" w14:textId="77777777" w:rsidTr="00BC658E">
        <w:trPr>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34B17623" w14:textId="77777777" w:rsidR="00063811" w:rsidRPr="008612B7" w:rsidRDefault="00063811" w:rsidP="00BC658E">
            <w:pPr>
              <w:jc w:val="left"/>
              <w:rPr>
                <w:sz w:val="20"/>
                <w:szCs w:val="20"/>
              </w:rPr>
            </w:pPr>
            <w:r w:rsidRPr="008612B7">
              <w:rPr>
                <w:sz w:val="20"/>
                <w:szCs w:val="20"/>
              </w:rPr>
              <w:t>Year FE</w:t>
            </w:r>
          </w:p>
        </w:tc>
        <w:tc>
          <w:tcPr>
            <w:tcW w:w="1980" w:type="dxa"/>
            <w:noWrap/>
            <w:vAlign w:val="bottom"/>
            <w:hideMark/>
          </w:tcPr>
          <w:p w14:paraId="170DE9BE"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Yes</w:t>
            </w:r>
          </w:p>
        </w:tc>
        <w:tc>
          <w:tcPr>
            <w:tcW w:w="2340" w:type="dxa"/>
            <w:noWrap/>
            <w:vAlign w:val="bottom"/>
            <w:hideMark/>
          </w:tcPr>
          <w:p w14:paraId="0BCCED60"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Yes</w:t>
            </w:r>
          </w:p>
        </w:tc>
        <w:tc>
          <w:tcPr>
            <w:tcW w:w="1444" w:type="dxa"/>
            <w:noWrap/>
            <w:vAlign w:val="bottom"/>
            <w:hideMark/>
          </w:tcPr>
          <w:p w14:paraId="4FBB3D10" w14:textId="77777777" w:rsidR="00063811" w:rsidRPr="008612B7" w:rsidRDefault="00063811" w:rsidP="00BC65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8612B7">
              <w:rPr>
                <w:sz w:val="20"/>
                <w:szCs w:val="20"/>
              </w:rPr>
              <w:t>Yes</w:t>
            </w:r>
          </w:p>
        </w:tc>
      </w:tr>
      <w:tr w:rsidR="00063811" w:rsidRPr="00063811" w14:paraId="592B244D" w14:textId="77777777" w:rsidTr="00BC65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420" w:type="dxa"/>
            <w:noWrap/>
            <w:vAlign w:val="bottom"/>
            <w:hideMark/>
          </w:tcPr>
          <w:p w14:paraId="0C3DDE88" w14:textId="77777777" w:rsidR="00063811" w:rsidRPr="008612B7" w:rsidRDefault="00063811" w:rsidP="00BC658E">
            <w:pPr>
              <w:jc w:val="left"/>
              <w:rPr>
                <w:sz w:val="20"/>
                <w:szCs w:val="20"/>
              </w:rPr>
            </w:pPr>
            <w:r w:rsidRPr="008612B7">
              <w:rPr>
                <w:sz w:val="20"/>
                <w:szCs w:val="20"/>
              </w:rPr>
              <w:t>R-squared</w:t>
            </w:r>
          </w:p>
        </w:tc>
        <w:tc>
          <w:tcPr>
            <w:tcW w:w="1980" w:type="dxa"/>
            <w:noWrap/>
            <w:vAlign w:val="bottom"/>
            <w:hideMark/>
          </w:tcPr>
          <w:p w14:paraId="3C8ECD77"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0.19</w:t>
            </w:r>
          </w:p>
        </w:tc>
        <w:tc>
          <w:tcPr>
            <w:tcW w:w="2340" w:type="dxa"/>
            <w:noWrap/>
            <w:vAlign w:val="bottom"/>
            <w:hideMark/>
          </w:tcPr>
          <w:p w14:paraId="4D6D21B3"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0.21</w:t>
            </w:r>
          </w:p>
        </w:tc>
        <w:tc>
          <w:tcPr>
            <w:tcW w:w="1444" w:type="dxa"/>
            <w:noWrap/>
            <w:vAlign w:val="bottom"/>
            <w:hideMark/>
          </w:tcPr>
          <w:p w14:paraId="6EB2B733" w14:textId="77777777" w:rsidR="00063811" w:rsidRPr="008612B7" w:rsidRDefault="00063811" w:rsidP="00BC65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8612B7">
              <w:rPr>
                <w:sz w:val="20"/>
                <w:szCs w:val="20"/>
              </w:rPr>
              <w:t>0.111</w:t>
            </w:r>
          </w:p>
        </w:tc>
      </w:tr>
      <w:tr w:rsidR="00063811" w:rsidRPr="00063811" w14:paraId="4969C107" w14:textId="77777777" w:rsidTr="00BC658E">
        <w:trPr>
          <w:trHeight w:val="288"/>
        </w:trPr>
        <w:tc>
          <w:tcPr>
            <w:cnfStyle w:val="001000000000" w:firstRow="0" w:lastRow="0" w:firstColumn="1" w:lastColumn="0" w:oddVBand="0" w:evenVBand="0" w:oddHBand="0" w:evenHBand="0" w:firstRowFirstColumn="0" w:firstRowLastColumn="0" w:lastRowFirstColumn="0" w:lastRowLastColumn="0"/>
            <w:tcW w:w="9184" w:type="dxa"/>
            <w:gridSpan w:val="4"/>
            <w:tcBorders>
              <w:top w:val="single" w:sz="4" w:space="0" w:color="auto"/>
              <w:right w:val="none" w:sz="0" w:space="0" w:color="auto"/>
            </w:tcBorders>
            <w:noWrap/>
            <w:hideMark/>
          </w:tcPr>
          <w:p w14:paraId="671C72B7" w14:textId="77777777" w:rsidR="00063811" w:rsidRPr="008612B7" w:rsidRDefault="00063811" w:rsidP="00BC658E">
            <w:pPr>
              <w:spacing w:after="240"/>
              <w:jc w:val="left"/>
              <w:rPr>
                <w:sz w:val="20"/>
                <w:szCs w:val="20"/>
              </w:rPr>
            </w:pPr>
            <w:r w:rsidRPr="008612B7">
              <w:rPr>
                <w:sz w:val="20"/>
                <w:szCs w:val="20"/>
              </w:rPr>
              <w:t xml:space="preserve">Note: Robust standard errors in parentheses. *** p&lt;0.01, ** p&lt;0.05, * p&lt;0.1. 2,938 unique companies. </w:t>
            </w:r>
            <w:r w:rsidRPr="008612B7">
              <w:rPr>
                <w:color w:val="000000" w:themeColor="text1"/>
                <w:sz w:val="20"/>
                <w:szCs w:val="20"/>
              </w:rPr>
              <w:t>n=12,938.</w:t>
            </w:r>
          </w:p>
        </w:tc>
      </w:tr>
    </w:tbl>
    <w:p w14:paraId="128B07B4" w14:textId="56E7EC4E" w:rsidR="006D1A93" w:rsidRPr="00063811" w:rsidRDefault="006D1A93" w:rsidP="00063811">
      <w:pPr>
        <w:pStyle w:val="Heading3"/>
      </w:pPr>
      <w:r w:rsidRPr="00063811">
        <w:t>Firm Characteristics as Determinants of ESG Performance</w:t>
      </w:r>
    </w:p>
    <w:p w14:paraId="28DA94E5" w14:textId="3E81BF0C" w:rsidR="006D1A93" w:rsidRPr="00063811" w:rsidRDefault="006D1A93" w:rsidP="00063811">
      <w:pPr>
        <w:spacing w:line="480" w:lineRule="auto"/>
        <w:ind w:firstLine="720"/>
      </w:pPr>
      <w:r w:rsidRPr="00063811">
        <w:t xml:space="preserve">Consistent with existing literature, several firm characteristics emerge as significant determinants of ESG performance across both models. Company size demonstrates the strongest positive association with all ESG dimensions (β ranging from 2.066 to 2.781, p &lt; 0.01), confirming findings by Khaled et al. (2021) and Lestari and </w:t>
      </w:r>
      <w:proofErr w:type="spellStart"/>
      <w:r w:rsidRPr="00063811">
        <w:t>Adhariani</w:t>
      </w:r>
      <w:proofErr w:type="spellEnd"/>
      <w:r w:rsidRPr="00063811">
        <w:t xml:space="preserve"> (2022) that larger firms typically invest more resources in sustainability initiatives. This substantial effect underscores </w:t>
      </w:r>
      <w:r w:rsidRPr="00063811">
        <w:lastRenderedPageBreak/>
        <w:t>the resource advantages that larger corporations maintain in pursuing comprehensive ESG programs.</w:t>
      </w:r>
    </w:p>
    <w:p w14:paraId="648ED747" w14:textId="77777777" w:rsidR="006D1A93" w:rsidRPr="00063811" w:rsidRDefault="006D1A93" w:rsidP="00F256FD">
      <w:pPr>
        <w:spacing w:line="480" w:lineRule="auto"/>
        <w:ind w:firstLine="720"/>
      </w:pPr>
      <w:r w:rsidRPr="00063811">
        <w:t>Board gender diversity consistently shows significant positive associations with all ESG dimensions in both models (β ranging from 0.0310 to 0.0454, p &lt; 0.01), aligning with previous research by Chang et al. (2024) and Shakil et al. (2021). Similarly, board tenure demonstrates positive associations with overall ESG and social scores (β ≈ 0.020, p &lt; 0.01), supporting the expertise hypothesis proposed by Schnake et al. (2011) and validated by Andreassen and Bukhari (2024).</w:t>
      </w:r>
    </w:p>
    <w:p w14:paraId="56E5A093" w14:textId="77777777" w:rsidR="006D1A93" w:rsidRPr="00063811" w:rsidRDefault="006D1A93" w:rsidP="00F256FD">
      <w:pPr>
        <w:spacing w:line="480" w:lineRule="auto"/>
        <w:ind w:firstLine="720"/>
      </w:pPr>
      <w:r w:rsidRPr="00063811">
        <w:t xml:space="preserve">Financial performance indicators show varied relationships with ESG outcomes. Return on Assets positively associates with overall ESG and social dimensions (β = 2.117 and 3.245 respectively, p &lt; 0.01), confirming Garcia and Orsato's (2020) finding that profitability enables greater sustainability investments. Tobin's Q demonstrates positive relationships across all ESG dimensions, supporting </w:t>
      </w:r>
      <w:proofErr w:type="spellStart"/>
      <w:r w:rsidRPr="00063811">
        <w:t>Ortas</w:t>
      </w:r>
      <w:proofErr w:type="spellEnd"/>
      <w:r w:rsidRPr="00063811">
        <w:t xml:space="preserve"> et al.'s (2015) assertion that market valuation reflects and reinforces ESG commitments. Interestingly, leverage shows no significant relationship with ESG performance, diverging somewhat from Khaled et al.'s (2024) findings in emerging markets.</w:t>
      </w:r>
    </w:p>
    <w:p w14:paraId="6CBCEACF" w14:textId="1D8147D4" w:rsidR="008138BC" w:rsidRPr="00063811" w:rsidRDefault="006D1A93" w:rsidP="00F256FD">
      <w:pPr>
        <w:spacing w:line="480" w:lineRule="auto"/>
        <w:ind w:firstLine="720"/>
      </w:pPr>
      <w:r w:rsidRPr="00063811">
        <w:t>Company age presents an interesting pattern, showing insignificant relationships with overall ESG scores but positive associations with environmental (β = 0.182, p &lt; 0.05) and social dimensions (β = 0.373, p &lt; 0.01). This suggests that while mature firms may have established environmental and social programs, they do not necessarily outperform younger firms in overall ESG integration, perhaps due to governance structures that may be less responsive to emerging ESG concerns.</w:t>
      </w:r>
    </w:p>
    <w:p w14:paraId="13E95438" w14:textId="77777777" w:rsidR="006760A7" w:rsidRPr="00063811" w:rsidRDefault="006760A7">
      <w:pPr>
        <w:spacing w:after="160" w:line="278" w:lineRule="auto"/>
      </w:pPr>
      <w:r w:rsidRPr="00063811">
        <w:br w:type="page"/>
      </w:r>
    </w:p>
    <w:p w14:paraId="08AA9130" w14:textId="2AA7846B" w:rsidR="006760A7" w:rsidRPr="00063811" w:rsidRDefault="006760A7" w:rsidP="008612B7">
      <w:pPr>
        <w:spacing w:line="480" w:lineRule="auto"/>
        <w:jc w:val="center"/>
      </w:pPr>
      <w:r w:rsidRPr="00063811">
        <w:lastRenderedPageBreak/>
        <w:t>CHAPTER V</w:t>
      </w:r>
    </w:p>
    <w:p w14:paraId="4D365973" w14:textId="767F31E8" w:rsidR="00390430" w:rsidRPr="00063811" w:rsidRDefault="001E6828" w:rsidP="006760A7">
      <w:pPr>
        <w:pStyle w:val="Heading1"/>
      </w:pPr>
      <w:bookmarkStart w:id="37" w:name="_Toc193977953"/>
      <w:r w:rsidRPr="00063811">
        <w:t>CONCLUSION</w:t>
      </w:r>
      <w:bookmarkEnd w:id="37"/>
    </w:p>
    <w:p w14:paraId="092E988A" w14:textId="77777777" w:rsidR="009A07DF" w:rsidRPr="00063811" w:rsidRDefault="009A07DF" w:rsidP="00F256FD">
      <w:pPr>
        <w:spacing w:line="480" w:lineRule="auto"/>
        <w:ind w:firstLine="720"/>
      </w:pPr>
      <w:r w:rsidRPr="00063811">
        <w:t>This study examined the relationship between state-level ESG legislation and corporate ESG performance in the United States, revealing important implications for policy design, corporate governance, and sustainable development. The findings underscore how polarized regulatory landscapes shape corporate ESG behaviors, while highlighting the crucial role of board composition in mediating these effects. They also provide a pertinent foundation for future research on U.S. ESG legislation.</w:t>
      </w:r>
    </w:p>
    <w:p w14:paraId="4E3A36C2" w14:textId="33584EE9" w:rsidR="00BE59BB" w:rsidRPr="00063811" w:rsidRDefault="009A07DF" w:rsidP="00F256FD">
      <w:pPr>
        <w:spacing w:line="480" w:lineRule="auto"/>
        <w:ind w:firstLine="720"/>
      </w:pPr>
      <w:r w:rsidRPr="00063811">
        <w:t xml:space="preserve">A particularly noteworthy finding is that anti-ESG legislation exerts a substantially negative impact on firms’ environmental performance. This disruptive behavior is a </w:t>
      </w:r>
      <w:r w:rsidR="00BE59BB" w:rsidRPr="00063811">
        <w:t>parallel</w:t>
      </w:r>
      <w:r w:rsidRPr="00063811">
        <w:t xml:space="preserve"> the findings by </w:t>
      </w:r>
      <w:r w:rsidR="007C5ABD" w:rsidRPr="00063811">
        <w:t>Garrett and Ivanov's (2022). Although</w:t>
      </w:r>
      <w:r w:rsidRPr="00063811">
        <w:t xml:space="preserve"> this outcome raises concerns, further research is needed to isolate the specific mechanisms through which such legislation signals firms to reduce their environmental performance. At present, there is clear evidence that anti-ESG legislation increases the stock returns of firms with poor environmental track records, suggesting that these measures may incentivize weaker environmental outcomes</w:t>
      </w:r>
      <w:r w:rsidR="007C5ABD" w:rsidRPr="00063811">
        <w:t xml:space="preserve"> (Tang et al., 2024)</w:t>
      </w:r>
      <w:r w:rsidRPr="00063811">
        <w:t>. Given this study’s broad approach to ESG policy, it is not yet possible to pinpoint which state-level anti-ESG measures convey the strongest signals. Future research should therefore prioritize more focused legislative analyses.</w:t>
      </w:r>
    </w:p>
    <w:p w14:paraId="329685C6" w14:textId="4E7E1078" w:rsidR="007C5ABD" w:rsidRPr="00063811" w:rsidRDefault="00BE59BB" w:rsidP="00F256FD">
      <w:pPr>
        <w:spacing w:line="480" w:lineRule="auto"/>
        <w:ind w:firstLine="720"/>
      </w:pPr>
      <w:r w:rsidRPr="00063811">
        <w:t xml:space="preserve">This study makes several contributions to theory and practice. First, it extends </w:t>
      </w:r>
      <w:r w:rsidR="00372CB1">
        <w:t>C</w:t>
      </w:r>
      <w:r w:rsidRPr="00063811">
        <w:t xml:space="preserve">ritical </w:t>
      </w:r>
      <w:r w:rsidR="00372CB1">
        <w:t>M</w:t>
      </w:r>
      <w:r w:rsidRPr="00063811">
        <w:t xml:space="preserve">ass </w:t>
      </w:r>
      <w:r w:rsidR="00372CB1">
        <w:t>T</w:t>
      </w:r>
      <w:r w:rsidRPr="00063811">
        <w:t xml:space="preserve">heory beyond boardroom dynamics to policy resilience, showing how gender-diverse boards buffer against negative regulatory pressures. The interaction terms between anti-ESG policies and board gender diversity show consistently positive and significant effects across all ESG dimensions: overall ESG (β = 0.0180, p &lt; 0.05), environmental (β = 0.0521, p &lt; 0.01), and </w:t>
      </w:r>
      <w:r w:rsidRPr="00063811">
        <w:lastRenderedPageBreak/>
        <w:t>social (β = 0.0293, p &lt; 0.05). This extends prior work by Kanter (1977) and Konrad et al. (2008) by demonstrating that diverse governance structures not only improve internal decision-making but also enhance resilience against external policy pressures.</w:t>
      </w:r>
      <w:r w:rsidR="007C5ABD" w:rsidRPr="00063811">
        <w:t xml:space="preserve"> Due to the weighting of the S&amp;P global data, this study was not able to describe the true gender and tenure </w:t>
      </w:r>
      <w:r w:rsidRPr="00063811">
        <w:t>traits</w:t>
      </w:r>
      <w:r w:rsidR="007C5ABD" w:rsidRPr="00063811">
        <w:t xml:space="preserve"> of corporate board</w:t>
      </w:r>
      <w:r w:rsidRPr="00063811">
        <w:t>s</w:t>
      </w:r>
      <w:r w:rsidR="007C5ABD" w:rsidRPr="00063811">
        <w:t xml:space="preserve">. </w:t>
      </w:r>
      <w:r w:rsidR="000172B4" w:rsidRPr="00063811">
        <w:t>It’s</w:t>
      </w:r>
      <w:r w:rsidR="007C5ABD" w:rsidRPr="00063811">
        <w:t xml:space="preserve"> in my suggestion, that future research understand the limitations of S&amp;P </w:t>
      </w:r>
      <w:proofErr w:type="spellStart"/>
      <w:r w:rsidR="007C5ABD" w:rsidRPr="00063811">
        <w:t>Global’s</w:t>
      </w:r>
      <w:proofErr w:type="spellEnd"/>
      <w:r w:rsidR="007C5ABD" w:rsidRPr="00063811">
        <w:t xml:space="preserve"> CSA data to derive absolute measures of corporate social structures for analysis. None the less, the moderating effects gender warrant future analysis.</w:t>
      </w:r>
    </w:p>
    <w:p w14:paraId="7196EEE4" w14:textId="77777777" w:rsidR="009A07DF" w:rsidRPr="00063811" w:rsidRDefault="009A07DF" w:rsidP="00F256FD">
      <w:pPr>
        <w:spacing w:line="480" w:lineRule="auto"/>
        <w:ind w:firstLine="720"/>
      </w:pPr>
      <w:r w:rsidRPr="00063811">
        <w:t>Such analyses can be resource-intensive, requiring specialized expertise and considerable time to assess, hypothesize, and test how legislative language influences real-world practices. Large language models (LLMs) offer a promising tool for overcoming these challenges by rapidly processing and synthesizing complex legal texts. Their utility has already been demonstrated in the domain of ESG analysis, where they have been used to evaluate extensive, language-dense corporate disclosures (Zou et al., 2025). Leveraging LLMs in future investigations could significantly advance our understanding of how specific legislative provisions shape ESG performance, thereby refining both academic inquiry and policy development in this critical area.</w:t>
      </w:r>
    </w:p>
    <w:p w14:paraId="38F32E3C" w14:textId="3B1BAB88" w:rsidR="00BE59BB" w:rsidRPr="00063811" w:rsidRDefault="00BE59BB" w:rsidP="00F256FD">
      <w:pPr>
        <w:spacing w:line="480" w:lineRule="auto"/>
        <w:ind w:firstLine="720"/>
      </w:pPr>
      <w:r w:rsidRPr="00063811">
        <w:t>Future methods should investigate an instrumental variables approach. The negative coefficient on anti-ESG policy (β = -2.097) for environmental performance may reflect omitted variable bias if unobserved factors influence both policy adoption and ESG outcomes. Future studies could employ instrumental variables that predict policy adoption but are unrelated to firm-level ESG performance, such as political composition changes unrelated to ESG issues or historical state regulatory patterns.</w:t>
      </w:r>
    </w:p>
    <w:p w14:paraId="04568B7D" w14:textId="3239C9C9" w:rsidR="00755CD4" w:rsidRPr="00063811" w:rsidRDefault="000172B4" w:rsidP="00F256FD">
      <w:pPr>
        <w:spacing w:line="480" w:lineRule="auto"/>
        <w:ind w:firstLine="720"/>
      </w:pPr>
      <w:r w:rsidRPr="00063811">
        <w:lastRenderedPageBreak/>
        <w:t>Lastly, for policymakers, these findings suggest that anti-ESG legislation may achieve political objectives while generating environmental consequences. The substantial negative coefficients for environmental performance (β = -2.097 to -4.880) indicate potential long-term costs that should be weighed against immediate economic benefits. Additionally, the minimal impact on social performance suggests opportunities for more balanced policy approaches that address economic concerns without compromising all dimensions of corporate responsibility.</w:t>
      </w:r>
    </w:p>
    <w:p w14:paraId="541EC95C" w14:textId="77777777" w:rsidR="006760A7" w:rsidRPr="00063811" w:rsidRDefault="006760A7">
      <w:pPr>
        <w:spacing w:after="160" w:line="278" w:lineRule="auto"/>
      </w:pPr>
      <w:r w:rsidRPr="00063811">
        <w:br w:type="page"/>
      </w:r>
    </w:p>
    <w:p w14:paraId="61C97EF3" w14:textId="2AB1F9D3" w:rsidR="006760A7" w:rsidRPr="00063811" w:rsidRDefault="006760A7" w:rsidP="008612B7">
      <w:pPr>
        <w:spacing w:line="480" w:lineRule="auto"/>
        <w:jc w:val="center"/>
      </w:pPr>
      <w:r w:rsidRPr="00063811">
        <w:lastRenderedPageBreak/>
        <w:t>CHAPTER VII</w:t>
      </w:r>
    </w:p>
    <w:p w14:paraId="1ED98DA9" w14:textId="7C0EE08D" w:rsidR="00755CD4" w:rsidRPr="00063811" w:rsidRDefault="005974CD" w:rsidP="006760A7">
      <w:pPr>
        <w:pStyle w:val="Heading1"/>
      </w:pPr>
      <w:bookmarkStart w:id="38" w:name="_Toc193977954"/>
      <w:r w:rsidRPr="00063811">
        <w:t>REFERENCES</w:t>
      </w:r>
      <w:bookmarkEnd w:id="38"/>
    </w:p>
    <w:p w14:paraId="748336E3" w14:textId="6466A990" w:rsidR="00E648D3" w:rsidRPr="00063811" w:rsidRDefault="00E648D3" w:rsidP="008612B7">
      <w:pPr>
        <w:spacing w:line="480" w:lineRule="auto"/>
        <w:ind w:left="720" w:hanging="720"/>
      </w:pPr>
      <w:r w:rsidRPr="00063811">
        <w:t>Abideen, Z. U. (2023). Firm performance in China: an analysis of the interplay between financial leverage, firm liquidity, and firm size. Journal of Accounting and Finance in Emerging Economies, 9(3), 141–150. https://doi.org/10.26710/jafee.v9i3.2649</w:t>
      </w:r>
    </w:p>
    <w:p w14:paraId="68DD9241" w14:textId="3D7CF788" w:rsidR="00E648D3" w:rsidRPr="00063811" w:rsidRDefault="00E648D3" w:rsidP="008612B7">
      <w:pPr>
        <w:spacing w:line="480" w:lineRule="auto"/>
        <w:ind w:left="720" w:hanging="720"/>
      </w:pPr>
      <w:proofErr w:type="spellStart"/>
      <w:r w:rsidRPr="00063811">
        <w:t>Achabou</w:t>
      </w:r>
      <w:proofErr w:type="spellEnd"/>
      <w:r w:rsidRPr="00063811">
        <w:t>, M. A. (2020). The effect of perceived CSR effort on consumer brand preference in the clothing and footwear sector. European Business Review, 32(2), 317–347. https://doi.org/10.1108/EBR-11-2018-0198</w:t>
      </w:r>
    </w:p>
    <w:p w14:paraId="1740C81E" w14:textId="44367326" w:rsidR="00E648D3" w:rsidRPr="00063811" w:rsidRDefault="00E648D3" w:rsidP="008612B7">
      <w:pPr>
        <w:spacing w:line="480" w:lineRule="auto"/>
        <w:ind w:left="720" w:hanging="720"/>
      </w:pPr>
      <w:r w:rsidRPr="00063811">
        <w:t>Adams, R. B., &amp; Ferreira, D. (2009). Women in the boardroom and their impact on governance and performance. Journal of Financial Economics, 94(2), 291–309. https://doi.org/10.1016/j.jfineco.2008.10.007</w:t>
      </w:r>
    </w:p>
    <w:p w14:paraId="2B49EE15" w14:textId="77777777" w:rsidR="00E648D3" w:rsidRPr="00063811" w:rsidRDefault="00E648D3" w:rsidP="008612B7">
      <w:pPr>
        <w:spacing w:line="480" w:lineRule="auto"/>
        <w:ind w:left="720" w:hanging="720"/>
      </w:pPr>
      <w:r w:rsidRPr="00063811">
        <w:t>An Act to Amend the Law Concerning Environmental, Social Justice, or Governance Scores, H.B. 1845, 94th General Assembly, Regular Session (2023). https://legiscan.com/ar/text/hb1845/2023</w:t>
      </w:r>
    </w:p>
    <w:p w14:paraId="4E3F6489" w14:textId="77777777" w:rsidR="00E648D3" w:rsidRPr="00063811" w:rsidRDefault="00E648D3" w:rsidP="008612B7">
      <w:pPr>
        <w:spacing w:line="480" w:lineRule="auto"/>
        <w:ind w:left="720" w:hanging="720"/>
      </w:pPr>
      <w:r w:rsidRPr="00063811">
        <w:t xml:space="preserve">An Act to Amend Title 12 Of </w:t>
      </w:r>
      <w:proofErr w:type="gramStart"/>
      <w:r w:rsidRPr="00063811">
        <w:t>The</w:t>
      </w:r>
      <w:proofErr w:type="gramEnd"/>
      <w:r w:rsidRPr="00063811">
        <w:t xml:space="preserve"> Delaware Code Relating </w:t>
      </w:r>
      <w:proofErr w:type="gramStart"/>
      <w:r w:rsidRPr="00063811">
        <w:t>To</w:t>
      </w:r>
      <w:proofErr w:type="gramEnd"/>
      <w:r w:rsidRPr="00063811">
        <w:t xml:space="preserve"> Decedents Estates </w:t>
      </w:r>
      <w:proofErr w:type="gramStart"/>
      <w:r w:rsidRPr="00063811">
        <w:t>And</w:t>
      </w:r>
      <w:proofErr w:type="gramEnd"/>
      <w:r w:rsidRPr="00063811">
        <w:t xml:space="preserve"> Fiduciary Relations, H.B. 334, 150th General Assembly, Regular Session (2020). https://legiscan.com/de/text/hb334/2019</w:t>
      </w:r>
    </w:p>
    <w:p w14:paraId="7100AB7E" w14:textId="77777777" w:rsidR="00E648D3" w:rsidRPr="00063811" w:rsidRDefault="00E648D3" w:rsidP="008612B7">
      <w:pPr>
        <w:spacing w:line="480" w:lineRule="auto"/>
        <w:ind w:left="720" w:hanging="720"/>
      </w:pPr>
      <w:r w:rsidRPr="00063811">
        <w:t xml:space="preserve">An Act Regarding the Procurement of Energy from Offshore Wind Resources, Me. Pub. L. No. 2023, </w:t>
      </w:r>
      <w:proofErr w:type="spellStart"/>
      <w:r w:rsidRPr="00063811">
        <w:t>ch.</w:t>
      </w:r>
      <w:proofErr w:type="spellEnd"/>
      <w:r w:rsidRPr="00063811">
        <w:t xml:space="preserve"> 481 (2023). https://legiscan.com/me/text/ld1895/2023</w:t>
      </w:r>
    </w:p>
    <w:p w14:paraId="41BFE4CE" w14:textId="77777777" w:rsidR="00E648D3" w:rsidRPr="00063811" w:rsidRDefault="00E648D3" w:rsidP="008612B7">
      <w:pPr>
        <w:spacing w:line="480" w:lineRule="auto"/>
        <w:ind w:left="720" w:hanging="720"/>
      </w:pPr>
      <w:r w:rsidRPr="00063811">
        <w:t xml:space="preserve">An Act to Require the State </w:t>
      </w:r>
      <w:proofErr w:type="gramStart"/>
      <w:r w:rsidRPr="00063811">
        <w:t>To</w:t>
      </w:r>
      <w:proofErr w:type="gramEnd"/>
      <w:r w:rsidRPr="00063811">
        <w:t xml:space="preserve"> Divest Itself of Assets Invested in the Fossil Fuel Industry, Me. Pub. L. No. 2021, </w:t>
      </w:r>
      <w:proofErr w:type="spellStart"/>
      <w:r w:rsidRPr="00063811">
        <w:t>ch.</w:t>
      </w:r>
      <w:proofErr w:type="spellEnd"/>
      <w:r w:rsidRPr="00063811">
        <w:t xml:space="preserve"> 231 (2021). https://legiscan.com/me/text/ld99/2021</w:t>
      </w:r>
    </w:p>
    <w:p w14:paraId="79B97931" w14:textId="77777777" w:rsidR="00E648D3" w:rsidRPr="00063811" w:rsidRDefault="00E648D3" w:rsidP="008612B7">
      <w:pPr>
        <w:spacing w:line="480" w:lineRule="auto"/>
        <w:ind w:left="720" w:hanging="720"/>
      </w:pPr>
    </w:p>
    <w:p w14:paraId="5B6B3C25" w14:textId="0F1FC1BC" w:rsidR="00E648D3" w:rsidRPr="00063811" w:rsidRDefault="00E648D3" w:rsidP="008612B7">
      <w:pPr>
        <w:spacing w:line="480" w:lineRule="auto"/>
        <w:ind w:left="720" w:hanging="720"/>
      </w:pPr>
      <w:r w:rsidRPr="00063811">
        <w:lastRenderedPageBreak/>
        <w:t xml:space="preserve">Ahmad, N., </w:t>
      </w:r>
      <w:proofErr w:type="spellStart"/>
      <w:r w:rsidRPr="00063811">
        <w:t>Mobarek</w:t>
      </w:r>
      <w:proofErr w:type="spellEnd"/>
      <w:r w:rsidRPr="00063811">
        <w:t>, A., &amp; Roni, N. N. (2021). Revisiting the impact of ESG on financial performance of FTSE350 UK firms: static and dynamic panel data analysis. Cogent Business &amp; Management, 8(1), 1900500. https://doi.org/10.1080/23311975.2021.1900500</w:t>
      </w:r>
    </w:p>
    <w:p w14:paraId="3BEF2E49" w14:textId="597DC0E0" w:rsidR="00E648D3" w:rsidRPr="00063811" w:rsidRDefault="00E648D3" w:rsidP="008612B7">
      <w:pPr>
        <w:spacing w:line="480" w:lineRule="auto"/>
        <w:ind w:left="720" w:hanging="720"/>
      </w:pPr>
      <w:r w:rsidRPr="00063811">
        <w:t>Alexander, J. (2007). Environmental sustainability versus profit maximization: overcoming systemic constraints on implementing normatively preferable alternatives. Journal of Business Ethics, 76(2), 155–162. https://doi.org/10.1007/s10551-006-9264-5</w:t>
      </w:r>
    </w:p>
    <w:p w14:paraId="61CF6E00" w14:textId="4A1D4F4C" w:rsidR="00E648D3" w:rsidRPr="00063811" w:rsidRDefault="00E648D3" w:rsidP="008612B7">
      <w:pPr>
        <w:spacing w:line="480" w:lineRule="auto"/>
        <w:ind w:left="720" w:hanging="720"/>
      </w:pPr>
      <w:proofErr w:type="spellStart"/>
      <w:r w:rsidRPr="00063811">
        <w:t>AlJanadi</w:t>
      </w:r>
      <w:proofErr w:type="spellEnd"/>
      <w:r w:rsidRPr="00063811">
        <w:t>, Y. (2025). Gender diversity and disclosure: a meta-analysis. International Journal of Disclosure and Governance. https://doi.org/10.1057/s41310-024-00285-w</w:t>
      </w:r>
    </w:p>
    <w:p w14:paraId="6DBBDAC7" w14:textId="3CDCB188" w:rsidR="00E648D3" w:rsidRPr="00063811" w:rsidRDefault="00E648D3" w:rsidP="008612B7">
      <w:pPr>
        <w:spacing w:line="480" w:lineRule="auto"/>
        <w:ind w:left="720" w:hanging="720"/>
      </w:pPr>
      <w:proofErr w:type="spellStart"/>
      <w:r w:rsidRPr="00063811">
        <w:t>Aluchna</w:t>
      </w:r>
      <w:proofErr w:type="spellEnd"/>
      <w:r w:rsidRPr="00063811">
        <w:t xml:space="preserve">, M., Roszkowska-Menkes, M., &amp; Kamiński, B. (2023). From talk to action: the effects of the non-financial reporting directive on </w:t>
      </w:r>
      <w:proofErr w:type="spellStart"/>
      <w:r w:rsidRPr="00063811">
        <w:t>esg</w:t>
      </w:r>
      <w:proofErr w:type="spellEnd"/>
      <w:r w:rsidRPr="00063811">
        <w:t xml:space="preserve"> performance. </w:t>
      </w:r>
      <w:proofErr w:type="spellStart"/>
      <w:r w:rsidRPr="00063811">
        <w:t>Meditari</w:t>
      </w:r>
      <w:proofErr w:type="spellEnd"/>
      <w:r w:rsidRPr="00063811">
        <w:t xml:space="preserve"> Accountancy Research, 31(7), 1–25. https://doi.org/10.1108/MEDAR-12-2021-1530</w:t>
      </w:r>
    </w:p>
    <w:p w14:paraId="5AC4E9E5" w14:textId="4CD9E852" w:rsidR="00E648D3" w:rsidRPr="00063811" w:rsidRDefault="00E648D3" w:rsidP="008612B7">
      <w:pPr>
        <w:spacing w:line="480" w:lineRule="auto"/>
        <w:ind w:left="720" w:hanging="720"/>
      </w:pPr>
      <w:r w:rsidRPr="00063811">
        <w:t>Alvarez-Perez, H., &amp; Fuentes, R. (2024). ESG disclosure and financial performance in debt market: evidence from the oil and gas industry. Academia Revista Latinoamericana de Administración, 37(4), 634–653. https://doi.org/10.1108/ARLA-07-2024-0135</w:t>
      </w:r>
    </w:p>
    <w:p w14:paraId="4F4DDBB8" w14:textId="1D9989FE" w:rsidR="00E648D3" w:rsidRPr="00063811" w:rsidRDefault="00E648D3" w:rsidP="008612B7">
      <w:pPr>
        <w:spacing w:line="480" w:lineRule="auto"/>
        <w:ind w:left="720" w:hanging="720"/>
      </w:pPr>
      <w:r w:rsidRPr="00063811">
        <w:t>Amel-Zadeh, A., &amp; Serafeim, G. (2018). Why and how investors use ESG information: evidence from a global survey. Financial Analysts Journal, 74(3), 87–103. https://doi.org/10.2469/faj.v74.n3.2</w:t>
      </w:r>
    </w:p>
    <w:p w14:paraId="78F30066" w14:textId="5F2FCED3" w:rsidR="00E648D3" w:rsidRPr="00063811" w:rsidRDefault="00E648D3" w:rsidP="008612B7">
      <w:pPr>
        <w:spacing w:line="480" w:lineRule="auto"/>
        <w:ind w:left="720" w:hanging="720"/>
      </w:pPr>
      <w:r w:rsidRPr="00063811">
        <w:t>Andreassen, S. D., &amp; Bukhari, S. K. U. H. (2024). Impacts of board characteristics on ESG performance in the industrial sector: a quantitative study with evidence from Scandinavia. Oslo Metropolitan University. https://hdl.handle.net/11250/3167038</w:t>
      </w:r>
    </w:p>
    <w:p w14:paraId="1D63521A" w14:textId="08EBF47A" w:rsidR="00E648D3" w:rsidRPr="00063811" w:rsidRDefault="00E648D3" w:rsidP="008612B7">
      <w:pPr>
        <w:spacing w:line="480" w:lineRule="auto"/>
        <w:ind w:left="720" w:hanging="720"/>
      </w:pPr>
      <w:r w:rsidRPr="00063811">
        <w:t>Annunziata, F., &amp; Siri, M. (2025). The EU regulation on ESG ratings: fit for purpose? SSRN Electronic Journal. https://doi.org/10.2139/ssrn.5138977</w:t>
      </w:r>
    </w:p>
    <w:p w14:paraId="06516B77" w14:textId="77777777" w:rsidR="00E648D3" w:rsidRPr="00063811" w:rsidRDefault="00E648D3" w:rsidP="008612B7">
      <w:pPr>
        <w:spacing w:line="480" w:lineRule="auto"/>
        <w:ind w:left="720" w:hanging="720"/>
      </w:pPr>
      <w:r w:rsidRPr="00063811">
        <w:lastRenderedPageBreak/>
        <w:t>Anti-ESG Act, S.B. 261, 2023 Regular Session (2023). https://legiscan.com/al/text/sb261/2023</w:t>
      </w:r>
    </w:p>
    <w:p w14:paraId="7C947AA9" w14:textId="7131E60B" w:rsidR="00E648D3" w:rsidRPr="00063811" w:rsidRDefault="00E648D3" w:rsidP="008612B7">
      <w:pPr>
        <w:spacing w:line="480" w:lineRule="auto"/>
        <w:ind w:left="720" w:hanging="720"/>
      </w:pPr>
      <w:r w:rsidRPr="00063811">
        <w:t xml:space="preserve">Arif, M., Gan, C., &amp; Nadeem, M. (2022). Regulating non-financial reporting: evidence from European firms’ environmental, social and governance disclosures and earnings risk. </w:t>
      </w:r>
      <w:proofErr w:type="spellStart"/>
      <w:r w:rsidRPr="00063811">
        <w:t>Meditari</w:t>
      </w:r>
      <w:proofErr w:type="spellEnd"/>
      <w:r w:rsidRPr="00063811">
        <w:t xml:space="preserve"> Accountancy Research, 30(3), 495–523. https://doi.org/10.1108/MEDAR-11-2020-1086</w:t>
      </w:r>
    </w:p>
    <w:p w14:paraId="67329BB4" w14:textId="77777777" w:rsidR="00E648D3" w:rsidRPr="00063811" w:rsidRDefault="00E648D3" w:rsidP="008612B7">
      <w:pPr>
        <w:spacing w:line="480" w:lineRule="auto"/>
        <w:ind w:left="720" w:hanging="720"/>
      </w:pPr>
      <w:r w:rsidRPr="00063811">
        <w:t xml:space="preserve">Arun, T., </w:t>
      </w:r>
      <w:proofErr w:type="spellStart"/>
      <w:r w:rsidRPr="00063811">
        <w:t>Girardone</w:t>
      </w:r>
      <w:proofErr w:type="spellEnd"/>
      <w:r w:rsidRPr="00063811">
        <w:t xml:space="preserve">, C., &amp; </w:t>
      </w:r>
      <w:proofErr w:type="spellStart"/>
      <w:r w:rsidRPr="00063811">
        <w:t>Piserà</w:t>
      </w:r>
      <w:proofErr w:type="spellEnd"/>
      <w:r w:rsidRPr="00063811">
        <w:t>, S. (2022). ESG issues in emerging markets and the role of banks. In D. Nguyen (Ed.), Handbook of Banking and Finance in Emerging Markets (pp. 321–344). Edward Elgar Publishing. https://doi.org/10.4337/9781800880900.00025</w:t>
      </w:r>
    </w:p>
    <w:p w14:paraId="1B8C4167" w14:textId="1502A70B" w:rsidR="00E648D3" w:rsidRPr="00063811" w:rsidRDefault="00E648D3" w:rsidP="008612B7">
      <w:pPr>
        <w:spacing w:line="480" w:lineRule="auto"/>
        <w:ind w:left="720" w:hanging="720"/>
      </w:pPr>
      <w:r w:rsidRPr="00063811">
        <w:t>Arvidsson, S., &amp; Dumay, J. (2022). Corporate ESG reporting quantity, quality and performance: where to now for environmental policy and practice? Business Strategy and the Environment, 31(3), 1091–1110. https://doi.org/10.1002/bse.2937</w:t>
      </w:r>
    </w:p>
    <w:p w14:paraId="6EB5CD4E" w14:textId="77777777" w:rsidR="00E648D3" w:rsidRPr="00063811" w:rsidRDefault="00E648D3" w:rsidP="008612B7">
      <w:pPr>
        <w:spacing w:line="480" w:lineRule="auto"/>
        <w:ind w:left="720" w:hanging="720"/>
      </w:pPr>
      <w:r w:rsidRPr="00063811">
        <w:t>Assembly Bill 979, Cal. Corp. Code §§ 301.3, 301.4, 2115.6 (2020). https://legiscan.com/ca/text/ab979/id/2211047</w:t>
      </w:r>
    </w:p>
    <w:p w14:paraId="4F920EB7" w14:textId="7A3A7E0E" w:rsidR="00E648D3" w:rsidRPr="00063811" w:rsidRDefault="00E648D3" w:rsidP="008612B7">
      <w:pPr>
        <w:spacing w:line="480" w:lineRule="auto"/>
        <w:ind w:left="720" w:hanging="720"/>
      </w:pPr>
      <w:r w:rsidRPr="00063811">
        <w:t xml:space="preserve">Avetisyan, E., &amp; </w:t>
      </w:r>
      <w:proofErr w:type="spellStart"/>
      <w:r w:rsidRPr="00063811">
        <w:t>Hockerts</w:t>
      </w:r>
      <w:proofErr w:type="spellEnd"/>
      <w:r w:rsidRPr="00063811">
        <w:t>, K. (2017). The consolidation of the ESG rating industry as an enactment of institutional retrogression. Business Strategy and the Environment, 26(3), 316–330. https://doi.org/10.1002/bse.1919</w:t>
      </w:r>
    </w:p>
    <w:p w14:paraId="314B532E" w14:textId="05B44B4C" w:rsidR="00E648D3" w:rsidRPr="00063811" w:rsidRDefault="00E648D3" w:rsidP="008612B7">
      <w:pPr>
        <w:spacing w:line="480" w:lineRule="auto"/>
        <w:ind w:left="720" w:hanging="720"/>
      </w:pPr>
      <w:r w:rsidRPr="00063811">
        <w:t>Ballinger, J. (1992). The new free-trade heel: Nike’s profits jump on the backs of Asian workers. Harper’s, 285(1707), 46. Periodicals Archive Online.</w:t>
      </w:r>
    </w:p>
    <w:p w14:paraId="31C2D73D" w14:textId="2637A4A5" w:rsidR="00E648D3" w:rsidRPr="00063811" w:rsidRDefault="00E648D3" w:rsidP="008612B7">
      <w:pPr>
        <w:spacing w:line="480" w:lineRule="auto"/>
        <w:ind w:left="720" w:hanging="720"/>
      </w:pPr>
      <w:r w:rsidRPr="00063811">
        <w:t>Bartley, T., &amp; Child, C. (2011). Movements, markets and fields: the effects of anti-sweatshop campaigns on U.S. Firms, 1993-2000. Social Forces, 90(2), 425–451. https://doi.org/10.1093/sf/sor010</w:t>
      </w:r>
    </w:p>
    <w:p w14:paraId="1AC81C99" w14:textId="77777777" w:rsidR="00E648D3" w:rsidRPr="00063811" w:rsidRDefault="00E648D3" w:rsidP="008612B7">
      <w:pPr>
        <w:spacing w:line="480" w:lineRule="auto"/>
        <w:ind w:left="720" w:hanging="720"/>
      </w:pPr>
      <w:r w:rsidRPr="00063811">
        <w:t>Beasley, M. S. (1996). An empirical analysis of the relation between the board of director composition and financial statement fraud. The Accounting Review, 71(4), 443–465.</w:t>
      </w:r>
    </w:p>
    <w:p w14:paraId="09FDE078" w14:textId="5929FF96" w:rsidR="00E648D3" w:rsidRPr="00063811" w:rsidRDefault="00E648D3" w:rsidP="008612B7">
      <w:pPr>
        <w:spacing w:line="480" w:lineRule="auto"/>
        <w:ind w:left="720" w:hanging="720"/>
      </w:pPr>
      <w:r w:rsidRPr="00063811">
        <w:lastRenderedPageBreak/>
        <w:t xml:space="preserve">Berg, F., Kölbel, J. F., &amp; </w:t>
      </w:r>
      <w:proofErr w:type="spellStart"/>
      <w:r w:rsidRPr="00063811">
        <w:t>Rigobon</w:t>
      </w:r>
      <w:proofErr w:type="spellEnd"/>
      <w:r w:rsidRPr="00063811">
        <w:t xml:space="preserve">, R. (2022). Aggregate </w:t>
      </w:r>
      <w:r w:rsidR="009120F9" w:rsidRPr="00063811">
        <w:t>c</w:t>
      </w:r>
      <w:r w:rsidRPr="00063811">
        <w:t xml:space="preserve">onfusion: </w:t>
      </w:r>
      <w:r w:rsidR="009120F9" w:rsidRPr="00063811">
        <w:t>t</w:t>
      </w:r>
      <w:r w:rsidRPr="00063811">
        <w:t xml:space="preserve">he </w:t>
      </w:r>
      <w:r w:rsidR="009120F9" w:rsidRPr="00063811">
        <w:t>d</w:t>
      </w:r>
      <w:r w:rsidRPr="00063811">
        <w:t xml:space="preserve">ivergence of ESG </w:t>
      </w:r>
      <w:r w:rsidR="009120F9" w:rsidRPr="00063811">
        <w:t>r</w:t>
      </w:r>
      <w:r w:rsidRPr="00063811">
        <w:t>atings. Review of Finance, 26(6), 1315–1344. https://doi.org/10.1093/rof/rfac033</w:t>
      </w:r>
    </w:p>
    <w:p w14:paraId="6B9908A0" w14:textId="31A5888F" w:rsidR="00E648D3" w:rsidRPr="00063811" w:rsidRDefault="00E648D3" w:rsidP="008612B7">
      <w:pPr>
        <w:spacing w:line="480" w:lineRule="auto"/>
        <w:ind w:left="720" w:hanging="720"/>
      </w:pPr>
      <w:r w:rsidRPr="00063811">
        <w:t xml:space="preserve">Cambrea, D. R., Paolone, F., &amp; </w:t>
      </w:r>
      <w:proofErr w:type="spellStart"/>
      <w:r w:rsidRPr="00063811">
        <w:t>Cucari</w:t>
      </w:r>
      <w:proofErr w:type="spellEnd"/>
      <w:r w:rsidRPr="00063811">
        <w:t xml:space="preserve">, N. (2023). </w:t>
      </w:r>
      <w:r w:rsidR="009120F9" w:rsidRPr="00063811">
        <w:t>Advisory or monitoring role in ESG scenario: which women directors are more influential in the Italian context</w:t>
      </w:r>
      <w:r w:rsidRPr="00063811">
        <w:t>? Business Strategy and the Environment, 32(7), 4299–4314. https://doi.org/10.1002/bse.3366</w:t>
      </w:r>
    </w:p>
    <w:p w14:paraId="68ECC255" w14:textId="6571674D" w:rsidR="00E648D3" w:rsidRPr="00063811" w:rsidRDefault="00E648D3" w:rsidP="008612B7">
      <w:pPr>
        <w:spacing w:line="480" w:lineRule="auto"/>
        <w:ind w:left="720" w:hanging="720"/>
      </w:pPr>
      <w:r w:rsidRPr="00063811">
        <w:t xml:space="preserve">Canavan, J., Jones, B., &amp; Potter, M. J. (2004). </w:t>
      </w:r>
      <w:r w:rsidR="009120F9" w:rsidRPr="00063811">
        <w:t>Board tenure: how long is too long</w:t>
      </w:r>
      <w:r w:rsidRPr="00063811">
        <w:t>? Directors &amp; Boards, 28(2), 39–42.</w:t>
      </w:r>
    </w:p>
    <w:p w14:paraId="5DE81968" w14:textId="034EFE7E" w:rsidR="00E648D3" w:rsidRPr="00063811" w:rsidRDefault="00E648D3" w:rsidP="008612B7">
      <w:pPr>
        <w:spacing w:line="480" w:lineRule="auto"/>
        <w:ind w:left="720" w:hanging="720"/>
      </w:pPr>
      <w:r w:rsidRPr="00063811">
        <w:t>Celli, M., Arduini, S., &amp; Beck, T. (2024). C</w:t>
      </w:r>
      <w:r w:rsidR="009120F9" w:rsidRPr="00063811">
        <w:t>orporate sustainability reporting directive and his future application scenario for Italian SMES. International journal of business and management</w:t>
      </w:r>
      <w:r w:rsidRPr="00063811">
        <w:t>, 19(4), 44. https://doi.org/10.5539/ijbm.v19n4p44</w:t>
      </w:r>
    </w:p>
    <w:p w14:paraId="2C23A584" w14:textId="77777777" w:rsidR="00E648D3" w:rsidRPr="00063811" w:rsidRDefault="00E648D3" w:rsidP="008612B7">
      <w:pPr>
        <w:spacing w:line="480" w:lineRule="auto"/>
        <w:ind w:left="720" w:hanging="720"/>
      </w:pPr>
      <w:r w:rsidRPr="00063811">
        <w:t>Chan, C.-Y., Chou, D.-W., &amp; Lo, H.-C. (2017). Do financial constraints matter when firms engage in CSR? The North American Journal of Economics and Finance, 39, 241–259. https://doi.org/10.1016/j.najef.2016.10.009</w:t>
      </w:r>
    </w:p>
    <w:p w14:paraId="6E9180A8" w14:textId="77777777" w:rsidR="00E648D3" w:rsidRPr="00063811" w:rsidRDefault="00E648D3" w:rsidP="008612B7">
      <w:pPr>
        <w:spacing w:line="480" w:lineRule="auto"/>
        <w:ind w:left="720" w:hanging="720"/>
      </w:pPr>
      <w:r w:rsidRPr="00063811">
        <w:t>Chang, Y., Wu, K.-T., Lin, S.-H., &amp; Lin, C.-J. (2024). Board gender diversity and corporate social responsibility. International Journal of Corporate Social Responsibility, 9(1), 7. https://doi.org/10.1186/s40991-024-00095-x</w:t>
      </w:r>
    </w:p>
    <w:p w14:paraId="5F01A6B7" w14:textId="77777777" w:rsidR="00E648D3" w:rsidRPr="00063811" w:rsidRDefault="00E648D3" w:rsidP="008612B7">
      <w:pPr>
        <w:spacing w:line="480" w:lineRule="auto"/>
        <w:ind w:left="720" w:hanging="720"/>
      </w:pPr>
      <w:r w:rsidRPr="00063811">
        <w:t xml:space="preserve">Chatterji, A. K., Durand, R., Levine, D. I., &amp; </w:t>
      </w:r>
      <w:proofErr w:type="spellStart"/>
      <w:r w:rsidRPr="00063811">
        <w:t>Touboul</w:t>
      </w:r>
      <w:proofErr w:type="spellEnd"/>
      <w:r w:rsidRPr="00063811">
        <w:t>, S. (2016). Do ratings of firms converge? Implications for managers, investors and strategy researchers. Strategic Management Journal, 37(8), 1597–1614. https://doi.org/10.1002/smj.2407</w:t>
      </w:r>
    </w:p>
    <w:p w14:paraId="5D6593B8" w14:textId="4D74F681" w:rsidR="00E648D3" w:rsidRPr="00063811" w:rsidRDefault="00E648D3" w:rsidP="008612B7">
      <w:pPr>
        <w:spacing w:line="480" w:lineRule="auto"/>
        <w:ind w:left="720" w:hanging="720"/>
      </w:pPr>
      <w:r w:rsidRPr="00063811">
        <w:t xml:space="preserve">Chen, Z., Lai, Y., &amp; Zhou, Y. (2023). Regional </w:t>
      </w:r>
      <w:r w:rsidR="009120F9" w:rsidRPr="00063811">
        <w:t>heterogeneity analysis of ESG and corporate value</w:t>
      </w:r>
      <w:r w:rsidRPr="00063811">
        <w:t>. Advances in Economics, Management and Political Sciences, 63(1), 231–238. https://doi.org/10.54254/2754-1169/63/20231428</w:t>
      </w:r>
    </w:p>
    <w:p w14:paraId="1CE0E07F" w14:textId="77777777" w:rsidR="00E648D3" w:rsidRPr="00063811" w:rsidRDefault="00E648D3" w:rsidP="008612B7">
      <w:pPr>
        <w:spacing w:line="480" w:lineRule="auto"/>
        <w:ind w:left="720" w:hanging="720"/>
      </w:pPr>
      <w:proofErr w:type="spellStart"/>
      <w:r w:rsidRPr="00063811">
        <w:lastRenderedPageBreak/>
        <w:t>Cicchiello</w:t>
      </w:r>
      <w:proofErr w:type="spellEnd"/>
      <w:r w:rsidRPr="00063811">
        <w:t xml:space="preserve">, A. F., </w:t>
      </w:r>
      <w:proofErr w:type="spellStart"/>
      <w:r w:rsidRPr="00063811">
        <w:t>Marrazza</w:t>
      </w:r>
      <w:proofErr w:type="spellEnd"/>
      <w:r w:rsidRPr="00063811">
        <w:t xml:space="preserve">, F., &amp; </w:t>
      </w:r>
      <w:proofErr w:type="spellStart"/>
      <w:r w:rsidRPr="00063811">
        <w:t>Perdichizzi</w:t>
      </w:r>
      <w:proofErr w:type="spellEnd"/>
      <w:r w:rsidRPr="00063811">
        <w:t>, S. (2023). Non‐financial disclosure regulation and environmental, social, and governance. Corporate Social Responsibility and Environmental Management, 30(3), 1121–1128. https://doi.org/10.1002/csr.2408</w:t>
      </w:r>
    </w:p>
    <w:p w14:paraId="7A113C21" w14:textId="77777777" w:rsidR="00E648D3" w:rsidRPr="00063811" w:rsidRDefault="00E648D3" w:rsidP="008612B7">
      <w:pPr>
        <w:spacing w:line="480" w:lineRule="auto"/>
        <w:ind w:left="720" w:hanging="720"/>
      </w:pPr>
      <w:r w:rsidRPr="00063811">
        <w:t>Climate Corporate Data Accountability Act, No. Senate Bill No. 253, California State Legislature (2023). https://leginfo.legislature.ca.gov/faces/billNavClient.xhtml?bill_id=202320240SB253</w:t>
      </w:r>
    </w:p>
    <w:p w14:paraId="023CAF95" w14:textId="03EF26A8" w:rsidR="00E648D3" w:rsidRPr="00063811" w:rsidRDefault="00E648D3" w:rsidP="008612B7">
      <w:pPr>
        <w:spacing w:line="480" w:lineRule="auto"/>
        <w:ind w:left="720" w:hanging="720"/>
      </w:pPr>
      <w:r w:rsidRPr="00063811">
        <w:t xml:space="preserve">Connelly, B. L., Certo, S. T., Ireland, R. D., &amp; Reutzel, C. R. (2011). </w:t>
      </w:r>
      <w:r w:rsidR="009120F9" w:rsidRPr="00063811">
        <w:t>Signaling theory: a review and assessmen</w:t>
      </w:r>
      <w:r w:rsidRPr="00063811">
        <w:t>t. Journal of Management, 37(1), 39–67. https://doi.org/10.1177/0149206310388419</w:t>
      </w:r>
    </w:p>
    <w:p w14:paraId="6D28A8B0" w14:textId="77777777" w:rsidR="00E648D3" w:rsidRPr="00063811" w:rsidRDefault="00E648D3" w:rsidP="008612B7">
      <w:pPr>
        <w:spacing w:line="480" w:lineRule="auto"/>
        <w:ind w:left="720" w:hanging="720"/>
      </w:pPr>
      <w:r w:rsidRPr="00063811">
        <w:t>Corporations LGBTQ Directors, Ill. Public Act 102-0223 (2021). https://legiscan.com/il/text/sb1730/2021</w:t>
      </w:r>
    </w:p>
    <w:p w14:paraId="4BDC65AB" w14:textId="3F8B23D3" w:rsidR="00E648D3" w:rsidRPr="00063811" w:rsidRDefault="00E648D3" w:rsidP="008612B7">
      <w:pPr>
        <w:spacing w:line="480" w:lineRule="auto"/>
        <w:ind w:left="720" w:hanging="720"/>
      </w:pPr>
      <w:r w:rsidRPr="00063811">
        <w:t xml:space="preserve">Cremona, B. M., &amp; </w:t>
      </w:r>
      <w:proofErr w:type="spellStart"/>
      <w:r w:rsidRPr="00063811">
        <w:t>Passador</w:t>
      </w:r>
      <w:proofErr w:type="spellEnd"/>
      <w:r w:rsidRPr="00063811">
        <w:t xml:space="preserve">, M. L. (2019). </w:t>
      </w:r>
      <w:r w:rsidR="009120F9" w:rsidRPr="00063811">
        <w:t xml:space="preserve">What about the future of </w:t>
      </w:r>
      <w:proofErr w:type="spellStart"/>
      <w:r w:rsidR="009120F9" w:rsidRPr="00063811">
        <w:t>european</w:t>
      </w:r>
      <w:proofErr w:type="spellEnd"/>
      <w:r w:rsidR="009120F9" w:rsidRPr="00063811">
        <w:t xml:space="preserve"> banks? Board characteristics and ESG impact</w:t>
      </w:r>
      <w:r w:rsidRPr="00063811">
        <w:t xml:space="preserve">. Banking &amp; Insurance </w:t>
      </w:r>
      <w:proofErr w:type="spellStart"/>
      <w:r w:rsidRPr="00063811">
        <w:t>eJournal</w:t>
      </w:r>
      <w:proofErr w:type="spellEnd"/>
      <w:r w:rsidRPr="00063811">
        <w:t>. https://api.semanticscholar.org/CorpusID:214427341</w:t>
      </w:r>
    </w:p>
    <w:p w14:paraId="61353A18" w14:textId="4D9E2E33" w:rsidR="00E648D3" w:rsidRPr="00063811" w:rsidRDefault="00E648D3" w:rsidP="008612B7">
      <w:pPr>
        <w:spacing w:line="480" w:lineRule="auto"/>
        <w:ind w:left="720" w:hanging="720"/>
      </w:pPr>
      <w:proofErr w:type="spellStart"/>
      <w:r w:rsidRPr="00063811">
        <w:t>Čufar</w:t>
      </w:r>
      <w:proofErr w:type="spellEnd"/>
      <w:r w:rsidRPr="00063811">
        <w:t xml:space="preserve">, M., &amp; Belak, J. (2024). </w:t>
      </w:r>
      <w:r w:rsidR="009120F9" w:rsidRPr="00063811">
        <w:t>Beyond financials: understanding the implications of NFRD and CSRD on non-financial reporting</w:t>
      </w:r>
      <w:r w:rsidRPr="00063811">
        <w:t>. Challenges in the Turbulent Economic Environment and Organizations’ Sustainable Development, 185–194. https://doi.org/10.18690/um.epf.5.2024.18</w:t>
      </w:r>
    </w:p>
    <w:p w14:paraId="520296EA" w14:textId="77777777" w:rsidR="00E648D3" w:rsidRPr="00063811" w:rsidRDefault="00E648D3" w:rsidP="008612B7">
      <w:pPr>
        <w:spacing w:line="480" w:lineRule="auto"/>
        <w:ind w:left="720" w:hanging="720"/>
      </w:pPr>
      <w:r w:rsidRPr="00063811">
        <w:t xml:space="preserve">Cuomo, F., Gaia, S., </w:t>
      </w:r>
      <w:proofErr w:type="spellStart"/>
      <w:r w:rsidRPr="00063811">
        <w:t>Girardone</w:t>
      </w:r>
      <w:proofErr w:type="spellEnd"/>
      <w:r w:rsidRPr="00063811">
        <w:t xml:space="preserve">, C., &amp; </w:t>
      </w:r>
      <w:proofErr w:type="spellStart"/>
      <w:r w:rsidRPr="00063811">
        <w:t>Piserà</w:t>
      </w:r>
      <w:proofErr w:type="spellEnd"/>
      <w:r w:rsidRPr="00063811">
        <w:t>, S. (2024). The effects of the EU non-financial reporting directive on corporate social responsibility. The European Journal of Finance, 30(7), 726–752. https://doi.org/10.1080/1351847X.2022.2113812</w:t>
      </w:r>
    </w:p>
    <w:p w14:paraId="486473F0" w14:textId="77777777" w:rsidR="00E648D3" w:rsidRPr="00063811" w:rsidRDefault="00E648D3" w:rsidP="008612B7">
      <w:pPr>
        <w:spacing w:line="480" w:lineRule="auto"/>
        <w:ind w:left="720" w:hanging="720"/>
      </w:pPr>
      <w:r w:rsidRPr="00063811">
        <w:lastRenderedPageBreak/>
        <w:t xml:space="preserve">De Giuli, M. E., </w:t>
      </w:r>
      <w:proofErr w:type="spellStart"/>
      <w:r w:rsidRPr="00063811">
        <w:t>Grechi</w:t>
      </w:r>
      <w:proofErr w:type="spellEnd"/>
      <w:r w:rsidRPr="00063811">
        <w:t>, D., &amp; Tanda, A. (2024). What do we know about ESG and risk? A systematic and bibliometric review. Corporate Social Responsibility and Environmental Management, 31(2), 1096–1108. https://doi.org/10.1002/csr.2624</w:t>
      </w:r>
    </w:p>
    <w:p w14:paraId="50C08B5D" w14:textId="77777777" w:rsidR="00E648D3" w:rsidRPr="00063811" w:rsidRDefault="00E648D3" w:rsidP="008612B7">
      <w:pPr>
        <w:spacing w:line="480" w:lineRule="auto"/>
        <w:ind w:left="720" w:hanging="720"/>
      </w:pPr>
      <w:r w:rsidRPr="00063811">
        <w:t>Dezsö, C. L., &amp; Ross, D. G. (2012). Does female representation in top management improve firm performance? A panel data investigation. Strategic Management Journal, 33(9), 1072–1089. https://doi.org/10.1002/smj.1955</w:t>
      </w:r>
    </w:p>
    <w:p w14:paraId="05AF4C13" w14:textId="5CC76822" w:rsidR="00E648D3" w:rsidRPr="00063811" w:rsidRDefault="00E648D3" w:rsidP="008612B7">
      <w:pPr>
        <w:spacing w:line="480" w:lineRule="auto"/>
        <w:ind w:left="720" w:hanging="720"/>
      </w:pPr>
      <w:r w:rsidRPr="00063811">
        <w:t xml:space="preserve">Eccles, R. G., Lee, L.-E., &amp; </w:t>
      </w:r>
      <w:proofErr w:type="spellStart"/>
      <w:r w:rsidRPr="00063811">
        <w:t>Stroehle</w:t>
      </w:r>
      <w:proofErr w:type="spellEnd"/>
      <w:r w:rsidRPr="00063811">
        <w:t xml:space="preserve">, J. C. (2020). </w:t>
      </w:r>
      <w:r w:rsidR="009120F9" w:rsidRPr="00063811">
        <w:t>The social origins of ESG: an analysis of Innovest and KLD</w:t>
      </w:r>
      <w:r w:rsidRPr="00063811">
        <w:t>. Organization &amp; Environment, 33(4), 575–596. https://doi.org/10.1177/1086026619888994</w:t>
      </w:r>
    </w:p>
    <w:p w14:paraId="31062DD9" w14:textId="77777777" w:rsidR="00E648D3" w:rsidRPr="00063811" w:rsidRDefault="00E648D3" w:rsidP="008612B7">
      <w:pPr>
        <w:spacing w:line="480" w:lineRule="auto"/>
        <w:ind w:left="720" w:hanging="720"/>
      </w:pPr>
      <w:r w:rsidRPr="00063811">
        <w:t>Enacted state ESG legislation by trifecta status, 2020-2024. (2024). Ballotpedia. https://ballotpedia.org/Enacted_state_ESG_legislation_by_trifecta_status,_2020-2024</w:t>
      </w:r>
    </w:p>
    <w:p w14:paraId="5519B978" w14:textId="77777777" w:rsidR="00E648D3" w:rsidRPr="00063811" w:rsidRDefault="00E648D3" w:rsidP="008612B7">
      <w:pPr>
        <w:spacing w:line="480" w:lineRule="auto"/>
        <w:ind w:left="720" w:hanging="720"/>
      </w:pPr>
      <w:r w:rsidRPr="00063811">
        <w:t>Energy Discrimination Elimination Act of 2022, H.B. 2034, 2022 Regular Session (2022). https://legiscan.com/ok/text/hb2034/2022</w:t>
      </w:r>
    </w:p>
    <w:p w14:paraId="56ED100D" w14:textId="0CDC9635" w:rsidR="00E648D3" w:rsidRPr="00063811" w:rsidRDefault="00E648D3" w:rsidP="008612B7">
      <w:pPr>
        <w:spacing w:line="480" w:lineRule="auto"/>
        <w:ind w:left="720" w:hanging="720"/>
      </w:pPr>
      <w:r w:rsidRPr="00063811">
        <w:t xml:space="preserve">Escrig-Olmedo, E., Fernández-Izquierdo, M., Ferrero-Ferrero, I., Rivera-Lirio, J., &amp; Muñoz-Torres, M. (2019). </w:t>
      </w:r>
      <w:r w:rsidR="009120F9" w:rsidRPr="00063811">
        <w:t>Rating the raters: evaluating how ESG rating agencies integrate sustainability principles</w:t>
      </w:r>
      <w:r w:rsidRPr="00063811">
        <w:t>. Sustainability, 11(3), 915. https://doi.org/10.3390/su11030915</w:t>
      </w:r>
    </w:p>
    <w:p w14:paraId="5F8DAC4C" w14:textId="77777777" w:rsidR="00E648D3" w:rsidRPr="00063811" w:rsidRDefault="00E648D3" w:rsidP="008612B7">
      <w:pPr>
        <w:spacing w:line="480" w:lineRule="auto"/>
        <w:ind w:left="720" w:hanging="720"/>
      </w:pPr>
      <w:r w:rsidRPr="00063811">
        <w:t>European Parliament. (2022). Directive (EU) 2022/2464. https://eur-lex.europa.eu/eli/dir/2022/2464/oj/eng</w:t>
      </w:r>
    </w:p>
    <w:p w14:paraId="5917B6D3" w14:textId="77777777" w:rsidR="00E648D3" w:rsidRPr="00063811" w:rsidRDefault="00E648D3" w:rsidP="008612B7">
      <w:pPr>
        <w:spacing w:line="480" w:lineRule="auto"/>
        <w:ind w:left="720" w:hanging="720"/>
      </w:pPr>
      <w:r w:rsidRPr="00063811">
        <w:t>Executive Order Review Process Amendments, Utah Code Ann. § 63C-4a-204 (2021). https://legiscan.com/ut/text/hb0415/2021</w:t>
      </w:r>
    </w:p>
    <w:p w14:paraId="7DCDA6F9" w14:textId="38E20F3C" w:rsidR="00E648D3" w:rsidRPr="00063811" w:rsidRDefault="00E648D3" w:rsidP="008612B7">
      <w:pPr>
        <w:spacing w:line="480" w:lineRule="auto"/>
        <w:ind w:left="720" w:hanging="720"/>
      </w:pPr>
      <w:r w:rsidRPr="00063811">
        <w:t xml:space="preserve">Fair Labor Association. (2003). </w:t>
      </w:r>
      <w:r w:rsidR="009120F9" w:rsidRPr="00063811">
        <w:t>First public report: towards improving workers’ lives</w:t>
      </w:r>
      <w:r w:rsidRPr="00063811">
        <w:t>. https://www.fairlabor.org/wp-content/uploads/2022/01/2003_annual_public_report.pdf</w:t>
      </w:r>
    </w:p>
    <w:p w14:paraId="558B94FE" w14:textId="77777777" w:rsidR="00E648D3" w:rsidRPr="00063811" w:rsidRDefault="00E648D3" w:rsidP="008612B7">
      <w:pPr>
        <w:spacing w:line="480" w:lineRule="auto"/>
        <w:ind w:left="720" w:hanging="720"/>
      </w:pPr>
      <w:r w:rsidRPr="00063811">
        <w:lastRenderedPageBreak/>
        <w:t>Ferrer, E., López‐Arceiz, F. J., &amp; Del Rio, C. (2020). Sustainability disclosure and financial analysts’ accuracy: The European case. Business Strategy and the Environment, 29(8), 2939–2952. https://doi.org/10.1002/bse.2549</w:t>
      </w:r>
    </w:p>
    <w:p w14:paraId="66DFBBE6" w14:textId="334F1728" w:rsidR="00E648D3" w:rsidRPr="00063811" w:rsidRDefault="00E648D3" w:rsidP="008612B7">
      <w:pPr>
        <w:spacing w:line="480" w:lineRule="auto"/>
        <w:ind w:left="720" w:hanging="720"/>
      </w:pPr>
      <w:r w:rsidRPr="00063811">
        <w:t xml:space="preserve">Friede, G., Busch, T., &amp; Bassen, A. (2015). ESG and financial performance: </w:t>
      </w:r>
      <w:r w:rsidR="009120F9" w:rsidRPr="00063811">
        <w:t>a</w:t>
      </w:r>
      <w:r w:rsidRPr="00063811">
        <w:t>ggregated evidence from more than 2000 empirical studies. Journal of Sustainable Finance &amp; Investment, 5(4), 210–233. https://doi.org/10.1080/20430795.2015.1118917</w:t>
      </w:r>
    </w:p>
    <w:p w14:paraId="3038486A" w14:textId="418C9758" w:rsidR="00E648D3" w:rsidRPr="00063811" w:rsidRDefault="00E648D3" w:rsidP="008612B7">
      <w:pPr>
        <w:spacing w:line="480" w:lineRule="auto"/>
        <w:ind w:left="720" w:hanging="720"/>
      </w:pPr>
      <w:r w:rsidRPr="00063811">
        <w:t xml:space="preserve">Friedman, M. (1957). </w:t>
      </w:r>
      <w:r w:rsidR="009120F9" w:rsidRPr="00063811">
        <w:t>The social responsibility of business is to increase its profits</w:t>
      </w:r>
      <w:r w:rsidRPr="00063811">
        <w:t>. In W. C. Zimmerli, M. Holzinger, &amp; K. Richter (Eds.), Corporate Ethics and Corporate Governance (pp. 173–178). Springer Berlin Heidelberg. https://doi.org/10.1007/978-3-540-70818-6_14</w:t>
      </w:r>
    </w:p>
    <w:p w14:paraId="7A3EC686" w14:textId="6A60556A" w:rsidR="00E648D3" w:rsidRPr="00063811" w:rsidRDefault="00E648D3" w:rsidP="008612B7">
      <w:pPr>
        <w:spacing w:line="480" w:lineRule="auto"/>
        <w:ind w:left="720" w:hanging="720"/>
      </w:pPr>
      <w:r w:rsidRPr="00063811">
        <w:t xml:space="preserve">Friske, W., Hoelscher, S. A., &amp; Nikolov, A. N. (2023). </w:t>
      </w:r>
      <w:r w:rsidR="009120F9" w:rsidRPr="00063811">
        <w:t>The impact of voluntary sustainability reporting on firm value: insights from signaling theory.</w:t>
      </w:r>
      <w:r w:rsidRPr="00063811">
        <w:t xml:space="preserve"> Journal of the Academy of Marketing Science, 51(2), 372–392. https://doi.org/10.1007/s11747-022-00879-2</w:t>
      </w:r>
    </w:p>
    <w:p w14:paraId="5552EF79" w14:textId="276AC39B" w:rsidR="00E648D3" w:rsidRPr="00063811" w:rsidRDefault="00E648D3" w:rsidP="008612B7">
      <w:pPr>
        <w:spacing w:line="480" w:lineRule="auto"/>
        <w:ind w:left="720" w:hanging="720"/>
      </w:pPr>
      <w:r w:rsidRPr="00063811">
        <w:t xml:space="preserve">Garcia, A. S., &amp; Orsato, R. J. (2020). </w:t>
      </w:r>
      <w:r w:rsidR="009120F9" w:rsidRPr="00063811">
        <w:t>Testing the institutional difference hypothesis: a study about environmental, social, governance, and financial performance</w:t>
      </w:r>
      <w:r w:rsidRPr="00063811">
        <w:t>. Business Strategy and the Environment, 29(8), 3261–3272. https://doi.org/10.1002/bse.2570</w:t>
      </w:r>
    </w:p>
    <w:p w14:paraId="69B9EB44" w14:textId="5F6F96CC" w:rsidR="00E648D3" w:rsidRPr="00063811" w:rsidRDefault="00E648D3" w:rsidP="008612B7">
      <w:pPr>
        <w:spacing w:line="480" w:lineRule="auto"/>
        <w:ind w:left="720" w:hanging="720"/>
      </w:pPr>
      <w:r w:rsidRPr="00063811">
        <w:t xml:space="preserve">Garrett, D., &amp; Ivanov, I. (2022). Gas, </w:t>
      </w:r>
      <w:r w:rsidR="009120F9" w:rsidRPr="00063811">
        <w:t>g</w:t>
      </w:r>
      <w:r w:rsidRPr="00063811">
        <w:t xml:space="preserve">uns, and </w:t>
      </w:r>
      <w:r w:rsidR="009120F9" w:rsidRPr="00063811">
        <w:t>g</w:t>
      </w:r>
      <w:r w:rsidRPr="00063811">
        <w:t xml:space="preserve">overnments: </w:t>
      </w:r>
      <w:r w:rsidR="009120F9" w:rsidRPr="00063811">
        <w:t>f</w:t>
      </w:r>
      <w:r w:rsidRPr="00063811">
        <w:t xml:space="preserve">inancial </w:t>
      </w:r>
      <w:r w:rsidR="009120F9" w:rsidRPr="00063811">
        <w:t>c</w:t>
      </w:r>
      <w:r w:rsidRPr="00063811">
        <w:t xml:space="preserve">osts of </w:t>
      </w:r>
      <w:r w:rsidR="009120F9" w:rsidRPr="00063811">
        <w:t>a</w:t>
      </w:r>
      <w:r w:rsidRPr="00063811">
        <w:t xml:space="preserve">nti-ESG </w:t>
      </w:r>
      <w:r w:rsidR="009120F9" w:rsidRPr="00063811">
        <w:t>p</w:t>
      </w:r>
      <w:r w:rsidRPr="00063811">
        <w:t>olicies. SSRN Electronic Journal. https://doi.org/10.2139/ssrn.4123366</w:t>
      </w:r>
    </w:p>
    <w:p w14:paraId="1C8388A4" w14:textId="149E944E" w:rsidR="00E648D3" w:rsidRPr="00063811" w:rsidRDefault="00E648D3" w:rsidP="008612B7">
      <w:pPr>
        <w:spacing w:line="480" w:lineRule="auto"/>
        <w:ind w:left="720" w:hanging="720"/>
      </w:pPr>
      <w:r w:rsidRPr="00063811">
        <w:t xml:space="preserve">Gholami, A., Murray, P. A., &amp; Sands, J. (2022). </w:t>
      </w:r>
      <w:r w:rsidR="009120F9" w:rsidRPr="00063811">
        <w:t xml:space="preserve">Environmental, social, governance &amp; financial performance disclosure for large firms: is this different for SME firms? </w:t>
      </w:r>
      <w:r w:rsidRPr="00063811">
        <w:t>Sustainability, 14(10), 6019. https://doi.org/10.3390/su14106019</w:t>
      </w:r>
    </w:p>
    <w:p w14:paraId="7D1DB57F" w14:textId="77777777" w:rsidR="00E648D3" w:rsidRPr="00063811" w:rsidRDefault="00E648D3" w:rsidP="008612B7">
      <w:pPr>
        <w:spacing w:line="480" w:lineRule="auto"/>
        <w:ind w:left="720" w:hanging="720"/>
      </w:pPr>
      <w:r w:rsidRPr="00063811">
        <w:t>Government and Corporate Activism Act, H.B. 003, 2023 Regular Session (2023). https://legiscan.com/fl/text/h0003/2023</w:t>
      </w:r>
    </w:p>
    <w:p w14:paraId="77C8B2A2" w14:textId="3726839C" w:rsidR="00E648D3" w:rsidRPr="00063811" w:rsidRDefault="00E648D3" w:rsidP="008612B7">
      <w:pPr>
        <w:spacing w:line="480" w:lineRule="auto"/>
        <w:ind w:left="720" w:hanging="720"/>
      </w:pPr>
      <w:proofErr w:type="spellStart"/>
      <w:r w:rsidRPr="00063811">
        <w:lastRenderedPageBreak/>
        <w:t>Granovetter</w:t>
      </w:r>
      <w:proofErr w:type="spellEnd"/>
      <w:r w:rsidRPr="00063811">
        <w:t xml:space="preserve">, M. (1978). Threshold </w:t>
      </w:r>
      <w:r w:rsidR="009120F9" w:rsidRPr="00063811">
        <w:t>m</w:t>
      </w:r>
      <w:r w:rsidRPr="00063811">
        <w:t xml:space="preserve">odels of </w:t>
      </w:r>
      <w:r w:rsidR="009120F9" w:rsidRPr="00063811">
        <w:t>c</w:t>
      </w:r>
      <w:r w:rsidRPr="00063811">
        <w:t xml:space="preserve">ollective </w:t>
      </w:r>
      <w:r w:rsidR="009120F9" w:rsidRPr="00063811">
        <w:t>b</w:t>
      </w:r>
      <w:r w:rsidRPr="00063811">
        <w:t>ehavior. American Journal of Sociology, 83(6), 1420–1443. https://doi.org/10.1086/226707</w:t>
      </w:r>
    </w:p>
    <w:p w14:paraId="6979E776" w14:textId="77777777" w:rsidR="00E648D3" w:rsidRPr="00063811" w:rsidRDefault="00E648D3" w:rsidP="008612B7">
      <w:pPr>
        <w:spacing w:line="480" w:lineRule="auto"/>
        <w:ind w:left="720" w:hanging="720"/>
      </w:pPr>
      <w:r w:rsidRPr="00063811">
        <w:t>Hao, N., Dragomir, V. D., &amp; Radu, O. M. (2023). Effects on corporate stakeholders and limitations of the implementation of the Non-Financial Reporting Directive (2014/95/EU). Journal of Accounting and Management Information Systems, 22(4). https://doi.org/10.24818/jamis.2023.04002</w:t>
      </w:r>
    </w:p>
    <w:p w14:paraId="04B18864" w14:textId="77777777" w:rsidR="00E648D3" w:rsidRPr="00063811" w:rsidRDefault="00E648D3" w:rsidP="008612B7">
      <w:pPr>
        <w:spacing w:line="480" w:lineRule="auto"/>
        <w:ind w:left="720" w:hanging="720"/>
      </w:pPr>
      <w:r w:rsidRPr="00063811">
        <w:t>Hendricks, K. B., &amp; Singhal, V. R. (2001). Firm characteristics, total quality management, and financial performance. Journal of Operations Management, 19(3), 269–285. https://doi.org/10.1016/S0272-6963(00)00049-8</w:t>
      </w:r>
    </w:p>
    <w:p w14:paraId="29CA14BC" w14:textId="221CCAA0" w:rsidR="00E648D3" w:rsidRPr="00063811" w:rsidRDefault="00E648D3" w:rsidP="008612B7">
      <w:pPr>
        <w:spacing w:line="480" w:lineRule="auto"/>
        <w:ind w:left="720" w:hanging="720"/>
      </w:pPr>
      <w:r w:rsidRPr="00063811">
        <w:t xml:space="preserve">Hess, D. J., Mai, Q. D., &amp; Brown, K. P. (2016). Red states, green laws: </w:t>
      </w:r>
      <w:r w:rsidR="009120F9" w:rsidRPr="00063811">
        <w:t>i</w:t>
      </w:r>
      <w:r w:rsidRPr="00063811">
        <w:t>deology and renewable energy legislation in the United States. Energy Research &amp; Social Science, 11, 19–28. https://doi.org/10.1016/j.erss.2015.08.007</w:t>
      </w:r>
    </w:p>
    <w:p w14:paraId="488A30CF" w14:textId="77777777" w:rsidR="00E648D3" w:rsidRPr="00063811" w:rsidRDefault="00E648D3" w:rsidP="008612B7">
      <w:pPr>
        <w:spacing w:line="480" w:lineRule="auto"/>
        <w:ind w:left="720" w:hanging="720"/>
      </w:pPr>
      <w:r w:rsidRPr="00063811">
        <w:t>House Bill 457, H.B. 457, 2023 Regular Session (2023). https://legiscan.com/nh/text/hb457/2023</w:t>
      </w:r>
    </w:p>
    <w:p w14:paraId="787F5E19" w14:textId="77777777" w:rsidR="00E648D3" w:rsidRPr="00063811" w:rsidRDefault="00E648D3" w:rsidP="008612B7">
      <w:pPr>
        <w:spacing w:line="480" w:lineRule="auto"/>
        <w:ind w:left="720" w:hanging="720"/>
      </w:pPr>
      <w:r w:rsidRPr="00063811">
        <w:t>House Bill 1429, H.B. 1429, 68th Legislative Assembly (2023). https://legiscan.com/nd/text/hb1429/2023</w:t>
      </w:r>
    </w:p>
    <w:p w14:paraId="4949CA4F" w14:textId="77777777" w:rsidR="00E648D3" w:rsidRPr="00063811" w:rsidRDefault="00E648D3" w:rsidP="008612B7">
      <w:pPr>
        <w:spacing w:line="480" w:lineRule="auto"/>
        <w:ind w:left="720" w:hanging="720"/>
      </w:pPr>
      <w:r w:rsidRPr="00063811">
        <w:t>House Concurrent Resolution 110, H.C.R. 110, 2023 Regular Session (2023). https://legiscan.com/la/text/hcr110/id/2812806</w:t>
      </w:r>
    </w:p>
    <w:p w14:paraId="2EE321D3" w14:textId="77777777" w:rsidR="00E648D3" w:rsidRPr="00063811" w:rsidRDefault="00E648D3" w:rsidP="008612B7">
      <w:pPr>
        <w:spacing w:line="480" w:lineRule="auto"/>
        <w:ind w:left="720" w:hanging="720"/>
      </w:pPr>
      <w:r w:rsidRPr="00063811">
        <w:t>Huang, D. Z. X. (2021). Environmental, social and governance (ESG) activity and firm performance: A review and consolidation. Accounting &amp; Finance, 61(1), 335–360. https://doi.org/10.1111/acfi.12569</w:t>
      </w:r>
    </w:p>
    <w:p w14:paraId="5A956F6C" w14:textId="2D9BAF1E" w:rsidR="00E648D3" w:rsidRPr="00063811" w:rsidRDefault="00E648D3" w:rsidP="008612B7">
      <w:pPr>
        <w:spacing w:line="480" w:lineRule="auto"/>
        <w:ind w:left="720" w:hanging="720"/>
      </w:pPr>
      <w:r w:rsidRPr="00063811">
        <w:t xml:space="preserve">Huang, S., &amp; Hilary, G. (2018). </w:t>
      </w:r>
      <w:r w:rsidR="00FF2296" w:rsidRPr="00063811">
        <w:t>Zombie board: board tenure and firm performance</w:t>
      </w:r>
      <w:r w:rsidRPr="00063811">
        <w:t>. Journal of Accounting Research, 56(4), 1285–1329. https://doi.org/10.1111/1475-679X.12209</w:t>
      </w:r>
    </w:p>
    <w:p w14:paraId="31E05EEC" w14:textId="77777777" w:rsidR="00E648D3" w:rsidRPr="00063811" w:rsidRDefault="00E648D3" w:rsidP="008612B7">
      <w:pPr>
        <w:spacing w:line="480" w:lineRule="auto"/>
        <w:ind w:left="720" w:hanging="720"/>
      </w:pPr>
      <w:r w:rsidRPr="00063811">
        <w:lastRenderedPageBreak/>
        <w:t>Idaho Code, H.B. 191, 67th Legislature, 1st Regular Session (2023). https://legiscan.com/id/text/h0191/2023</w:t>
      </w:r>
    </w:p>
    <w:p w14:paraId="07A651AA" w14:textId="7056F9F4" w:rsidR="00E648D3" w:rsidRPr="00063811" w:rsidRDefault="00E648D3" w:rsidP="008612B7">
      <w:pPr>
        <w:spacing w:line="480" w:lineRule="auto"/>
        <w:ind w:left="720" w:hanging="720"/>
      </w:pPr>
      <w:r w:rsidRPr="00063811">
        <w:t xml:space="preserve">Jonsdottir, B., Sigurjonsson, T. O., Johannsdottir, L., &amp; Wendt, S. (2022). </w:t>
      </w:r>
      <w:r w:rsidR="00FF2296" w:rsidRPr="00063811">
        <w:t xml:space="preserve">Barriers to using </w:t>
      </w:r>
      <w:r w:rsidR="001B5F1B">
        <w:t>ESG</w:t>
      </w:r>
      <w:r w:rsidR="00FF2296" w:rsidRPr="00063811">
        <w:t xml:space="preserve"> data for investment decisions</w:t>
      </w:r>
      <w:r w:rsidRPr="00063811">
        <w:t>. Sustainability, 14(9), 5157. https://doi.org/10.3390/su14095157</w:t>
      </w:r>
    </w:p>
    <w:p w14:paraId="129796A4" w14:textId="5B1FA225" w:rsidR="00E648D3" w:rsidRPr="00063811" w:rsidRDefault="00E648D3" w:rsidP="008612B7">
      <w:pPr>
        <w:spacing w:line="480" w:lineRule="auto"/>
        <w:ind w:left="720" w:hanging="720"/>
      </w:pPr>
      <w:r w:rsidRPr="00063811">
        <w:t xml:space="preserve">Jordan, J., Massie, T., &amp; Bishop, D. (2023). </w:t>
      </w:r>
      <w:r w:rsidR="00FF2296" w:rsidRPr="00063811">
        <w:t>Letter to Michael R. Bloomberg and Mary L. Schapiro regarding potential antitrust violations by GFANZ and NZAM. U.S. house committee on the judiciary</w:t>
      </w:r>
      <w:r w:rsidRPr="00063811">
        <w:t>. https://judiciary.house.gov/sites/evo-subsites/republicans-judiciary.house.gov/files/evo-media-document/2023-07-06-jdj-tm-db-to-bloomberg-schapiro-gfanz.pdf</w:t>
      </w:r>
    </w:p>
    <w:p w14:paraId="5C7AC7AD" w14:textId="60B9DA6B" w:rsidR="00E648D3" w:rsidRPr="00063811" w:rsidRDefault="00E648D3" w:rsidP="008612B7">
      <w:pPr>
        <w:spacing w:line="480" w:lineRule="auto"/>
        <w:ind w:left="720" w:hanging="720"/>
      </w:pPr>
      <w:r w:rsidRPr="00063811">
        <w:t xml:space="preserve">Kanter, R. M. (1977). Men and </w:t>
      </w:r>
      <w:r w:rsidR="00FF2296" w:rsidRPr="00063811">
        <w:t>w</w:t>
      </w:r>
      <w:r w:rsidRPr="00063811">
        <w:t xml:space="preserve">omen of the </w:t>
      </w:r>
      <w:r w:rsidR="00FF2296" w:rsidRPr="00063811">
        <w:t>c</w:t>
      </w:r>
      <w:r w:rsidRPr="00063811">
        <w:t>orporation. Basic Books.</w:t>
      </w:r>
    </w:p>
    <w:p w14:paraId="6D4B173B" w14:textId="4CA6B0E4" w:rsidR="00E648D3" w:rsidRPr="00063811" w:rsidRDefault="00E648D3" w:rsidP="008612B7">
      <w:pPr>
        <w:spacing w:line="480" w:lineRule="auto"/>
        <w:ind w:left="720" w:hanging="720"/>
      </w:pPr>
      <w:proofErr w:type="spellStart"/>
      <w:r w:rsidRPr="00063811">
        <w:t>Katmon</w:t>
      </w:r>
      <w:proofErr w:type="spellEnd"/>
      <w:r w:rsidRPr="00063811">
        <w:t xml:space="preserve">, N., Mohamad, Z. Z., </w:t>
      </w:r>
      <w:proofErr w:type="spellStart"/>
      <w:r w:rsidRPr="00063811">
        <w:t>Norwani</w:t>
      </w:r>
      <w:proofErr w:type="spellEnd"/>
      <w:r w:rsidRPr="00063811">
        <w:t xml:space="preserve">, N. M., &amp; Farooque, O. A. (2019). </w:t>
      </w:r>
      <w:r w:rsidR="00FF2296" w:rsidRPr="00063811">
        <w:t>Comprehensive board diversity and quality of corporate social responsibility disclosure: evidence from an emerging market</w:t>
      </w:r>
      <w:r w:rsidRPr="00063811">
        <w:t>. Journal of Business Ethics, 157(2), 447–481. https://doi.org/10.1007/s10551-017-3672-6</w:t>
      </w:r>
    </w:p>
    <w:p w14:paraId="74C71509" w14:textId="50597603" w:rsidR="00E648D3" w:rsidRPr="00063811" w:rsidRDefault="00E648D3" w:rsidP="008612B7">
      <w:pPr>
        <w:spacing w:line="480" w:lineRule="auto"/>
        <w:ind w:left="720" w:hanging="720"/>
      </w:pPr>
      <w:r w:rsidRPr="00063811">
        <w:t xml:space="preserve">Khaled, R., Ali, H., &amp; Mohamed, E. K. A. (2021). </w:t>
      </w:r>
      <w:r w:rsidR="00FF2296" w:rsidRPr="00063811">
        <w:t>The sustainable development goals and corporate sustainability performance: mapping, extent and determinants</w:t>
      </w:r>
      <w:r w:rsidRPr="00063811">
        <w:t>. Journal of Cleaner Production, 311, 127599. https://doi.org/10.1016/j.jclepro.2021.127599</w:t>
      </w:r>
    </w:p>
    <w:p w14:paraId="147EFBF9" w14:textId="6A88AFFD" w:rsidR="00E648D3" w:rsidRPr="00063811" w:rsidRDefault="00E648D3" w:rsidP="008612B7">
      <w:pPr>
        <w:spacing w:line="480" w:lineRule="auto"/>
        <w:ind w:left="720" w:hanging="720"/>
      </w:pPr>
      <w:r w:rsidRPr="00063811">
        <w:t xml:space="preserve">Kim, S., &amp; Li, Z. (Frank). (2021). </w:t>
      </w:r>
      <w:r w:rsidR="00FF2296" w:rsidRPr="00063811">
        <w:t xml:space="preserve">Understanding the impact of </w:t>
      </w:r>
      <w:r w:rsidR="001B5F1B">
        <w:t>ESG</w:t>
      </w:r>
      <w:r w:rsidR="00FF2296" w:rsidRPr="00063811">
        <w:t xml:space="preserve"> practices in corporate finance.</w:t>
      </w:r>
      <w:r w:rsidRPr="00063811">
        <w:t xml:space="preserve"> Sustainability, 13(7), 3746. https://doi.org/10.3390/su13073746</w:t>
      </w:r>
    </w:p>
    <w:p w14:paraId="6695431E" w14:textId="3A56F9EC" w:rsidR="00E648D3" w:rsidRPr="00063811" w:rsidRDefault="00E648D3" w:rsidP="008612B7">
      <w:pPr>
        <w:spacing w:line="480" w:lineRule="auto"/>
        <w:ind w:left="720" w:hanging="720"/>
      </w:pPr>
      <w:r w:rsidRPr="00063811">
        <w:t xml:space="preserve">Konrad, A. M., Kramer, V., &amp; Erkut, S. (2008). </w:t>
      </w:r>
      <w:r w:rsidR="00FF2296" w:rsidRPr="00063811">
        <w:t>Critical mass: the impact of three or more women on corporate boards</w:t>
      </w:r>
      <w:r w:rsidRPr="00063811">
        <w:t>. Organizational Dynamics, 37(2), 145–164. https://doi.org/10.1016/j.orgdyn.2008.02.005</w:t>
      </w:r>
    </w:p>
    <w:p w14:paraId="073CB091" w14:textId="103887DB" w:rsidR="00E648D3" w:rsidRPr="00063811" w:rsidRDefault="00E648D3" w:rsidP="008612B7">
      <w:pPr>
        <w:spacing w:line="480" w:lineRule="auto"/>
        <w:ind w:left="720" w:hanging="720"/>
      </w:pPr>
      <w:r w:rsidRPr="00063811">
        <w:lastRenderedPageBreak/>
        <w:t xml:space="preserve">Lee, J. H., Choi, D., Choi, H., &amp; Han, S. H. (2024). </w:t>
      </w:r>
      <w:r w:rsidR="00FF2296" w:rsidRPr="00063811">
        <w:t xml:space="preserve">Corporate bond market reaction to the mandatory ESG disclosure act: is </w:t>
      </w:r>
      <w:proofErr w:type="spellStart"/>
      <w:r w:rsidR="00FF2296" w:rsidRPr="00063811">
        <w:t>sustainium</w:t>
      </w:r>
      <w:proofErr w:type="spellEnd"/>
      <w:r w:rsidR="00FF2296" w:rsidRPr="00063811">
        <w:t xml:space="preserve"> </w:t>
      </w:r>
      <w:proofErr w:type="gramStart"/>
      <w:r w:rsidR="00FF2296" w:rsidRPr="00063811">
        <w:t>sustainable</w:t>
      </w:r>
      <w:r w:rsidRPr="00063811">
        <w:t>?.</w:t>
      </w:r>
      <w:proofErr w:type="gramEnd"/>
      <w:r w:rsidRPr="00063811">
        <w:t xml:space="preserve"> Asia-Pacific Journal of Financial Studies, 53(5), 596–625. https://doi.org/10.1111/ajfs.12484</w:t>
      </w:r>
    </w:p>
    <w:p w14:paraId="3E4E55E9" w14:textId="77777777" w:rsidR="00E648D3" w:rsidRPr="00063811" w:rsidRDefault="00E648D3" w:rsidP="008612B7">
      <w:pPr>
        <w:spacing w:line="480" w:lineRule="auto"/>
        <w:ind w:left="720" w:hanging="720"/>
      </w:pPr>
      <w:r w:rsidRPr="00063811">
        <w:t>Legislative Services Agency. (2023). Fiscal Impact Statement for HB 1008. Legislative Services Agency, Office of Fiscal and Management Analysis. https://web.archive.org/web/20230214101631/https://d37sr56shkhro8.cloudfront.net/pdf-documents/123/2023/house/bills/HB1008/fiscal-notes/HB1008.02.COMH.FN001.pdf</w:t>
      </w:r>
    </w:p>
    <w:p w14:paraId="5E429E10" w14:textId="77777777" w:rsidR="00E648D3" w:rsidRPr="00063811" w:rsidRDefault="00E648D3" w:rsidP="008612B7">
      <w:pPr>
        <w:spacing w:line="480" w:lineRule="auto"/>
        <w:ind w:left="720" w:hanging="720"/>
      </w:pPr>
      <w:r w:rsidRPr="00063811">
        <w:t xml:space="preserve">Lestari, N. I. G., &amp; </w:t>
      </w:r>
      <w:proofErr w:type="spellStart"/>
      <w:r w:rsidRPr="00063811">
        <w:t>Adhariani</w:t>
      </w:r>
      <w:proofErr w:type="spellEnd"/>
      <w:r w:rsidRPr="00063811">
        <w:t>, D. (2022). Can intellectual capital contribute to financial and non‐financial performances during normal and crisis situations? Business Strategy &amp; Development, 5(4), 390–404. https://doi.org/10.1002/bsd2.206</w:t>
      </w:r>
    </w:p>
    <w:p w14:paraId="3CB6C486" w14:textId="595E53C1" w:rsidR="00E648D3" w:rsidRPr="00063811" w:rsidRDefault="00E648D3" w:rsidP="008612B7">
      <w:pPr>
        <w:spacing w:line="480" w:lineRule="auto"/>
        <w:ind w:left="720" w:hanging="720"/>
      </w:pPr>
      <w:r w:rsidRPr="00063811">
        <w:t xml:space="preserve">Lombardi, R., Cosentino, A., Sura, A., &amp; Galeotti, M. (2022). The impact of the EU </w:t>
      </w:r>
      <w:r w:rsidR="00FF2296" w:rsidRPr="00063811">
        <w:t>d</w:t>
      </w:r>
      <w:r w:rsidRPr="00063811">
        <w:t xml:space="preserve">irective on non-financial information: </w:t>
      </w:r>
      <w:r w:rsidR="00FF2296" w:rsidRPr="00063811">
        <w:t>n</w:t>
      </w:r>
      <w:r w:rsidRPr="00063811">
        <w:t xml:space="preserve">ovel features of the Italian case. </w:t>
      </w:r>
      <w:proofErr w:type="spellStart"/>
      <w:r w:rsidRPr="00063811">
        <w:t>Meditari</w:t>
      </w:r>
      <w:proofErr w:type="spellEnd"/>
      <w:r w:rsidRPr="00063811">
        <w:t xml:space="preserve"> Accountancy Research, 30(6), 1419–1448. https://doi.org/10.1108/MEDAR-06-2019-0507</w:t>
      </w:r>
    </w:p>
    <w:p w14:paraId="4A9E140F" w14:textId="21F26A0E" w:rsidR="00E648D3" w:rsidRPr="00063811" w:rsidRDefault="00E648D3" w:rsidP="008612B7">
      <w:pPr>
        <w:spacing w:line="480" w:lineRule="auto"/>
        <w:ind w:left="720" w:hanging="720"/>
      </w:pPr>
      <w:r w:rsidRPr="00063811">
        <w:t xml:space="preserve">Matuszak, Ł., &amp; Różańska, E. (2021). Towards 2014/95/EU directive compliance: </w:t>
      </w:r>
      <w:r w:rsidR="00FF2296" w:rsidRPr="00063811">
        <w:t>t</w:t>
      </w:r>
      <w:r w:rsidRPr="00063811">
        <w:t>he case of Poland. Sustainability Accounting, Management and Policy Journal, 12(5), 1052–1076. https://doi.org/10.1108/SAMPJ-02-2020-0042</w:t>
      </w:r>
    </w:p>
    <w:p w14:paraId="2D7452F3" w14:textId="77777777" w:rsidR="00E648D3" w:rsidRPr="00063811" w:rsidRDefault="00E648D3" w:rsidP="008612B7">
      <w:pPr>
        <w:spacing w:line="480" w:lineRule="auto"/>
        <w:ind w:left="720" w:hanging="720"/>
      </w:pPr>
      <w:proofErr w:type="spellStart"/>
      <w:r w:rsidRPr="00063811">
        <w:t>Mbanyele</w:t>
      </w:r>
      <w:proofErr w:type="spellEnd"/>
      <w:r w:rsidRPr="00063811">
        <w:t>, W., Huang, H., Li, Y., Muchenje, L. T., &amp; Wang, F. (2022). Corporate social responsibility and green innovation: Evidence from mandatory CSR disclosure laws. Economics Letters, 212, 110322. https://doi.org/10.1016/j.econlet.2022.110322</w:t>
      </w:r>
    </w:p>
    <w:p w14:paraId="629F0366" w14:textId="41AB067B" w:rsidR="00E648D3" w:rsidRPr="00063811" w:rsidRDefault="00E648D3" w:rsidP="008612B7">
      <w:pPr>
        <w:spacing w:line="480" w:lineRule="auto"/>
        <w:ind w:left="720" w:hanging="720"/>
      </w:pPr>
      <w:r w:rsidRPr="00063811">
        <w:t xml:space="preserve">Memon, M. A. (2024). Control </w:t>
      </w:r>
      <w:r w:rsidR="00FF2296" w:rsidRPr="00063811">
        <w:t>v</w:t>
      </w:r>
      <w:r w:rsidRPr="00063811">
        <w:t xml:space="preserve">ariables: </w:t>
      </w:r>
      <w:r w:rsidR="00FF2296" w:rsidRPr="00063811">
        <w:t>a</w:t>
      </w:r>
      <w:r w:rsidRPr="00063811">
        <w:t xml:space="preserve"> </w:t>
      </w:r>
      <w:r w:rsidR="00FF2296" w:rsidRPr="00063811">
        <w:t>r</w:t>
      </w:r>
      <w:r w:rsidRPr="00063811">
        <w:t xml:space="preserve">eview and </w:t>
      </w:r>
      <w:r w:rsidR="00FF2296" w:rsidRPr="00063811">
        <w:t>p</w:t>
      </w:r>
      <w:r w:rsidRPr="00063811">
        <w:t xml:space="preserve">roposed </w:t>
      </w:r>
      <w:r w:rsidR="00FF2296" w:rsidRPr="00063811">
        <w:t>g</w:t>
      </w:r>
      <w:r w:rsidRPr="00063811">
        <w:t>uidelines. Journal of Applied Structural Equation Modeling, 8(2), 1–14. https://doi.org/10.47263/JASEM.8(2)01</w:t>
      </w:r>
    </w:p>
    <w:p w14:paraId="09525911" w14:textId="00E2AFFD" w:rsidR="00E648D3" w:rsidRPr="00063811" w:rsidRDefault="00E648D3" w:rsidP="008612B7">
      <w:pPr>
        <w:spacing w:line="480" w:lineRule="auto"/>
        <w:ind w:left="720" w:hanging="720"/>
      </w:pPr>
      <w:proofErr w:type="spellStart"/>
      <w:r w:rsidRPr="00063811">
        <w:lastRenderedPageBreak/>
        <w:t>Mervelskemper</w:t>
      </w:r>
      <w:proofErr w:type="spellEnd"/>
      <w:r w:rsidRPr="00063811">
        <w:t xml:space="preserve">, L., &amp; Streit, D. (2017). </w:t>
      </w:r>
      <w:r w:rsidR="00FF2296" w:rsidRPr="00063811">
        <w:t xml:space="preserve">Enhancing market valuation of </w:t>
      </w:r>
      <w:r w:rsidR="001B5F1B">
        <w:t>ESG</w:t>
      </w:r>
      <w:r w:rsidR="00FF2296" w:rsidRPr="00063811">
        <w:t xml:space="preserve"> performance: is integrated reporting keeping its promise</w:t>
      </w:r>
      <w:r w:rsidRPr="00063811">
        <w:t>? Business Strategy and the Environment, 26(4), 536–549. https://doi.org/10.1002/bse.1935</w:t>
      </w:r>
    </w:p>
    <w:p w14:paraId="372FA211" w14:textId="1C802147" w:rsidR="00E648D3" w:rsidRPr="00063811" w:rsidRDefault="00E648D3" w:rsidP="008612B7">
      <w:pPr>
        <w:spacing w:line="480" w:lineRule="auto"/>
        <w:ind w:left="720" w:hanging="720"/>
      </w:pPr>
      <w:r w:rsidRPr="00063811">
        <w:t xml:space="preserve">Ministry of Ecology and Environment. (2021). </w:t>
      </w:r>
      <w:r w:rsidR="00FF2296" w:rsidRPr="00063811">
        <w:t>Management measures for disclosure of enterprise environmental information in accordance with the law</w:t>
      </w:r>
      <w:r w:rsidRPr="00063811">
        <w:t>. https://www.mee.gov.cn/xxgk2018/xxgk/xxgk02/202112/t20211221_964837.html?mc_cid=45e6a7ad33</w:t>
      </w:r>
    </w:p>
    <w:p w14:paraId="39692531" w14:textId="2DAAF9D7" w:rsidR="00E648D3" w:rsidRPr="00063811" w:rsidRDefault="00E648D3" w:rsidP="008612B7">
      <w:pPr>
        <w:spacing w:line="480" w:lineRule="auto"/>
        <w:ind w:left="720" w:hanging="720"/>
      </w:pPr>
      <w:r w:rsidRPr="00063811">
        <w:t xml:space="preserve">Miroshnychenko, I., </w:t>
      </w:r>
      <w:proofErr w:type="spellStart"/>
      <w:r w:rsidRPr="00063811">
        <w:t>Barontini</w:t>
      </w:r>
      <w:proofErr w:type="spellEnd"/>
      <w:r w:rsidRPr="00063811">
        <w:t>, R., &amp; Testa, F. (2017</w:t>
      </w:r>
      <w:r w:rsidR="00FF2296" w:rsidRPr="00063811">
        <w:t>). Green practices and financial performance: a global outlook</w:t>
      </w:r>
      <w:r w:rsidRPr="00063811">
        <w:t>. Journal of Cleaner Production, 147, 340–351. https://doi.org/10.1016/j.jclepro.2017.01.058</w:t>
      </w:r>
    </w:p>
    <w:p w14:paraId="11C4996D" w14:textId="4473BD0F" w:rsidR="00E648D3" w:rsidRPr="00063811" w:rsidRDefault="00E648D3" w:rsidP="008612B7">
      <w:pPr>
        <w:spacing w:line="480" w:lineRule="auto"/>
        <w:ind w:left="720" w:hanging="720"/>
      </w:pPr>
      <w:r w:rsidRPr="00063811">
        <w:t>Mittelstaedt, B. (2024</w:t>
      </w:r>
      <w:r w:rsidR="00FF2296" w:rsidRPr="00063811">
        <w:t>). Measuring the effectiveness of carbon pricing: the impact on corporate ESG performance and carbon emissions</w:t>
      </w:r>
      <w:r w:rsidRPr="00063811">
        <w:t>. https://digitalcommons.cwu.edu/etd/1941</w:t>
      </w:r>
    </w:p>
    <w:p w14:paraId="3E3EAF28" w14:textId="77777777" w:rsidR="00E648D3" w:rsidRPr="00063811" w:rsidRDefault="00E648D3" w:rsidP="008612B7">
      <w:pPr>
        <w:spacing w:line="480" w:lineRule="auto"/>
        <w:ind w:left="720" w:hanging="720"/>
      </w:pPr>
      <w:r w:rsidRPr="00063811">
        <w:t xml:space="preserve">Murphy, D., &amp; Mathew, D. (2001). Nike and global </w:t>
      </w:r>
      <w:proofErr w:type="spellStart"/>
      <w:r w:rsidRPr="00063811">
        <w:t>labour</w:t>
      </w:r>
      <w:proofErr w:type="spellEnd"/>
      <w:r w:rsidRPr="00063811">
        <w:t xml:space="preserve"> practices. New Academy of Business. http://insight.cumbria.ac.uk/id/eprint/5584/</w:t>
      </w:r>
    </w:p>
    <w:p w14:paraId="05D27317" w14:textId="77777777" w:rsidR="00E648D3" w:rsidRPr="00063811" w:rsidRDefault="00E648D3" w:rsidP="008612B7">
      <w:pPr>
        <w:spacing w:line="480" w:lineRule="auto"/>
        <w:ind w:left="720" w:hanging="720"/>
      </w:pPr>
      <w:r w:rsidRPr="00063811">
        <w:t xml:space="preserve">Naeem, N., </w:t>
      </w:r>
      <w:proofErr w:type="spellStart"/>
      <w:r w:rsidRPr="00063811">
        <w:t>Cankaya</w:t>
      </w:r>
      <w:proofErr w:type="spellEnd"/>
      <w:r w:rsidRPr="00063811">
        <w:t xml:space="preserve">, S., &amp; </w:t>
      </w:r>
      <w:proofErr w:type="spellStart"/>
      <w:r w:rsidRPr="00063811">
        <w:t>Bildik</w:t>
      </w:r>
      <w:proofErr w:type="spellEnd"/>
      <w:r w:rsidRPr="00063811">
        <w:t>, R. (2022). Does ESG performance affect the financial performance of environmentally sensitive industries? A comparison between emerging and developed markets. Borsa Istanbul Review, 22, S128–S140. https://doi.org/10.1016/j.bir.2022.11.014</w:t>
      </w:r>
    </w:p>
    <w:p w14:paraId="7595FFDC" w14:textId="77777777" w:rsidR="00E648D3" w:rsidRPr="00063811" w:rsidRDefault="00E648D3" w:rsidP="008612B7">
      <w:pPr>
        <w:spacing w:line="480" w:lineRule="auto"/>
        <w:ind w:left="720" w:hanging="720"/>
      </w:pPr>
      <w:r w:rsidRPr="00063811">
        <w:t>Niu, B. (2024). Government environmental protection expenditure and national ESG performance: Global evidence. Innovation and Green Development, 3(2), 100117. https://doi.org/10.1016/j.igd.2023.100117</w:t>
      </w:r>
    </w:p>
    <w:p w14:paraId="16859834" w14:textId="4ABF43D4" w:rsidR="00E648D3" w:rsidRPr="00063811" w:rsidRDefault="00E648D3" w:rsidP="008612B7">
      <w:pPr>
        <w:spacing w:line="480" w:lineRule="auto"/>
        <w:ind w:left="720" w:hanging="720"/>
      </w:pPr>
      <w:r w:rsidRPr="00063811">
        <w:t xml:space="preserve">Olson, M. (1965). </w:t>
      </w:r>
      <w:r w:rsidR="00FF2296" w:rsidRPr="00063811">
        <w:t>The logic of collective action: public goods and the theory of groups</w:t>
      </w:r>
      <w:r w:rsidRPr="00063811">
        <w:t>. Harvard University Press.</w:t>
      </w:r>
    </w:p>
    <w:p w14:paraId="1E2CD158" w14:textId="0A117560" w:rsidR="00E648D3" w:rsidRPr="00063811" w:rsidRDefault="00E648D3" w:rsidP="008612B7">
      <w:pPr>
        <w:spacing w:line="480" w:lineRule="auto"/>
        <w:ind w:left="720" w:hanging="720"/>
      </w:pPr>
      <w:proofErr w:type="spellStart"/>
      <w:r w:rsidRPr="00063811">
        <w:lastRenderedPageBreak/>
        <w:t>Ortas</w:t>
      </w:r>
      <w:proofErr w:type="spellEnd"/>
      <w:r w:rsidRPr="00063811">
        <w:t xml:space="preserve">, E., Álvarez, I., &amp; </w:t>
      </w:r>
      <w:proofErr w:type="spellStart"/>
      <w:r w:rsidRPr="00063811">
        <w:t>Garayar</w:t>
      </w:r>
      <w:proofErr w:type="spellEnd"/>
      <w:r w:rsidRPr="00063811">
        <w:t>, A. (2015). T</w:t>
      </w:r>
      <w:r w:rsidR="00FF2296" w:rsidRPr="00063811">
        <w:t>he environmental, social, governance, and financial performance effects on companies that adopt the United Nations Global Compact</w:t>
      </w:r>
      <w:r w:rsidRPr="00063811">
        <w:t>. Sustainability, 7(2), 1932–1956. https://doi.org/10.3390/su7021932</w:t>
      </w:r>
    </w:p>
    <w:p w14:paraId="3867D744" w14:textId="4EB10FAE" w:rsidR="00E648D3" w:rsidRPr="00063811" w:rsidRDefault="00E648D3" w:rsidP="008612B7">
      <w:pPr>
        <w:spacing w:line="480" w:lineRule="auto"/>
        <w:ind w:left="720" w:hanging="720"/>
      </w:pPr>
      <w:r w:rsidRPr="00063811">
        <w:t xml:space="preserve">Pearce, E. (1957). </w:t>
      </w:r>
      <w:r w:rsidR="00FF2296" w:rsidRPr="00063811">
        <w:t>History of the standard industrial classification</w:t>
      </w:r>
      <w:r w:rsidRPr="00063811">
        <w:t>. Office of Statistical Standards.</w:t>
      </w:r>
    </w:p>
    <w:p w14:paraId="02BA0B52" w14:textId="3CBF02EC" w:rsidR="00E648D3" w:rsidRPr="00063811" w:rsidRDefault="00E648D3" w:rsidP="008612B7">
      <w:pPr>
        <w:spacing w:line="480" w:lineRule="auto"/>
        <w:ind w:left="720" w:hanging="720"/>
      </w:pPr>
      <w:r w:rsidRPr="00063811">
        <w:t xml:space="preserve">Peng, P., &amp; Sun, M. (2024). Government subsidies and corporate environmental, social and governance performance: </w:t>
      </w:r>
      <w:r w:rsidR="00FF2296" w:rsidRPr="00063811">
        <w:t>e</w:t>
      </w:r>
      <w:r w:rsidRPr="00063811">
        <w:t>vidence from companies of China. International Studies of Economics, 19(3), 374–405. https://doi.org/10.1002/ise3.79</w:t>
      </w:r>
    </w:p>
    <w:p w14:paraId="3651046F" w14:textId="77777777" w:rsidR="00E648D3" w:rsidRPr="00063811" w:rsidRDefault="00E648D3" w:rsidP="008612B7">
      <w:pPr>
        <w:spacing w:line="480" w:lineRule="auto"/>
        <w:ind w:left="720" w:hanging="720"/>
      </w:pPr>
      <w:r w:rsidRPr="00063811">
        <w:t>Pension Investments, H.B. 1008, 123rd General Assembly, 1st Regular Session (2023). https://legiscan.com/in/text/hb1008/2023</w:t>
      </w:r>
    </w:p>
    <w:p w14:paraId="5D23E048" w14:textId="2C2D933E" w:rsidR="00E648D3" w:rsidRPr="00063811" w:rsidRDefault="00E648D3" w:rsidP="008612B7">
      <w:pPr>
        <w:spacing w:line="480" w:lineRule="auto"/>
        <w:ind w:left="720" w:hanging="720"/>
      </w:pPr>
      <w:r w:rsidRPr="00063811">
        <w:t xml:space="preserve">Phillips, R. L., &amp; Ormsby, R. (2016). Industry classification schemes: </w:t>
      </w:r>
      <w:r w:rsidR="00FF2296" w:rsidRPr="00063811">
        <w:t>a</w:t>
      </w:r>
      <w:r w:rsidRPr="00063811">
        <w:t>n analysis and review. Journal of Business &amp; Finance Librarianship, 21(1), 1–25. https://doi.org/10.1080/08963568.2015.1110229</w:t>
      </w:r>
    </w:p>
    <w:p w14:paraId="445FFF5A" w14:textId="492CD16C" w:rsidR="00E648D3" w:rsidRPr="00063811" w:rsidRDefault="00E648D3" w:rsidP="008612B7">
      <w:pPr>
        <w:spacing w:line="480" w:lineRule="auto"/>
        <w:ind w:left="720" w:hanging="720"/>
      </w:pPr>
      <w:r w:rsidRPr="00063811">
        <w:t xml:space="preserve">Post, C., &amp; Byron, K. (2015). </w:t>
      </w:r>
      <w:r w:rsidR="00FF2296" w:rsidRPr="00063811">
        <w:t>Women on boards and firm financial performance: a meta-analysis</w:t>
      </w:r>
      <w:r w:rsidRPr="00063811">
        <w:t>. Academy of Management Journal, 58(5), 1546–1571. https://doi.org/10.5465/amj.2013.0319</w:t>
      </w:r>
    </w:p>
    <w:p w14:paraId="31D3E754" w14:textId="77777777" w:rsidR="00E648D3" w:rsidRPr="00063811" w:rsidRDefault="00E648D3" w:rsidP="008612B7">
      <w:pPr>
        <w:spacing w:line="480" w:lineRule="auto"/>
        <w:ind w:left="720" w:hanging="720"/>
      </w:pPr>
      <w:r w:rsidRPr="00063811">
        <w:t xml:space="preserve">Prohibiting Banks or Businesses </w:t>
      </w:r>
      <w:proofErr w:type="gramStart"/>
      <w:r w:rsidRPr="00063811">
        <w:t>From</w:t>
      </w:r>
      <w:proofErr w:type="gramEnd"/>
      <w:r w:rsidRPr="00063811">
        <w:t xml:space="preserve"> Using Social Credit Scores, H.B. 1469, 2022 Regular Session (2022). https://legiscan.com/nh/text/hb1469/id/2462053</w:t>
      </w:r>
    </w:p>
    <w:p w14:paraId="295E4DDF" w14:textId="77777777" w:rsidR="00E648D3" w:rsidRPr="00063811" w:rsidRDefault="00E648D3" w:rsidP="008612B7">
      <w:pPr>
        <w:spacing w:line="480" w:lineRule="auto"/>
        <w:ind w:left="720" w:hanging="720"/>
      </w:pPr>
      <w:r w:rsidRPr="00063811">
        <w:t xml:space="preserve">Prohibition on Public Entities </w:t>
      </w:r>
      <w:proofErr w:type="gramStart"/>
      <w:r w:rsidRPr="00063811">
        <w:t>From</w:t>
      </w:r>
      <w:proofErr w:type="gramEnd"/>
      <w:r w:rsidRPr="00063811">
        <w:t xml:space="preserve"> Contracting </w:t>
      </w:r>
      <w:proofErr w:type="gramStart"/>
      <w:r w:rsidRPr="00063811">
        <w:t>With</w:t>
      </w:r>
      <w:proofErr w:type="gramEnd"/>
      <w:r w:rsidRPr="00063811">
        <w:t xml:space="preserve"> Companies That Boycott Energy, Fossil Fuel, Firearms, and Ammunition Industries Act, S.B. 62, 94th General Assembly, Regular Session (2023). https://legiscan.com/ar/text/sb62/2023</w:t>
      </w:r>
    </w:p>
    <w:p w14:paraId="21DE1B03" w14:textId="77777777" w:rsidR="00E648D3" w:rsidRPr="00063811" w:rsidRDefault="00E648D3" w:rsidP="008612B7">
      <w:pPr>
        <w:spacing w:line="480" w:lineRule="auto"/>
        <w:ind w:left="720" w:hanging="720"/>
      </w:pPr>
      <w:r w:rsidRPr="00063811">
        <w:t>Public Act 102-0297, S.B. 0653, 102nd General Assembly (2021). https://legiscan.com/il/text/sb0653/2021</w:t>
      </w:r>
    </w:p>
    <w:p w14:paraId="60BF0201" w14:textId="77777777" w:rsidR="00E648D3" w:rsidRPr="00063811" w:rsidRDefault="00E648D3" w:rsidP="008612B7">
      <w:pPr>
        <w:spacing w:line="480" w:lineRule="auto"/>
        <w:ind w:left="720" w:hanging="720"/>
      </w:pPr>
      <w:r w:rsidRPr="00063811">
        <w:lastRenderedPageBreak/>
        <w:t>Public Contract Requirements, S.B. 97, 2023 General Session (2023). https://legiscan.com/ut/text/sb0097/2023</w:t>
      </w:r>
    </w:p>
    <w:p w14:paraId="1ABCB7E2" w14:textId="77777777" w:rsidR="00E648D3" w:rsidRPr="00063811" w:rsidRDefault="00E648D3" w:rsidP="008612B7">
      <w:pPr>
        <w:spacing w:line="480" w:lineRule="auto"/>
        <w:ind w:left="720" w:hanging="720"/>
      </w:pPr>
      <w:r w:rsidRPr="00063811">
        <w:t>Public Employee Retirement Systems: Prohibited Investments: Turkey, S.B. 1089, Chapter 541 (2022). https://legiscan.com/ca/text/sb1089/id/2607909</w:t>
      </w:r>
    </w:p>
    <w:p w14:paraId="54E71292" w14:textId="77777777" w:rsidR="00E648D3" w:rsidRPr="00063811" w:rsidRDefault="00E648D3" w:rsidP="008612B7">
      <w:pPr>
        <w:spacing w:line="480" w:lineRule="auto"/>
        <w:ind w:left="720" w:hanging="720"/>
      </w:pPr>
      <w:r w:rsidRPr="00063811">
        <w:t>Public Retirement Systems Investment Authority Law, H.B. 481, 2024 Regular Session (2024). https://legiscan.com/ga/text/hb481/2023</w:t>
      </w:r>
    </w:p>
    <w:p w14:paraId="3FC05117" w14:textId="4DD203D0" w:rsidR="00E648D3" w:rsidRPr="00063811" w:rsidRDefault="00E648D3" w:rsidP="008612B7">
      <w:pPr>
        <w:spacing w:line="480" w:lineRule="auto"/>
        <w:ind w:left="720" w:hanging="720"/>
      </w:pPr>
      <w:r w:rsidRPr="00063811">
        <w:t xml:space="preserve">Radu, O. M., Dragomir, V. D., &amp; Hao, N. (2023). </w:t>
      </w:r>
      <w:r w:rsidR="00FF2296" w:rsidRPr="00063811">
        <w:t>Company-level factors of non-financial reporting quality under a mandatory regime: a systematic review of empirical evidence in the European union</w:t>
      </w:r>
      <w:r w:rsidRPr="00063811">
        <w:t>. Sustainability, 15(23), 16265. https://doi.org/10.3390/su152316265</w:t>
      </w:r>
    </w:p>
    <w:p w14:paraId="4FF3C854" w14:textId="77777777" w:rsidR="00E648D3" w:rsidRPr="00063811" w:rsidRDefault="00E648D3" w:rsidP="008612B7">
      <w:pPr>
        <w:spacing w:line="480" w:lineRule="auto"/>
        <w:ind w:left="720" w:hanging="720"/>
      </w:pPr>
      <w:r w:rsidRPr="00063811">
        <w:t xml:space="preserve">Rhode Island Secure Choice Retirement Savings Program Act, R.I. Gen. Laws </w:t>
      </w:r>
      <w:proofErr w:type="spellStart"/>
      <w:r w:rsidRPr="00063811">
        <w:t>ch.</w:t>
      </w:r>
      <w:proofErr w:type="spellEnd"/>
      <w:r w:rsidRPr="00063811">
        <w:t xml:space="preserve"> 35-23 (2024). https://legiscan.com/ri/text/s2045/2024</w:t>
      </w:r>
    </w:p>
    <w:p w14:paraId="56592AB6" w14:textId="04D8A955" w:rsidR="00E648D3" w:rsidRPr="00063811" w:rsidRDefault="00E648D3" w:rsidP="008612B7">
      <w:pPr>
        <w:spacing w:line="480" w:lineRule="auto"/>
        <w:ind w:left="720" w:hanging="720"/>
      </w:pPr>
      <w:r w:rsidRPr="00063811">
        <w:t xml:space="preserve">Romano, R. (1993). </w:t>
      </w:r>
      <w:r w:rsidR="00FF2296" w:rsidRPr="00063811">
        <w:t>Public pension fund activism in corporate governance reconsider</w:t>
      </w:r>
      <w:r w:rsidRPr="00063811">
        <w:t>ed. Columbia Law Review, 93, 795–827.</w:t>
      </w:r>
    </w:p>
    <w:p w14:paraId="35C86D0C" w14:textId="488B78DA" w:rsidR="00E648D3" w:rsidRPr="00063811" w:rsidRDefault="00E648D3" w:rsidP="008612B7">
      <w:pPr>
        <w:spacing w:line="480" w:lineRule="auto"/>
        <w:ind w:left="720" w:hanging="720"/>
      </w:pPr>
      <w:r w:rsidRPr="00063811">
        <w:t xml:space="preserve">Saxena, A., Singh, R., Gehlot, A., Akram, S. V., Twala, B., Singh, A., Montero, E. C., &amp; Priyadarshi, N. (2022). </w:t>
      </w:r>
      <w:r w:rsidR="00FF2296" w:rsidRPr="00063811">
        <w:t>Technologies empowered environmental, social, and governance</w:t>
      </w:r>
      <w:r w:rsidRPr="00063811">
        <w:t xml:space="preserve"> (ESG): An Industry 4.0 Landscape. Sustainability, 15(1), 309. https://doi.org/10.3390/su15010309</w:t>
      </w:r>
    </w:p>
    <w:p w14:paraId="650C3289" w14:textId="7B0CDEEB" w:rsidR="00E648D3" w:rsidRPr="00063811" w:rsidRDefault="00E648D3" w:rsidP="008612B7">
      <w:pPr>
        <w:spacing w:line="480" w:lineRule="auto"/>
        <w:ind w:left="720" w:hanging="720"/>
      </w:pPr>
      <w:r w:rsidRPr="00063811">
        <w:t xml:space="preserve">Schanberg, S. H. (1996, June). </w:t>
      </w:r>
      <w:r w:rsidR="00FF2296" w:rsidRPr="00063811">
        <w:t>Six cents an hour</w:t>
      </w:r>
      <w:r w:rsidRPr="00063811">
        <w:t>. Life Magazine, Volcano – It could happen sooner than you think.</w:t>
      </w:r>
    </w:p>
    <w:p w14:paraId="1FFB8F0F" w14:textId="77777777" w:rsidR="00E648D3" w:rsidRPr="00063811" w:rsidRDefault="00E648D3" w:rsidP="008612B7">
      <w:pPr>
        <w:spacing w:line="480" w:lineRule="auto"/>
        <w:ind w:left="720" w:hanging="720"/>
      </w:pPr>
      <w:r w:rsidRPr="00063811">
        <w:t>Senate Bill 16, S.B. 23-016, 74th General Assembly, Regular Session (2023). https://legiscan.com/co/text/sb016/2023</w:t>
      </w:r>
    </w:p>
    <w:p w14:paraId="10ABEB66" w14:textId="77777777" w:rsidR="00E648D3" w:rsidRPr="00063811" w:rsidRDefault="00E648D3" w:rsidP="008612B7">
      <w:pPr>
        <w:spacing w:line="480" w:lineRule="auto"/>
        <w:ind w:left="720" w:hanging="720"/>
      </w:pPr>
      <w:r w:rsidRPr="00063811">
        <w:t>Senate Bill 261, 2023-2024 Regular Session (2023). https://legiscan.com/ca/text/sb261/id/2670346</w:t>
      </w:r>
    </w:p>
    <w:p w14:paraId="2E725D55" w14:textId="77777777" w:rsidR="00E648D3" w:rsidRPr="00063811" w:rsidRDefault="00E648D3" w:rsidP="008612B7">
      <w:pPr>
        <w:spacing w:line="480" w:lineRule="auto"/>
        <w:ind w:left="720" w:hanging="720"/>
      </w:pPr>
      <w:r w:rsidRPr="00063811">
        <w:lastRenderedPageBreak/>
        <w:t>Senate Bill 833, 88th Legislature, Relating to consideration by insurers of certain prohibited criteria for ratemaking (2023). https://legiscan.com/tx/text/sb833/2023</w:t>
      </w:r>
    </w:p>
    <w:p w14:paraId="74733EF9" w14:textId="77777777" w:rsidR="00E648D3" w:rsidRPr="00063811" w:rsidRDefault="00E648D3" w:rsidP="008612B7">
      <w:pPr>
        <w:spacing w:line="480" w:lineRule="auto"/>
        <w:ind w:left="720" w:hanging="720"/>
      </w:pPr>
      <w:r w:rsidRPr="00063811">
        <w:t>Senate Bill No. 655, Chapter 390, Cal. Ins. Code §§ 926-927.3 (2021). https://legiscan.com/ca/text/sb655/id/2434862</w:t>
      </w:r>
    </w:p>
    <w:p w14:paraId="0443C009" w14:textId="2699ABA3" w:rsidR="00E648D3" w:rsidRPr="00063811" w:rsidRDefault="00E648D3" w:rsidP="008612B7">
      <w:pPr>
        <w:spacing w:line="480" w:lineRule="auto"/>
        <w:ind w:left="720" w:hanging="720"/>
      </w:pPr>
      <w:r w:rsidRPr="00063811">
        <w:t xml:space="preserve">Shakil, M. H. (2021). </w:t>
      </w:r>
      <w:r w:rsidR="00FF2296" w:rsidRPr="00063811">
        <w:t>Environmental, social and governance performance and financial risk: moderating role of ESG controversies and board gender diversity</w:t>
      </w:r>
      <w:r w:rsidRPr="00063811">
        <w:t>. Resources Policy, 72, 102144. https://doi.org/10.1016/j.resourpol.2021.102144</w:t>
      </w:r>
    </w:p>
    <w:p w14:paraId="362ACA33" w14:textId="28240780" w:rsidR="00E648D3" w:rsidRPr="00063811" w:rsidRDefault="00E648D3" w:rsidP="008612B7">
      <w:pPr>
        <w:spacing w:line="480" w:lineRule="auto"/>
        <w:ind w:left="720" w:hanging="720"/>
      </w:pPr>
      <w:r w:rsidRPr="00063811">
        <w:t xml:space="preserve">Sharma, V. D., &amp; Iselin, E. R. (2012). </w:t>
      </w:r>
      <w:r w:rsidR="00FF2296" w:rsidRPr="00063811">
        <w:t>The association between audit committee multiple-directorships, tenure, and financial misstatements.</w:t>
      </w:r>
      <w:r w:rsidRPr="00063811">
        <w:t xml:space="preserve"> AUDITING: A Journal of Practice &amp; Theory, 31(3), 149–175. https://doi.org/10.2308/ajpt-10290</w:t>
      </w:r>
    </w:p>
    <w:p w14:paraId="229BD175" w14:textId="77777777" w:rsidR="00E648D3" w:rsidRPr="00063811" w:rsidRDefault="00E648D3" w:rsidP="008612B7">
      <w:pPr>
        <w:spacing w:line="480" w:lineRule="auto"/>
        <w:ind w:left="720" w:hanging="720"/>
      </w:pPr>
      <w:r w:rsidRPr="00063811">
        <w:t>Shen, H., Lin, H., Han, W., &amp; Wu, H. (2023). ESG in China: A review of practice and research, and future research avenues. China Journal of Accounting Research, 16(4), 100325. https://doi.org/10.1016/j.cjar.2023.100325</w:t>
      </w:r>
    </w:p>
    <w:p w14:paraId="32823973" w14:textId="229B5D8E" w:rsidR="00D800F5" w:rsidRDefault="00D800F5">
      <w:pPr>
        <w:spacing w:line="480" w:lineRule="auto"/>
        <w:ind w:left="720" w:hanging="720"/>
      </w:pPr>
      <w:r w:rsidRPr="00D800F5">
        <w:t>Smith, A. (</w:t>
      </w:r>
      <w:r>
        <w:t>1776</w:t>
      </w:r>
      <w:r w:rsidRPr="00D800F5">
        <w:t xml:space="preserve">). Chapter I.: Of the Principle of the Commercial or Mercantile System. In </w:t>
      </w:r>
      <w:r w:rsidRPr="00D800F5">
        <w:rPr>
          <w:i/>
          <w:iCs/>
        </w:rPr>
        <w:t>Inquiry into the Nature &amp; Causes of the Wealth of Nations</w:t>
      </w:r>
      <w:r w:rsidRPr="00D800F5">
        <w:t xml:space="preserve"> (pp. 234–247). Project Gutenberg Literary Archive Foundation. </w:t>
      </w:r>
    </w:p>
    <w:p w14:paraId="1A42CC70" w14:textId="6B799627" w:rsidR="00E648D3" w:rsidRPr="00063811" w:rsidRDefault="00E648D3" w:rsidP="008612B7">
      <w:pPr>
        <w:spacing w:line="480" w:lineRule="auto"/>
        <w:ind w:left="720" w:hanging="720"/>
      </w:pPr>
      <w:proofErr w:type="spellStart"/>
      <w:r w:rsidRPr="00063811">
        <w:t>Solakoglu</w:t>
      </w:r>
      <w:proofErr w:type="spellEnd"/>
      <w:r w:rsidRPr="00063811">
        <w:t>, M. N., &amp; Demir, N. (2016). The role of firm characteristics on the relationship between gender diversity and firm performance. Management Decision, 54(6), 1407–1419. https://doi.org/10.1108/MD-02-2015-0075</w:t>
      </w:r>
    </w:p>
    <w:p w14:paraId="0FA9B517" w14:textId="77777777" w:rsidR="00E648D3" w:rsidRPr="00063811" w:rsidRDefault="00E648D3" w:rsidP="008612B7">
      <w:pPr>
        <w:spacing w:line="480" w:lineRule="auto"/>
        <w:ind w:left="720" w:hanging="720"/>
      </w:pPr>
      <w:r w:rsidRPr="00063811">
        <w:t>S&amp;P Global. (2024a). CSA 2024 sample questionnaire. S&amp;P Global. https://web.archive.org/web/20250306193812/https://portal.s1.spglobal.com/survey/documents/CSA_2024_Sample_Questionnaire_BNK.pdf</w:t>
      </w:r>
    </w:p>
    <w:p w14:paraId="7C94E302" w14:textId="77777777" w:rsidR="00E648D3" w:rsidRPr="00063811" w:rsidRDefault="00E648D3" w:rsidP="008612B7">
      <w:pPr>
        <w:spacing w:line="480" w:lineRule="auto"/>
        <w:ind w:left="720" w:hanging="720"/>
      </w:pPr>
      <w:r w:rsidRPr="00063811">
        <w:lastRenderedPageBreak/>
        <w:t>S&amp;P Global. (2024b). S&amp;P Global ESG Scores Methodology. S&amp;P Global. https://web.archive.org/web/20250306193904/https://portal.s1.spglobal.com/survey/documents/spglobal_esg_scores_methodology.pdf</w:t>
      </w:r>
    </w:p>
    <w:p w14:paraId="76D5B1A5" w14:textId="0B9B8647" w:rsidR="00E648D3" w:rsidRPr="00063811" w:rsidRDefault="00E648D3" w:rsidP="008612B7">
      <w:pPr>
        <w:spacing w:line="480" w:lineRule="auto"/>
        <w:ind w:left="720" w:hanging="720"/>
      </w:pPr>
      <w:r w:rsidRPr="00063811">
        <w:t xml:space="preserve">Spence, M. (1973). Job </w:t>
      </w:r>
      <w:r w:rsidR="00FF2296" w:rsidRPr="00063811">
        <w:t>m</w:t>
      </w:r>
      <w:r w:rsidRPr="00063811">
        <w:t xml:space="preserve">arket </w:t>
      </w:r>
      <w:r w:rsidR="00FF2296" w:rsidRPr="00063811">
        <w:t>s</w:t>
      </w:r>
      <w:r w:rsidRPr="00063811">
        <w:t>ignaling. The Quarterly Journal of Economics, 87(3), 355. https://doi.org/10.2307/1882010</w:t>
      </w:r>
    </w:p>
    <w:p w14:paraId="7F0CF2C2" w14:textId="631D7F21" w:rsidR="00E648D3" w:rsidRPr="00063811" w:rsidRDefault="00E648D3" w:rsidP="008612B7">
      <w:pPr>
        <w:spacing w:line="480" w:lineRule="auto"/>
        <w:ind w:left="720" w:hanging="720"/>
      </w:pPr>
      <w:r w:rsidRPr="00063811">
        <w:t xml:space="preserve">Spence, M. (2002). Signaling in </w:t>
      </w:r>
      <w:r w:rsidR="00FF2296" w:rsidRPr="00063811">
        <w:t>r</w:t>
      </w:r>
      <w:r w:rsidRPr="00063811">
        <w:t xml:space="preserve">etrospect and the </w:t>
      </w:r>
      <w:r w:rsidR="00FF2296" w:rsidRPr="00063811">
        <w:t>i</w:t>
      </w:r>
      <w:r w:rsidRPr="00063811">
        <w:t xml:space="preserve">nformational </w:t>
      </w:r>
      <w:r w:rsidR="00FF2296" w:rsidRPr="00063811">
        <w:t>s</w:t>
      </w:r>
      <w:r w:rsidRPr="00063811">
        <w:t xml:space="preserve">tructure of </w:t>
      </w:r>
      <w:r w:rsidR="00FF2296" w:rsidRPr="00063811">
        <w:t>m</w:t>
      </w:r>
      <w:r w:rsidRPr="00063811">
        <w:t>arkets. American Economic Review, 92(3), 434–459. https://doi.org/10.1257/00028280260136200</w:t>
      </w:r>
    </w:p>
    <w:p w14:paraId="2ECA0B5E" w14:textId="77777777" w:rsidR="00E648D3" w:rsidRPr="00063811" w:rsidRDefault="00E648D3" w:rsidP="008612B7">
      <w:pPr>
        <w:spacing w:line="480" w:lineRule="auto"/>
        <w:ind w:left="720" w:hanging="720"/>
      </w:pPr>
      <w:r w:rsidRPr="00063811">
        <w:t>State Government Employee Retirement Protection Act, H.B. 1253, 94th General Assembly, Regular Session (2023). https://legiscan.com/ar/text/hb1253/2023</w:t>
      </w:r>
    </w:p>
    <w:p w14:paraId="1822D79D" w14:textId="77777777" w:rsidR="00E648D3" w:rsidRPr="00063811" w:rsidRDefault="00E648D3" w:rsidP="008612B7">
      <w:pPr>
        <w:spacing w:line="480" w:lineRule="auto"/>
        <w:ind w:left="720" w:hanging="720"/>
      </w:pPr>
      <w:r w:rsidRPr="00063811">
        <w:t>State Retirement and Pension System - Investment Climate Risk - Fiduciary Duties, Md. Code Ann., State Pers. &amp; Pens. § 21-116.1 (2022). https://legiscan.com/md/text/hb740/2022</w:t>
      </w:r>
    </w:p>
    <w:p w14:paraId="0BB659EF" w14:textId="427D9C88" w:rsidR="00E648D3" w:rsidRPr="00063811" w:rsidRDefault="00E648D3" w:rsidP="008612B7">
      <w:pPr>
        <w:spacing w:line="480" w:lineRule="auto"/>
        <w:ind w:left="720" w:hanging="720"/>
      </w:pPr>
      <w:r w:rsidRPr="00063811">
        <w:t xml:space="preserve">Tang, O., Shi, X., &amp; Jiu, L. (2024). </w:t>
      </w:r>
      <w:r w:rsidR="009344E3" w:rsidRPr="00063811">
        <w:t>Value creation or political trick? An event study on anti-ESG regulations.</w:t>
      </w:r>
      <w:r w:rsidRPr="00063811">
        <w:t xml:space="preserve"> Finance Research Letters, 65, 105530. https://doi.org/10.1016/j.frl.2024.105530</w:t>
      </w:r>
    </w:p>
    <w:p w14:paraId="6DA4ECA1" w14:textId="77777777" w:rsidR="00E648D3" w:rsidRPr="00063811" w:rsidRDefault="00E648D3" w:rsidP="008612B7">
      <w:pPr>
        <w:spacing w:line="480" w:lineRule="auto"/>
        <w:ind w:left="720" w:hanging="720"/>
      </w:pPr>
      <w:r w:rsidRPr="00063811">
        <w:t>Tennessee Investment Act, Tenn. Pub. Ch. No. 471 (2023). https://legiscan.com/tn/text/hb1286/id/2817571</w:t>
      </w:r>
    </w:p>
    <w:p w14:paraId="6B16CF47" w14:textId="77777777" w:rsidR="00E648D3" w:rsidRPr="00063811" w:rsidRDefault="00E648D3" w:rsidP="008612B7">
      <w:pPr>
        <w:spacing w:line="480" w:lineRule="auto"/>
        <w:ind w:left="720" w:hanging="720"/>
      </w:pPr>
      <w:r w:rsidRPr="00063811">
        <w:t>Texas SB 13 (2021). https://legiscan.com/TX/bill/SB13/2021</w:t>
      </w:r>
    </w:p>
    <w:p w14:paraId="651ABB1F" w14:textId="62A8A290" w:rsidR="00E648D3" w:rsidRPr="00063811" w:rsidRDefault="00E648D3" w:rsidP="008612B7">
      <w:pPr>
        <w:spacing w:line="480" w:lineRule="auto"/>
        <w:ind w:left="720" w:hanging="720"/>
      </w:pPr>
      <w:r w:rsidRPr="00063811">
        <w:t xml:space="preserve">UN Environment </w:t>
      </w:r>
      <w:proofErr w:type="spellStart"/>
      <w:r w:rsidRPr="00063811">
        <w:t>Programme</w:t>
      </w:r>
      <w:proofErr w:type="spellEnd"/>
      <w:r w:rsidRPr="00063811">
        <w:t xml:space="preserve"> – Finance Initiative. (2004). </w:t>
      </w:r>
      <w:r w:rsidR="00725AE7" w:rsidRPr="00063811">
        <w:t>Who cares wins – the global compact connecting financial markets to a changing world</w:t>
      </w:r>
      <w:r w:rsidRPr="00063811">
        <w:t>. https://www.unepfi.org/fileadmin/events/2004/stocks/who_cares_wins_global_compact_2004.pdf</w:t>
      </w:r>
    </w:p>
    <w:p w14:paraId="4D89767E" w14:textId="04851687" w:rsidR="00E648D3" w:rsidRPr="00063811" w:rsidRDefault="00E648D3" w:rsidP="008612B7">
      <w:pPr>
        <w:spacing w:line="480" w:lineRule="auto"/>
        <w:ind w:left="720" w:hanging="720"/>
      </w:pPr>
      <w:r w:rsidRPr="00063811">
        <w:lastRenderedPageBreak/>
        <w:t xml:space="preserve">Venturelli, A., Fasan, M., &amp; Pizzi, S. (2022). Guest editorial Rethinking non-financial reporting in Europe: </w:t>
      </w:r>
      <w:r w:rsidR="00725AE7" w:rsidRPr="00063811">
        <w:t>c</w:t>
      </w:r>
      <w:r w:rsidRPr="00063811">
        <w:t>hallenges and opportunities in revising Directive 2014/95/EU. Journal of Applied Accounting Research, 23(1), 1–7. https://doi.org/10.1108/JAAR-02-2022-265</w:t>
      </w:r>
    </w:p>
    <w:p w14:paraId="2D939EA2" w14:textId="4D295DB2" w:rsidR="00E648D3" w:rsidRPr="00063811" w:rsidRDefault="00E648D3" w:rsidP="008612B7">
      <w:pPr>
        <w:spacing w:line="480" w:lineRule="auto"/>
        <w:ind w:left="720" w:hanging="720"/>
      </w:pPr>
      <w:r w:rsidRPr="00063811">
        <w:t xml:space="preserve">Wald, J. K. (1999). </w:t>
      </w:r>
      <w:r w:rsidR="00725AE7" w:rsidRPr="00063811">
        <w:t>How firm characteristics affect capital structure: an international comparison</w:t>
      </w:r>
      <w:r w:rsidRPr="00063811">
        <w:t>. Journal of Financial Research, 22(2), 161–187. https://doi.org/10.1111/j.1475-6803.1999.tb00721.x</w:t>
      </w:r>
    </w:p>
    <w:p w14:paraId="1339850C" w14:textId="692C9F06" w:rsidR="00E648D3" w:rsidRPr="00063811" w:rsidRDefault="00E648D3" w:rsidP="008612B7">
      <w:pPr>
        <w:spacing w:line="480" w:lineRule="auto"/>
        <w:ind w:left="720" w:hanging="720"/>
      </w:pPr>
      <w:r w:rsidRPr="00063811">
        <w:t xml:space="preserve">Wang, K. T., &amp; Li, D. (2016). </w:t>
      </w:r>
      <w:r w:rsidR="00725AE7" w:rsidRPr="00063811">
        <w:t xml:space="preserve">Market reactions to the first-time disclosure of corporate social responsibility reports: evidence from </w:t>
      </w:r>
      <w:proofErr w:type="spellStart"/>
      <w:r w:rsidR="00725AE7" w:rsidRPr="00063811">
        <w:t>china</w:t>
      </w:r>
      <w:proofErr w:type="spellEnd"/>
      <w:r w:rsidR="00725AE7" w:rsidRPr="00063811">
        <w:t>.</w:t>
      </w:r>
      <w:r w:rsidRPr="00063811">
        <w:t xml:space="preserve"> Journal of Business Ethics, 138(4), 661–682. https://doi.org/10.1007/s10551-015-2775-1</w:t>
      </w:r>
    </w:p>
    <w:p w14:paraId="20B1C8D2" w14:textId="1AF7A3A3" w:rsidR="00E648D3" w:rsidRPr="00063811" w:rsidRDefault="00E648D3" w:rsidP="008612B7">
      <w:pPr>
        <w:spacing w:line="480" w:lineRule="auto"/>
        <w:ind w:left="720" w:hanging="720"/>
      </w:pPr>
      <w:r w:rsidRPr="00063811">
        <w:t xml:space="preserve">Wang, L. (2024). </w:t>
      </w:r>
      <w:r w:rsidR="00725AE7" w:rsidRPr="00063811">
        <w:t xml:space="preserve">Challenges and opportunities of </w:t>
      </w:r>
      <w:r w:rsidR="001B5F1B">
        <w:t>ESG</w:t>
      </w:r>
      <w:r w:rsidR="00725AE7" w:rsidRPr="00063811">
        <w:t xml:space="preserve"> integration in financial operations</w:t>
      </w:r>
      <w:r w:rsidRPr="00063811">
        <w:t>. Modern Management Science &amp; Engineering, 6(1), p162. https://doi.org/10.22158/mmse.v6n1p162</w:t>
      </w:r>
    </w:p>
    <w:p w14:paraId="5F71E140" w14:textId="77777777" w:rsidR="00E648D3" w:rsidRPr="00063811" w:rsidRDefault="00E648D3" w:rsidP="008612B7">
      <w:pPr>
        <w:spacing w:line="480" w:lineRule="auto"/>
        <w:ind w:left="720" w:hanging="720"/>
      </w:pPr>
      <w:r w:rsidRPr="00063811">
        <w:t>West Virginia Investment Management Board and Board of Treasury Investments Shareholder Voting Requirements Act, W. Va. Code §§ 12-6-11a, 12-6C-13 (2023). https://legiscan.com/wv/text/hb2862/2023</w:t>
      </w:r>
    </w:p>
    <w:p w14:paraId="4D18DAEF" w14:textId="05C27855" w:rsidR="00725AE7" w:rsidRPr="00063811" w:rsidRDefault="00725AE7" w:rsidP="00E648D3">
      <w:pPr>
        <w:spacing w:line="480" w:lineRule="auto"/>
        <w:ind w:left="720" w:hanging="720"/>
      </w:pPr>
      <w:r w:rsidRPr="008612B7">
        <w:t>Williams, O. F.</w:t>
      </w:r>
      <w:r w:rsidRPr="00063811">
        <w:t xml:space="preserve"> (2007). The UN Global Compact: the challenge and the promise. In W. C. Zimmerli, M. Holzinger, &amp; K. Richter (Eds.), </w:t>
      </w:r>
      <w:r w:rsidRPr="008612B7">
        <w:t>Corporate ethics and corporate governance</w:t>
      </w:r>
      <w:r w:rsidRPr="00063811">
        <w:t xml:space="preserve"> (pp. 287–308). Springer. </w:t>
      </w:r>
      <w:r w:rsidRPr="008612B7">
        <w:t>https://doi.org/10.1007/978-3-540-70818-6_20</w:t>
      </w:r>
    </w:p>
    <w:p w14:paraId="2C49FA16" w14:textId="14E1D19A" w:rsidR="00E648D3" w:rsidRPr="00063811" w:rsidRDefault="00E648D3" w:rsidP="008612B7">
      <w:pPr>
        <w:spacing w:line="480" w:lineRule="auto"/>
        <w:ind w:left="720" w:hanging="720"/>
      </w:pPr>
      <w:r w:rsidRPr="00063811">
        <w:t xml:space="preserve">World Commission on Environment and Development. (1987). </w:t>
      </w:r>
      <w:r w:rsidR="00725AE7" w:rsidRPr="00063811">
        <w:t>Our common future: report of the world commission on environment and developmen</w:t>
      </w:r>
      <w:r w:rsidRPr="00063811">
        <w:t>t.</w:t>
      </w:r>
    </w:p>
    <w:p w14:paraId="2D0BE2ED" w14:textId="236DDDF4" w:rsidR="00E648D3" w:rsidRPr="00063811" w:rsidRDefault="00E648D3" w:rsidP="008612B7">
      <w:pPr>
        <w:spacing w:line="480" w:lineRule="auto"/>
        <w:ind w:left="720" w:hanging="720"/>
      </w:pPr>
      <w:r w:rsidRPr="00063811">
        <w:t xml:space="preserve">Wu, L., Liu, S., Qi, L., &amp; Lin, D. (2025). </w:t>
      </w:r>
      <w:r w:rsidR="00725AE7" w:rsidRPr="00063811">
        <w:t>Mandatory disclosure and corporate ESG performance: evidence from China’s “explanation for nondisclosure” requirement</w:t>
      </w:r>
      <w:r w:rsidRPr="00063811">
        <w:t xml:space="preserve">. Corporate Social </w:t>
      </w:r>
      <w:r w:rsidRPr="00063811">
        <w:lastRenderedPageBreak/>
        <w:t>Responsibility and Environmental Management, 32(1), 176–191. https://doi.org/10.1002/csr.2944</w:t>
      </w:r>
    </w:p>
    <w:p w14:paraId="3C0D7C22" w14:textId="7137A685" w:rsidR="00E648D3" w:rsidRPr="00063811" w:rsidRDefault="00E648D3" w:rsidP="008612B7">
      <w:pPr>
        <w:spacing w:line="480" w:lineRule="auto"/>
        <w:ind w:left="720" w:hanging="720"/>
      </w:pPr>
      <w:r w:rsidRPr="00063811">
        <w:t xml:space="preserve">Wu, S., Li, X., Du, X., &amp; Li, Z. (2022). </w:t>
      </w:r>
      <w:r w:rsidR="00725AE7" w:rsidRPr="00063811">
        <w:t xml:space="preserve">The impact of </w:t>
      </w:r>
      <w:r w:rsidR="001B5F1B">
        <w:t>ESG</w:t>
      </w:r>
      <w:r w:rsidR="00725AE7" w:rsidRPr="00063811">
        <w:t xml:space="preserve"> performance on firm value: the moderating role of ownership structure</w:t>
      </w:r>
      <w:r w:rsidRPr="00063811">
        <w:t>. Sustainability, 14(21), 14507. https://doi.org/10.3390/su142114507</w:t>
      </w:r>
    </w:p>
    <w:p w14:paraId="6C5FFC9D" w14:textId="35BBD08E" w:rsidR="00E648D3" w:rsidRPr="00063811" w:rsidRDefault="00E648D3" w:rsidP="008612B7">
      <w:pPr>
        <w:spacing w:line="480" w:lineRule="auto"/>
        <w:ind w:left="720" w:hanging="720"/>
      </w:pPr>
      <w:r w:rsidRPr="00063811">
        <w:t xml:space="preserve">Xiaomei, Z., Rashdan Sallehuddin, M., Mohd Saad, R., &amp; Lu, Z. (2021). </w:t>
      </w:r>
      <w:r w:rsidR="00725AE7" w:rsidRPr="00063811">
        <w:t xml:space="preserve">Gender diversity, political connections and environmental, social and governance performance in </w:t>
      </w:r>
      <w:proofErr w:type="spellStart"/>
      <w:r w:rsidR="00725AE7" w:rsidRPr="00063811">
        <w:t>china</w:t>
      </w:r>
      <w:proofErr w:type="spellEnd"/>
      <w:r w:rsidR="00725AE7" w:rsidRPr="00063811">
        <w:t>: the moderating role of tenure</w:t>
      </w:r>
      <w:r w:rsidRPr="00063811">
        <w:t>. Studies of Applied Economics, 39(10). https://doi.org/10.25115/eea.v39i10.5962</w:t>
      </w:r>
    </w:p>
    <w:p w14:paraId="396B1230" w14:textId="6F91BA07" w:rsidR="00E648D3" w:rsidRPr="00063811" w:rsidRDefault="00E648D3" w:rsidP="008612B7">
      <w:pPr>
        <w:spacing w:line="480" w:lineRule="auto"/>
        <w:ind w:left="720" w:hanging="720"/>
      </w:pPr>
      <w:r w:rsidRPr="00063811">
        <w:t xml:space="preserve">Xie, J., Nozawa, W., Yagi, M., Fujii, H., &amp; Managi, S. (2019). </w:t>
      </w:r>
      <w:r w:rsidR="00725AE7" w:rsidRPr="00063811">
        <w:t>Do environmental, social, and governance activities improve corporate financial performance</w:t>
      </w:r>
      <w:r w:rsidRPr="00063811">
        <w:t>? Business Strategy and the Environment, 28(2), 286–300. https://doi.org/10.1002/bse.2224</w:t>
      </w:r>
    </w:p>
    <w:p w14:paraId="5BA59EB7" w14:textId="77777777" w:rsidR="00E648D3" w:rsidRPr="00063811" w:rsidRDefault="00E648D3" w:rsidP="008612B7">
      <w:pPr>
        <w:spacing w:line="480" w:lineRule="auto"/>
        <w:ind w:left="720" w:hanging="720"/>
      </w:pPr>
      <w:proofErr w:type="spellStart"/>
      <w:r w:rsidRPr="00063811">
        <w:t>Yarram</w:t>
      </w:r>
      <w:proofErr w:type="spellEnd"/>
      <w:r w:rsidRPr="00063811">
        <w:t>, S. R., &amp; Adapa, S. (2021). Board gender diversity and corporate social responsibility: Is there a case for critical mass? Journal of Cleaner Production, 278, 123319. https://doi.org/10.1016/j.jclepro.2020.123319</w:t>
      </w:r>
    </w:p>
    <w:p w14:paraId="7BC6C62B" w14:textId="63F759F7" w:rsidR="00E648D3" w:rsidRPr="00063811" w:rsidRDefault="00E648D3" w:rsidP="008612B7">
      <w:pPr>
        <w:spacing w:line="480" w:lineRule="auto"/>
        <w:ind w:left="720" w:hanging="720"/>
      </w:pPr>
      <w:r w:rsidRPr="00063811">
        <w:t xml:space="preserve">Zadek, S. (2007). </w:t>
      </w:r>
      <w:r w:rsidR="00725AE7" w:rsidRPr="00063811">
        <w:t>The path to corporate responsibility</w:t>
      </w:r>
      <w:r w:rsidRPr="00063811">
        <w:t>. In W. C. Zimmerli, M. Holzinger, &amp; K. Richter (Eds.), Corporate Ethics and Corporate Governance (pp. 159–172). Springer Berlin Heidelberg. https://doi.org/10.1007/978-3-540-70818-6_13</w:t>
      </w:r>
    </w:p>
    <w:p w14:paraId="13AD4AD9" w14:textId="77777777" w:rsidR="00E648D3" w:rsidRPr="00063811" w:rsidRDefault="00E648D3" w:rsidP="008612B7">
      <w:pPr>
        <w:spacing w:line="480" w:lineRule="auto"/>
        <w:ind w:left="720" w:hanging="720"/>
      </w:pPr>
      <w:r w:rsidRPr="00063811">
        <w:t>Zhang, W., Luo, Q., &amp; Liu, S. (2022). Is government regulation a push for corporate environmental performance? Evidence from China. Economic Analysis and Policy, 74, 105–121. https://doi.org/10.1016/j.eap.2022.01.018</w:t>
      </w:r>
    </w:p>
    <w:p w14:paraId="0CFEB366" w14:textId="362E8E3E" w:rsidR="00A7695F" w:rsidRPr="00063811" w:rsidRDefault="00A7695F" w:rsidP="00A7695F">
      <w:pPr>
        <w:spacing w:line="480" w:lineRule="auto"/>
      </w:pPr>
    </w:p>
    <w:p w14:paraId="578FABEA" w14:textId="77777777" w:rsidR="00A7695F" w:rsidRPr="00063811" w:rsidRDefault="00A7695F">
      <w:pPr>
        <w:spacing w:after="160" w:line="278" w:lineRule="auto"/>
      </w:pPr>
      <w:r w:rsidRPr="00063811">
        <w:br w:type="page"/>
      </w:r>
    </w:p>
    <w:p w14:paraId="413397E6" w14:textId="0016EAA6" w:rsidR="006760A7" w:rsidRPr="00063811" w:rsidRDefault="006760A7" w:rsidP="006760A7">
      <w:pPr>
        <w:spacing w:line="480" w:lineRule="auto"/>
        <w:jc w:val="center"/>
      </w:pPr>
      <w:r w:rsidRPr="00063811">
        <w:lastRenderedPageBreak/>
        <w:t>CHAPTER VII</w:t>
      </w:r>
    </w:p>
    <w:p w14:paraId="2309DF1C" w14:textId="039427D4" w:rsidR="006760A7" w:rsidRPr="00063811" w:rsidRDefault="006760A7" w:rsidP="006760A7">
      <w:pPr>
        <w:pStyle w:val="Heading1"/>
      </w:pPr>
      <w:bookmarkStart w:id="39" w:name="_Toc193977955"/>
      <w:r w:rsidRPr="00063811">
        <w:t>APPENDICIES</w:t>
      </w:r>
      <w:bookmarkEnd w:id="39"/>
    </w:p>
    <w:p w14:paraId="27AD26EA" w14:textId="70E394B7" w:rsidR="00824228" w:rsidRPr="00063811" w:rsidRDefault="005974CD" w:rsidP="008612B7">
      <w:pPr>
        <w:pStyle w:val="Heading2"/>
      </w:pPr>
      <w:bookmarkStart w:id="40" w:name="_Toc193977956"/>
      <w:r w:rsidRPr="00063811">
        <w:t>A</w:t>
      </w:r>
      <w:r w:rsidR="006760A7" w:rsidRPr="00063811">
        <w:t>ppendix</w:t>
      </w:r>
      <w:r w:rsidRPr="00063811">
        <w:t xml:space="preserve"> A</w:t>
      </w:r>
      <w:bookmarkEnd w:id="40"/>
    </w:p>
    <w:p w14:paraId="28AF13DD" w14:textId="7DDD172E" w:rsidR="005E06BC" w:rsidRPr="008612B7" w:rsidRDefault="00DA6744" w:rsidP="008612B7">
      <w:pPr>
        <w:pStyle w:val="Heading3"/>
      </w:pPr>
      <w:r w:rsidRPr="008612B7">
        <w:t>Ballotpedia-</w:t>
      </w:r>
      <w:proofErr w:type="spellStart"/>
      <w:r w:rsidRPr="008612B7">
        <w:t>Legiscan</w:t>
      </w:r>
      <w:proofErr w:type="spellEnd"/>
      <w:r w:rsidRPr="008612B7">
        <w:t xml:space="preserve"> ESG Legislation</w:t>
      </w:r>
    </w:p>
    <w:p w14:paraId="7F60BAC2" w14:textId="7DF8F6A5" w:rsidR="00D36CE9" w:rsidRPr="00063811" w:rsidRDefault="00824228" w:rsidP="00F256FD">
      <w:pPr>
        <w:spacing w:line="480" w:lineRule="auto"/>
      </w:pPr>
      <w:r w:rsidRPr="00063811">
        <w:tab/>
      </w:r>
      <w:r w:rsidR="00BA3AF3" w:rsidRPr="00063811">
        <w:t xml:space="preserve">This appendix provides a comprehensive catalog of state-level </w:t>
      </w:r>
      <w:r w:rsidR="005974CD" w:rsidRPr="00063811">
        <w:t>ESG</w:t>
      </w:r>
      <w:r w:rsidR="00BA3AF3" w:rsidRPr="00063811">
        <w:t xml:space="preserve"> legislation enacted between 2020 and 2024 in the United States. The data were systematically compiled from two authoritative sources: </w:t>
      </w:r>
      <w:proofErr w:type="spellStart"/>
      <w:r w:rsidR="00BA3AF3" w:rsidRPr="00063811">
        <w:t>LegiScan</w:t>
      </w:r>
      <w:proofErr w:type="spellEnd"/>
      <w:r w:rsidR="00BA3AF3" w:rsidRPr="00063811">
        <w:t xml:space="preserve"> and Ballotpedia's ESG Tracker. Ballotpedia's ESG Tracker served as the primary identification mechanism for relevant legislation, while </w:t>
      </w:r>
      <w:proofErr w:type="spellStart"/>
      <w:r w:rsidR="00BA3AF3" w:rsidRPr="00063811">
        <w:t>LegiScan</w:t>
      </w:r>
      <w:proofErr w:type="spellEnd"/>
      <w:r w:rsidR="00BA3AF3" w:rsidRPr="00063811">
        <w:t xml:space="preserve"> provided access to the complete legislative texts for detailed analysis. </w:t>
      </w:r>
    </w:p>
    <w:p w14:paraId="7E9E1DE8" w14:textId="65CD2F08" w:rsidR="005E06BC" w:rsidRPr="008612B7" w:rsidRDefault="005E06BC" w:rsidP="00F256FD">
      <w:pPr>
        <w:rPr>
          <w:b/>
          <w:bCs/>
          <w:i/>
          <w:iCs/>
          <w:sz w:val="20"/>
          <w:szCs w:val="20"/>
        </w:rPr>
      </w:pPr>
      <w:r w:rsidRPr="008612B7">
        <w:rPr>
          <w:b/>
          <w:bCs/>
          <w:sz w:val="20"/>
          <w:szCs w:val="20"/>
        </w:rPr>
        <w:t>Table A1.</w:t>
      </w:r>
      <w:r w:rsidR="00417867">
        <w:rPr>
          <w:i/>
          <w:iCs/>
          <w:sz w:val="20"/>
          <w:szCs w:val="20"/>
        </w:rPr>
        <w:t xml:space="preserve"> </w:t>
      </w:r>
      <w:r w:rsidRPr="008612B7">
        <w:rPr>
          <w:b/>
          <w:bCs/>
          <w:i/>
          <w:iCs/>
          <w:sz w:val="20"/>
          <w:szCs w:val="20"/>
        </w:rPr>
        <w:t>Ballotpedia/</w:t>
      </w:r>
      <w:proofErr w:type="spellStart"/>
      <w:r w:rsidRPr="008612B7">
        <w:rPr>
          <w:b/>
          <w:bCs/>
          <w:i/>
          <w:iCs/>
          <w:sz w:val="20"/>
          <w:szCs w:val="20"/>
        </w:rPr>
        <w:t>Legiscan</w:t>
      </w:r>
      <w:proofErr w:type="spellEnd"/>
      <w:r w:rsidRPr="008612B7">
        <w:rPr>
          <w:b/>
          <w:bCs/>
          <w:i/>
          <w:iCs/>
          <w:sz w:val="20"/>
          <w:szCs w:val="20"/>
        </w:rPr>
        <w:t xml:space="preserve"> ESG Legislation</w:t>
      </w:r>
    </w:p>
    <w:tbl>
      <w:tblPr>
        <w:tblStyle w:val="PlainTable3"/>
        <w:tblW w:w="9000" w:type="dxa"/>
        <w:tblLook w:val="04A0" w:firstRow="1" w:lastRow="0" w:firstColumn="1" w:lastColumn="0" w:noHBand="0" w:noVBand="1"/>
      </w:tblPr>
      <w:tblGrid>
        <w:gridCol w:w="1580"/>
        <w:gridCol w:w="1160"/>
        <w:gridCol w:w="1160"/>
        <w:gridCol w:w="780"/>
        <w:gridCol w:w="4320"/>
      </w:tblGrid>
      <w:tr w:rsidR="00BA3AF3" w:rsidRPr="00063811" w14:paraId="177BE36A" w14:textId="77777777" w:rsidTr="00BA3AF3">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1580" w:type="dxa"/>
            <w:tcBorders>
              <w:top w:val="single" w:sz="4" w:space="0" w:color="auto"/>
              <w:left w:val="single" w:sz="4" w:space="0" w:color="auto"/>
            </w:tcBorders>
            <w:noWrap/>
            <w:vAlign w:val="center"/>
            <w:hideMark/>
          </w:tcPr>
          <w:p w14:paraId="6A7D91B7" w14:textId="77777777" w:rsidR="00BA3AF3" w:rsidRPr="008612B7" w:rsidRDefault="00BA3AF3" w:rsidP="00F256FD">
            <w:pPr>
              <w:rPr>
                <w:color w:val="000000"/>
                <w:sz w:val="20"/>
                <w:szCs w:val="20"/>
              </w:rPr>
            </w:pPr>
            <w:r w:rsidRPr="008612B7">
              <w:rPr>
                <w:color w:val="000000"/>
                <w:sz w:val="20"/>
                <w:szCs w:val="20"/>
              </w:rPr>
              <w:t xml:space="preserve">State </w:t>
            </w:r>
          </w:p>
        </w:tc>
        <w:tc>
          <w:tcPr>
            <w:tcW w:w="1160" w:type="dxa"/>
            <w:tcBorders>
              <w:top w:val="single" w:sz="4" w:space="0" w:color="auto"/>
            </w:tcBorders>
            <w:noWrap/>
            <w:vAlign w:val="center"/>
            <w:hideMark/>
          </w:tcPr>
          <w:p w14:paraId="6E4BFB09" w14:textId="77777777" w:rsidR="00BA3AF3" w:rsidRPr="008612B7" w:rsidRDefault="00BA3AF3" w:rsidP="00F256FD">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 Bill </w:t>
            </w:r>
          </w:p>
        </w:tc>
        <w:tc>
          <w:tcPr>
            <w:tcW w:w="1160" w:type="dxa"/>
            <w:tcBorders>
              <w:top w:val="single" w:sz="4" w:space="0" w:color="auto"/>
            </w:tcBorders>
            <w:noWrap/>
            <w:vAlign w:val="center"/>
            <w:hideMark/>
          </w:tcPr>
          <w:p w14:paraId="73EA7523" w14:textId="77777777" w:rsidR="00BA3AF3" w:rsidRPr="008612B7" w:rsidRDefault="00BA3AF3" w:rsidP="00F256FD">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 Year </w:t>
            </w:r>
          </w:p>
        </w:tc>
        <w:tc>
          <w:tcPr>
            <w:tcW w:w="780" w:type="dxa"/>
            <w:tcBorders>
              <w:top w:val="single" w:sz="4" w:space="0" w:color="auto"/>
            </w:tcBorders>
            <w:noWrap/>
            <w:vAlign w:val="center"/>
            <w:hideMark/>
          </w:tcPr>
          <w:p w14:paraId="049CBD13" w14:textId="77777777" w:rsidR="00BA3AF3" w:rsidRPr="008612B7" w:rsidRDefault="00BA3AF3" w:rsidP="00F256FD">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 Type </w:t>
            </w:r>
          </w:p>
        </w:tc>
        <w:tc>
          <w:tcPr>
            <w:tcW w:w="4320" w:type="dxa"/>
            <w:tcBorders>
              <w:top w:val="single" w:sz="4" w:space="0" w:color="auto"/>
              <w:right w:val="single" w:sz="4" w:space="0" w:color="auto"/>
            </w:tcBorders>
            <w:noWrap/>
            <w:vAlign w:val="center"/>
            <w:hideMark/>
          </w:tcPr>
          <w:p w14:paraId="0C0E3109" w14:textId="77777777" w:rsidR="00BA3AF3" w:rsidRPr="008612B7" w:rsidRDefault="00BA3AF3" w:rsidP="00F256FD">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 Key Provisions </w:t>
            </w:r>
          </w:p>
        </w:tc>
      </w:tr>
      <w:tr w:rsidR="00BA3AF3" w:rsidRPr="00063811" w14:paraId="5FCCB9B6"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06D01561" w14:textId="49B12ADD" w:rsidR="00BA3AF3" w:rsidRPr="008612B7" w:rsidRDefault="00BA3AF3" w:rsidP="00F256FD">
            <w:pPr>
              <w:rPr>
                <w:b w:val="0"/>
                <w:bCs w:val="0"/>
                <w:color w:val="000000"/>
                <w:sz w:val="20"/>
                <w:szCs w:val="20"/>
              </w:rPr>
            </w:pPr>
            <w:r w:rsidRPr="008612B7">
              <w:rPr>
                <w:b w:val="0"/>
                <w:bCs w:val="0"/>
                <w:color w:val="000000"/>
                <w:sz w:val="20"/>
                <w:szCs w:val="20"/>
              </w:rPr>
              <w:t xml:space="preserve">Alabama </w:t>
            </w:r>
          </w:p>
        </w:tc>
        <w:tc>
          <w:tcPr>
            <w:tcW w:w="1160" w:type="dxa"/>
            <w:noWrap/>
            <w:vAlign w:val="center"/>
            <w:hideMark/>
          </w:tcPr>
          <w:p w14:paraId="77D0E2BB" w14:textId="362EAF9C"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SB261</w:t>
            </w:r>
          </w:p>
        </w:tc>
        <w:tc>
          <w:tcPr>
            <w:tcW w:w="1160" w:type="dxa"/>
            <w:noWrap/>
            <w:vAlign w:val="center"/>
            <w:hideMark/>
          </w:tcPr>
          <w:p w14:paraId="23971E7D" w14:textId="6AAEAD09"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7779734E" w14:textId="5A4DB5F1"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094965A2" w14:textId="16C96C35"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Prohibits state entities from contracting with companies that boycott fossil fuel, timber, mining, agriculture, or firearms industries </w:t>
            </w:r>
          </w:p>
        </w:tc>
      </w:tr>
      <w:tr w:rsidR="00BA3AF3" w:rsidRPr="00063811" w14:paraId="1438211C"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4BFD6E5B" w14:textId="26BD5D4D" w:rsidR="00BA3AF3" w:rsidRPr="008612B7" w:rsidRDefault="00BA3AF3" w:rsidP="00F256FD">
            <w:pPr>
              <w:rPr>
                <w:b w:val="0"/>
                <w:bCs w:val="0"/>
                <w:color w:val="000000"/>
                <w:sz w:val="20"/>
                <w:szCs w:val="20"/>
              </w:rPr>
            </w:pPr>
            <w:r w:rsidRPr="008612B7">
              <w:rPr>
                <w:b w:val="0"/>
                <w:bCs w:val="0"/>
                <w:color w:val="000000"/>
                <w:sz w:val="20"/>
                <w:szCs w:val="20"/>
              </w:rPr>
              <w:t xml:space="preserve">Alabama </w:t>
            </w:r>
          </w:p>
        </w:tc>
        <w:tc>
          <w:tcPr>
            <w:tcW w:w="1160" w:type="dxa"/>
            <w:noWrap/>
            <w:vAlign w:val="center"/>
            <w:hideMark/>
          </w:tcPr>
          <w:p w14:paraId="547F80D5" w14:textId="3B84A489"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SB129</w:t>
            </w:r>
          </w:p>
        </w:tc>
        <w:tc>
          <w:tcPr>
            <w:tcW w:w="1160" w:type="dxa"/>
            <w:noWrap/>
            <w:vAlign w:val="center"/>
            <w:hideMark/>
          </w:tcPr>
          <w:p w14:paraId="3A7E5B2C" w14:textId="6F8FAB95"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1C7C8120" w14:textId="70D2B3E3"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6F726FCE" w14:textId="452AD20F"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Prohibits public institutions from maintaining DEI offices and promoting "divisive concepts" </w:t>
            </w:r>
          </w:p>
        </w:tc>
      </w:tr>
      <w:tr w:rsidR="00BA3AF3" w:rsidRPr="00063811" w14:paraId="653EAB38"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485AD89B" w14:textId="44B9CB69" w:rsidR="00BA3AF3" w:rsidRPr="008612B7" w:rsidRDefault="00BA3AF3" w:rsidP="00F256FD">
            <w:pPr>
              <w:rPr>
                <w:b w:val="0"/>
                <w:bCs w:val="0"/>
                <w:color w:val="000000"/>
                <w:sz w:val="20"/>
                <w:szCs w:val="20"/>
              </w:rPr>
            </w:pPr>
            <w:r w:rsidRPr="008612B7">
              <w:rPr>
                <w:b w:val="0"/>
                <w:bCs w:val="0"/>
                <w:color w:val="000000"/>
                <w:sz w:val="20"/>
                <w:szCs w:val="20"/>
              </w:rPr>
              <w:t xml:space="preserve">Arkansas </w:t>
            </w:r>
          </w:p>
        </w:tc>
        <w:tc>
          <w:tcPr>
            <w:tcW w:w="1160" w:type="dxa"/>
            <w:noWrap/>
            <w:vAlign w:val="center"/>
            <w:hideMark/>
          </w:tcPr>
          <w:p w14:paraId="60349D4E" w14:textId="226EDEA7"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HB1253</w:t>
            </w:r>
          </w:p>
        </w:tc>
        <w:tc>
          <w:tcPr>
            <w:tcW w:w="1160" w:type="dxa"/>
            <w:noWrap/>
            <w:vAlign w:val="center"/>
            <w:hideMark/>
          </w:tcPr>
          <w:p w14:paraId="5D83A1DC" w14:textId="1777900E"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1DE55DAD" w14:textId="44C6A8CD"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034766C8" w14:textId="50897A6F"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Prohibits consideration of non-pecuniary factors in state pension fund management decisions </w:t>
            </w:r>
          </w:p>
        </w:tc>
      </w:tr>
      <w:tr w:rsidR="00BA3AF3" w:rsidRPr="00063811" w14:paraId="1799BD1D"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303B75C3" w14:textId="0E6B481A" w:rsidR="00BA3AF3" w:rsidRPr="008612B7" w:rsidRDefault="00BA3AF3" w:rsidP="00F256FD">
            <w:pPr>
              <w:rPr>
                <w:b w:val="0"/>
                <w:bCs w:val="0"/>
                <w:color w:val="000000"/>
                <w:sz w:val="20"/>
                <w:szCs w:val="20"/>
              </w:rPr>
            </w:pPr>
            <w:r w:rsidRPr="008612B7">
              <w:rPr>
                <w:b w:val="0"/>
                <w:bCs w:val="0"/>
                <w:color w:val="000000"/>
                <w:sz w:val="20"/>
                <w:szCs w:val="20"/>
              </w:rPr>
              <w:t xml:space="preserve">Arkansas </w:t>
            </w:r>
          </w:p>
        </w:tc>
        <w:tc>
          <w:tcPr>
            <w:tcW w:w="1160" w:type="dxa"/>
            <w:noWrap/>
            <w:vAlign w:val="center"/>
            <w:hideMark/>
          </w:tcPr>
          <w:p w14:paraId="74219254" w14:textId="75AE88CE"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HB1845</w:t>
            </w:r>
          </w:p>
        </w:tc>
        <w:tc>
          <w:tcPr>
            <w:tcW w:w="1160" w:type="dxa"/>
            <w:noWrap/>
            <w:vAlign w:val="center"/>
            <w:hideMark/>
          </w:tcPr>
          <w:p w14:paraId="46F78E36" w14:textId="3632B4D3"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22178476" w14:textId="5CDEBE8A"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7B416A58" w14:textId="51E16FC3"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Creates ESG Oversight Committee to identify financial services providers that "discriminate" against energy and firearms industries </w:t>
            </w:r>
          </w:p>
        </w:tc>
      </w:tr>
      <w:tr w:rsidR="00BA3AF3" w:rsidRPr="00063811" w14:paraId="75B10800"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7FF8C0D9" w14:textId="705BD79B" w:rsidR="00BA3AF3" w:rsidRPr="008612B7" w:rsidRDefault="00BA3AF3" w:rsidP="00F256FD">
            <w:pPr>
              <w:rPr>
                <w:b w:val="0"/>
                <w:bCs w:val="0"/>
                <w:color w:val="000000"/>
                <w:sz w:val="20"/>
                <w:szCs w:val="20"/>
              </w:rPr>
            </w:pPr>
            <w:r w:rsidRPr="008612B7">
              <w:rPr>
                <w:b w:val="0"/>
                <w:bCs w:val="0"/>
                <w:color w:val="000000"/>
                <w:sz w:val="20"/>
                <w:szCs w:val="20"/>
              </w:rPr>
              <w:t xml:space="preserve">Arkansas </w:t>
            </w:r>
          </w:p>
        </w:tc>
        <w:tc>
          <w:tcPr>
            <w:tcW w:w="1160" w:type="dxa"/>
            <w:noWrap/>
            <w:vAlign w:val="center"/>
            <w:hideMark/>
          </w:tcPr>
          <w:p w14:paraId="050B3155" w14:textId="10EF2B7C"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SB62</w:t>
            </w:r>
          </w:p>
        </w:tc>
        <w:tc>
          <w:tcPr>
            <w:tcW w:w="1160" w:type="dxa"/>
            <w:noWrap/>
            <w:vAlign w:val="center"/>
            <w:hideMark/>
          </w:tcPr>
          <w:p w14:paraId="19703DF5" w14:textId="0DA77200"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02059CB3" w14:textId="39F5E034"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2C593773" w14:textId="4C897F32"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Prohibits public entities from contracting with companies that boycott energy, fossil fuel, firearms, and ammunition industries </w:t>
            </w:r>
          </w:p>
        </w:tc>
      </w:tr>
      <w:tr w:rsidR="00BA3AF3" w:rsidRPr="00063811" w14:paraId="03D274DD"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238CD4F3" w14:textId="21590D31" w:rsidR="00BA3AF3" w:rsidRPr="008612B7" w:rsidRDefault="00BA3AF3" w:rsidP="00F256FD">
            <w:pPr>
              <w:rPr>
                <w:b w:val="0"/>
                <w:bCs w:val="0"/>
                <w:color w:val="000000"/>
                <w:sz w:val="20"/>
                <w:szCs w:val="20"/>
              </w:rPr>
            </w:pPr>
            <w:r w:rsidRPr="008612B7">
              <w:rPr>
                <w:b w:val="0"/>
                <w:bCs w:val="0"/>
                <w:color w:val="000000"/>
                <w:sz w:val="20"/>
                <w:szCs w:val="20"/>
              </w:rPr>
              <w:t xml:space="preserve">Arkansas </w:t>
            </w:r>
          </w:p>
        </w:tc>
        <w:tc>
          <w:tcPr>
            <w:tcW w:w="1160" w:type="dxa"/>
            <w:noWrap/>
            <w:vAlign w:val="center"/>
            <w:hideMark/>
          </w:tcPr>
          <w:p w14:paraId="6CD225F2" w14:textId="2AF74566"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HB1307</w:t>
            </w:r>
          </w:p>
        </w:tc>
        <w:tc>
          <w:tcPr>
            <w:tcW w:w="1160" w:type="dxa"/>
            <w:noWrap/>
            <w:vAlign w:val="center"/>
            <w:hideMark/>
          </w:tcPr>
          <w:p w14:paraId="5506B38B" w14:textId="659274FC"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7D22B46F" w14:textId="6CBB35A2"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3770F778" w14:textId="2B4D38D1"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Authorizes state treasurer to divest from financial institutions that discriminate against energy, fossil fuel, and firearms industries </w:t>
            </w:r>
          </w:p>
        </w:tc>
      </w:tr>
      <w:tr w:rsidR="00BA3AF3" w:rsidRPr="00063811" w14:paraId="3096FA1E"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3BD9F397" w14:textId="349A5FC6" w:rsidR="00BA3AF3" w:rsidRPr="008612B7" w:rsidRDefault="00BA3AF3" w:rsidP="00F256FD">
            <w:pPr>
              <w:rPr>
                <w:b w:val="0"/>
                <w:bCs w:val="0"/>
                <w:color w:val="000000"/>
                <w:sz w:val="20"/>
                <w:szCs w:val="20"/>
              </w:rPr>
            </w:pPr>
            <w:r w:rsidRPr="008612B7">
              <w:rPr>
                <w:b w:val="0"/>
                <w:bCs w:val="0"/>
                <w:color w:val="000000"/>
                <w:sz w:val="20"/>
                <w:szCs w:val="20"/>
              </w:rPr>
              <w:t xml:space="preserve">Arkansas </w:t>
            </w:r>
          </w:p>
        </w:tc>
        <w:tc>
          <w:tcPr>
            <w:tcW w:w="1160" w:type="dxa"/>
            <w:noWrap/>
            <w:vAlign w:val="center"/>
            <w:hideMark/>
          </w:tcPr>
          <w:p w14:paraId="3362AF43" w14:textId="1D89B222"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HB1637</w:t>
            </w:r>
          </w:p>
        </w:tc>
        <w:tc>
          <w:tcPr>
            <w:tcW w:w="1160" w:type="dxa"/>
            <w:noWrap/>
            <w:vAlign w:val="center"/>
            <w:hideMark/>
          </w:tcPr>
          <w:p w14:paraId="6BEA7B26" w14:textId="3D406CB2"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2021</w:t>
            </w:r>
          </w:p>
        </w:tc>
        <w:tc>
          <w:tcPr>
            <w:tcW w:w="780" w:type="dxa"/>
            <w:noWrap/>
            <w:vAlign w:val="center"/>
            <w:hideMark/>
          </w:tcPr>
          <w:p w14:paraId="1D834A88" w14:textId="10DEC9FB"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50CF0245" w14:textId="3F2FE411"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Establishes mechanism for state to resist federal executive orders related to environmental regulation and ESG standards </w:t>
            </w:r>
          </w:p>
        </w:tc>
      </w:tr>
      <w:tr w:rsidR="00BA3AF3" w:rsidRPr="00063811" w14:paraId="0D68D843"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2B061DB4" w14:textId="3D59AEF9" w:rsidR="00BA3AF3" w:rsidRPr="008612B7" w:rsidRDefault="00BA3AF3" w:rsidP="00F256FD">
            <w:pPr>
              <w:rPr>
                <w:b w:val="0"/>
                <w:bCs w:val="0"/>
                <w:color w:val="000000"/>
                <w:sz w:val="20"/>
                <w:szCs w:val="20"/>
              </w:rPr>
            </w:pPr>
            <w:r w:rsidRPr="008612B7">
              <w:rPr>
                <w:b w:val="0"/>
                <w:bCs w:val="0"/>
                <w:color w:val="000000"/>
                <w:sz w:val="20"/>
                <w:szCs w:val="20"/>
              </w:rPr>
              <w:lastRenderedPageBreak/>
              <w:t xml:space="preserve">Florida </w:t>
            </w:r>
          </w:p>
        </w:tc>
        <w:tc>
          <w:tcPr>
            <w:tcW w:w="1160" w:type="dxa"/>
            <w:noWrap/>
            <w:vAlign w:val="center"/>
            <w:hideMark/>
          </w:tcPr>
          <w:p w14:paraId="24AE3CD6" w14:textId="23A6D131"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H0003</w:t>
            </w:r>
          </w:p>
        </w:tc>
        <w:tc>
          <w:tcPr>
            <w:tcW w:w="1160" w:type="dxa"/>
            <w:noWrap/>
            <w:vAlign w:val="center"/>
            <w:hideMark/>
          </w:tcPr>
          <w:p w14:paraId="4B60AB4B" w14:textId="0195FE78"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56983602" w14:textId="7DC1E481"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285CDBCC" w14:textId="66936252"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Requires state financial decisions to be based solely on financial factors rather than ESG considerations </w:t>
            </w:r>
          </w:p>
        </w:tc>
      </w:tr>
      <w:tr w:rsidR="00BA3AF3" w:rsidRPr="00063811" w14:paraId="30B0728A"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0A3D29D5" w14:textId="031E52C3" w:rsidR="00BA3AF3" w:rsidRPr="008612B7" w:rsidRDefault="00BA3AF3" w:rsidP="00F256FD">
            <w:pPr>
              <w:rPr>
                <w:b w:val="0"/>
                <w:bCs w:val="0"/>
                <w:color w:val="000000"/>
                <w:sz w:val="20"/>
                <w:szCs w:val="20"/>
              </w:rPr>
            </w:pPr>
            <w:r w:rsidRPr="008612B7">
              <w:rPr>
                <w:b w:val="0"/>
                <w:bCs w:val="0"/>
                <w:color w:val="000000"/>
                <w:sz w:val="20"/>
                <w:szCs w:val="20"/>
              </w:rPr>
              <w:t xml:space="preserve">Florida </w:t>
            </w:r>
          </w:p>
        </w:tc>
        <w:tc>
          <w:tcPr>
            <w:tcW w:w="1160" w:type="dxa"/>
            <w:noWrap/>
            <w:vAlign w:val="center"/>
            <w:hideMark/>
          </w:tcPr>
          <w:p w14:paraId="677A794A" w14:textId="429FF00B"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H0005</w:t>
            </w:r>
          </w:p>
        </w:tc>
        <w:tc>
          <w:tcPr>
            <w:tcW w:w="1160" w:type="dxa"/>
            <w:noWrap/>
            <w:vAlign w:val="center"/>
            <w:hideMark/>
          </w:tcPr>
          <w:p w14:paraId="608BEC77" w14:textId="071A786E"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72FB703D" w14:textId="71737573"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330DBA4A" w14:textId="3095315C"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Expands restrictions on state investments related to companies with business operations in Iran </w:t>
            </w:r>
          </w:p>
        </w:tc>
      </w:tr>
      <w:tr w:rsidR="00BA3AF3" w:rsidRPr="00063811" w14:paraId="4573B50B"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7C26E0CF" w14:textId="2873F22C" w:rsidR="00BA3AF3" w:rsidRPr="008612B7" w:rsidRDefault="00BA3AF3" w:rsidP="00F256FD">
            <w:pPr>
              <w:rPr>
                <w:b w:val="0"/>
                <w:bCs w:val="0"/>
                <w:color w:val="000000"/>
                <w:sz w:val="20"/>
                <w:szCs w:val="20"/>
              </w:rPr>
            </w:pPr>
            <w:r w:rsidRPr="008612B7">
              <w:rPr>
                <w:b w:val="0"/>
                <w:bCs w:val="0"/>
                <w:color w:val="000000"/>
                <w:sz w:val="20"/>
                <w:szCs w:val="20"/>
              </w:rPr>
              <w:t xml:space="preserve">Florida </w:t>
            </w:r>
          </w:p>
        </w:tc>
        <w:tc>
          <w:tcPr>
            <w:tcW w:w="1160" w:type="dxa"/>
            <w:noWrap/>
            <w:vAlign w:val="center"/>
            <w:hideMark/>
          </w:tcPr>
          <w:p w14:paraId="7A8B6CBE" w14:textId="0CAD29BB"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H0989</w:t>
            </w:r>
          </w:p>
        </w:tc>
        <w:tc>
          <w:tcPr>
            <w:tcW w:w="1160" w:type="dxa"/>
            <w:noWrap/>
            <w:vAlign w:val="center"/>
            <w:hideMark/>
          </w:tcPr>
          <w:p w14:paraId="51D7A57D" w14:textId="6891DD0E"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58F49EF9" w14:textId="55B27F56"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3B83AC3F" w14:textId="46511B68"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Prohibits financial institutions from denying services based on political opinions, religious beliefs, or business sector </w:t>
            </w:r>
          </w:p>
        </w:tc>
      </w:tr>
      <w:tr w:rsidR="00BA3AF3" w:rsidRPr="00063811" w14:paraId="438A6877"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02F53DC4" w14:textId="1F695F26" w:rsidR="00BA3AF3" w:rsidRPr="008612B7" w:rsidRDefault="00BA3AF3" w:rsidP="00F256FD">
            <w:pPr>
              <w:rPr>
                <w:b w:val="0"/>
                <w:bCs w:val="0"/>
                <w:color w:val="000000"/>
                <w:sz w:val="20"/>
                <w:szCs w:val="20"/>
              </w:rPr>
            </w:pPr>
            <w:r w:rsidRPr="008612B7">
              <w:rPr>
                <w:b w:val="0"/>
                <w:bCs w:val="0"/>
                <w:color w:val="000000"/>
                <w:sz w:val="20"/>
                <w:szCs w:val="20"/>
              </w:rPr>
              <w:t xml:space="preserve">Georgia </w:t>
            </w:r>
          </w:p>
        </w:tc>
        <w:tc>
          <w:tcPr>
            <w:tcW w:w="1160" w:type="dxa"/>
            <w:noWrap/>
            <w:vAlign w:val="center"/>
            <w:hideMark/>
          </w:tcPr>
          <w:p w14:paraId="154F48B8" w14:textId="1A1DB7BF"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HB481</w:t>
            </w:r>
          </w:p>
        </w:tc>
        <w:tc>
          <w:tcPr>
            <w:tcW w:w="1160" w:type="dxa"/>
            <w:noWrap/>
            <w:vAlign w:val="center"/>
            <w:hideMark/>
          </w:tcPr>
          <w:p w14:paraId="1DA57D63" w14:textId="1A44757D"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70C7EE77" w14:textId="1667A51F"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41145194" w14:textId="2139ED4B"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Establishes strict sole fiduciary framework prohibiting consideration of "nonpecuniary interests" in pension management </w:t>
            </w:r>
          </w:p>
        </w:tc>
      </w:tr>
      <w:tr w:rsidR="00BA3AF3" w:rsidRPr="00063811" w14:paraId="787BC25B"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2FD684EF" w14:textId="767FC9B0" w:rsidR="00BA3AF3" w:rsidRPr="008612B7" w:rsidRDefault="00BA3AF3" w:rsidP="00F256FD">
            <w:pPr>
              <w:rPr>
                <w:b w:val="0"/>
                <w:bCs w:val="0"/>
                <w:color w:val="000000"/>
                <w:sz w:val="20"/>
                <w:szCs w:val="20"/>
              </w:rPr>
            </w:pPr>
            <w:r w:rsidRPr="008612B7">
              <w:rPr>
                <w:b w:val="0"/>
                <w:bCs w:val="0"/>
                <w:color w:val="000000"/>
                <w:sz w:val="20"/>
                <w:szCs w:val="20"/>
              </w:rPr>
              <w:t xml:space="preserve">Georgia </w:t>
            </w:r>
          </w:p>
        </w:tc>
        <w:tc>
          <w:tcPr>
            <w:tcW w:w="1160" w:type="dxa"/>
            <w:noWrap/>
            <w:vAlign w:val="center"/>
            <w:hideMark/>
          </w:tcPr>
          <w:p w14:paraId="53B68749" w14:textId="3D77E9A6"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HB1018</w:t>
            </w:r>
          </w:p>
        </w:tc>
        <w:tc>
          <w:tcPr>
            <w:tcW w:w="1160" w:type="dxa"/>
            <w:noWrap/>
            <w:vAlign w:val="center"/>
            <w:hideMark/>
          </w:tcPr>
          <w:p w14:paraId="1C70D9C8" w14:textId="30A815F8"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305F9477" w14:textId="60190D0E"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5DCF65A8" w14:textId="1786961F"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Prohibits financial institutions from using specific merchant codes to identify firearms retailers </w:t>
            </w:r>
          </w:p>
        </w:tc>
      </w:tr>
      <w:tr w:rsidR="00BA3AF3" w:rsidRPr="00063811" w14:paraId="0CC2F163"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3EDC2594" w14:textId="366908B5" w:rsidR="00BA3AF3" w:rsidRPr="008612B7" w:rsidRDefault="00BA3AF3" w:rsidP="00F256FD">
            <w:pPr>
              <w:rPr>
                <w:b w:val="0"/>
                <w:bCs w:val="0"/>
                <w:color w:val="000000"/>
                <w:sz w:val="20"/>
                <w:szCs w:val="20"/>
              </w:rPr>
            </w:pPr>
            <w:r w:rsidRPr="008612B7">
              <w:rPr>
                <w:b w:val="0"/>
                <w:bCs w:val="0"/>
                <w:color w:val="000000"/>
                <w:sz w:val="20"/>
                <w:szCs w:val="20"/>
              </w:rPr>
              <w:t xml:space="preserve">Idaho </w:t>
            </w:r>
          </w:p>
        </w:tc>
        <w:tc>
          <w:tcPr>
            <w:tcW w:w="1160" w:type="dxa"/>
            <w:noWrap/>
            <w:vAlign w:val="center"/>
            <w:hideMark/>
          </w:tcPr>
          <w:p w14:paraId="1E9A76CF" w14:textId="4DA60B12"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S1405</w:t>
            </w:r>
          </w:p>
        </w:tc>
        <w:tc>
          <w:tcPr>
            <w:tcW w:w="1160" w:type="dxa"/>
            <w:noWrap/>
            <w:vAlign w:val="center"/>
            <w:hideMark/>
          </w:tcPr>
          <w:p w14:paraId="26CCA716" w14:textId="00A23E71"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2022</w:t>
            </w:r>
          </w:p>
        </w:tc>
        <w:tc>
          <w:tcPr>
            <w:tcW w:w="780" w:type="dxa"/>
            <w:noWrap/>
            <w:vAlign w:val="center"/>
            <w:hideMark/>
          </w:tcPr>
          <w:p w14:paraId="1432C033" w14:textId="62A9A545"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7A0429C2" w14:textId="5D516B19"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Prohibits consideration of nonpecuniary factors in state investments unless they directly impact financial returns </w:t>
            </w:r>
          </w:p>
        </w:tc>
      </w:tr>
      <w:tr w:rsidR="00BA3AF3" w:rsidRPr="00063811" w14:paraId="0F17CE3F"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2DB32AD3" w14:textId="1664DC6D" w:rsidR="00BA3AF3" w:rsidRPr="008612B7" w:rsidRDefault="00BA3AF3" w:rsidP="00F256FD">
            <w:pPr>
              <w:rPr>
                <w:b w:val="0"/>
                <w:bCs w:val="0"/>
                <w:color w:val="000000"/>
                <w:sz w:val="20"/>
                <w:szCs w:val="20"/>
              </w:rPr>
            </w:pPr>
            <w:r w:rsidRPr="008612B7">
              <w:rPr>
                <w:b w:val="0"/>
                <w:bCs w:val="0"/>
                <w:color w:val="000000"/>
                <w:sz w:val="20"/>
                <w:szCs w:val="20"/>
              </w:rPr>
              <w:t xml:space="preserve">Idaho </w:t>
            </w:r>
          </w:p>
        </w:tc>
        <w:tc>
          <w:tcPr>
            <w:tcW w:w="1160" w:type="dxa"/>
            <w:noWrap/>
            <w:vAlign w:val="center"/>
            <w:hideMark/>
          </w:tcPr>
          <w:p w14:paraId="4D7E9B8C" w14:textId="34F9105E"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H0190</w:t>
            </w:r>
          </w:p>
        </w:tc>
        <w:tc>
          <w:tcPr>
            <w:tcW w:w="1160" w:type="dxa"/>
            <w:noWrap/>
            <w:vAlign w:val="center"/>
            <w:hideMark/>
          </w:tcPr>
          <w:p w14:paraId="0D221ADC" w14:textId="5AE7692F"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706D2AF5" w14:textId="790CF2E9"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2715EC52" w14:textId="01E8DC20"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Requires financial institutions to certify they don't boycott fossil fuel, timber, minerals, agriculture, or firearms industries </w:t>
            </w:r>
          </w:p>
        </w:tc>
      </w:tr>
      <w:tr w:rsidR="00BA3AF3" w:rsidRPr="00063811" w14:paraId="7AB18B22"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1F50132B" w14:textId="6C0852FE" w:rsidR="00BA3AF3" w:rsidRPr="008612B7" w:rsidRDefault="00BA3AF3" w:rsidP="00F256FD">
            <w:pPr>
              <w:rPr>
                <w:b w:val="0"/>
                <w:bCs w:val="0"/>
                <w:color w:val="000000"/>
                <w:sz w:val="20"/>
                <w:szCs w:val="20"/>
              </w:rPr>
            </w:pPr>
            <w:r w:rsidRPr="008612B7">
              <w:rPr>
                <w:b w:val="0"/>
                <w:bCs w:val="0"/>
                <w:color w:val="000000"/>
                <w:sz w:val="20"/>
                <w:szCs w:val="20"/>
              </w:rPr>
              <w:t xml:space="preserve">Idaho </w:t>
            </w:r>
          </w:p>
        </w:tc>
        <w:tc>
          <w:tcPr>
            <w:tcW w:w="1160" w:type="dxa"/>
            <w:noWrap/>
            <w:vAlign w:val="center"/>
            <w:hideMark/>
          </w:tcPr>
          <w:p w14:paraId="5DFC08A6" w14:textId="4116CFB7"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S1291</w:t>
            </w:r>
          </w:p>
        </w:tc>
        <w:tc>
          <w:tcPr>
            <w:tcW w:w="1160" w:type="dxa"/>
            <w:noWrap/>
            <w:vAlign w:val="center"/>
            <w:hideMark/>
          </w:tcPr>
          <w:p w14:paraId="28E4B2B4" w14:textId="56B1B239"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68A87A88" w14:textId="32D572AF"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227196C3" w14:textId="30A9ECA9"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Prohibits public entities from contracting with companies that boycott specific industries including fossil fuels </w:t>
            </w:r>
          </w:p>
        </w:tc>
      </w:tr>
      <w:tr w:rsidR="00BA3AF3" w:rsidRPr="00063811" w14:paraId="2B1DFDCF"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08337E75" w14:textId="1788894F" w:rsidR="00BA3AF3" w:rsidRPr="008612B7" w:rsidRDefault="00BA3AF3" w:rsidP="00F256FD">
            <w:pPr>
              <w:rPr>
                <w:b w:val="0"/>
                <w:bCs w:val="0"/>
                <w:color w:val="000000"/>
                <w:sz w:val="20"/>
                <w:szCs w:val="20"/>
              </w:rPr>
            </w:pPr>
            <w:r w:rsidRPr="008612B7">
              <w:rPr>
                <w:b w:val="0"/>
                <w:bCs w:val="0"/>
                <w:color w:val="000000"/>
                <w:sz w:val="20"/>
                <w:szCs w:val="20"/>
              </w:rPr>
              <w:t xml:space="preserve">Idaho </w:t>
            </w:r>
          </w:p>
        </w:tc>
        <w:tc>
          <w:tcPr>
            <w:tcW w:w="1160" w:type="dxa"/>
            <w:noWrap/>
            <w:vAlign w:val="center"/>
            <w:hideMark/>
          </w:tcPr>
          <w:p w14:paraId="3A86FF95" w14:textId="4D85CF5C"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H0191</w:t>
            </w:r>
          </w:p>
        </w:tc>
        <w:tc>
          <w:tcPr>
            <w:tcW w:w="1160" w:type="dxa"/>
            <w:noWrap/>
            <w:vAlign w:val="center"/>
            <w:hideMark/>
          </w:tcPr>
          <w:p w14:paraId="6807CFFE" w14:textId="7EEFEFFE"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0EC32D73" w14:textId="31518084"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70B35703" w14:textId="58542F5D"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Prohibits consideration of ESG criteria in state procurement decisions </w:t>
            </w:r>
          </w:p>
        </w:tc>
      </w:tr>
      <w:tr w:rsidR="00BA3AF3" w:rsidRPr="00063811" w14:paraId="00E77E80"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389EC172" w14:textId="2FA63D40" w:rsidR="00BA3AF3" w:rsidRPr="008612B7" w:rsidRDefault="00BA3AF3" w:rsidP="00F256FD">
            <w:pPr>
              <w:rPr>
                <w:b w:val="0"/>
                <w:bCs w:val="0"/>
                <w:color w:val="000000"/>
                <w:sz w:val="20"/>
                <w:szCs w:val="20"/>
              </w:rPr>
            </w:pPr>
            <w:r w:rsidRPr="008612B7">
              <w:rPr>
                <w:b w:val="0"/>
                <w:bCs w:val="0"/>
                <w:color w:val="000000"/>
                <w:sz w:val="20"/>
                <w:szCs w:val="20"/>
              </w:rPr>
              <w:t xml:space="preserve">Idaho </w:t>
            </w:r>
          </w:p>
        </w:tc>
        <w:tc>
          <w:tcPr>
            <w:tcW w:w="1160" w:type="dxa"/>
            <w:noWrap/>
            <w:vAlign w:val="center"/>
            <w:hideMark/>
          </w:tcPr>
          <w:p w14:paraId="3D7004B0" w14:textId="2F1380D4"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S1274</w:t>
            </w:r>
          </w:p>
        </w:tc>
        <w:tc>
          <w:tcPr>
            <w:tcW w:w="1160" w:type="dxa"/>
            <w:noWrap/>
            <w:vAlign w:val="center"/>
            <w:hideMark/>
          </w:tcPr>
          <w:p w14:paraId="0D70985A" w14:textId="75087057"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339161F4" w14:textId="7EAEB2DF"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6B679C63" w14:textId="34CA84C4"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Prohibits public postsecondary institutions from requiring diversity statements in hiring processes </w:t>
            </w:r>
          </w:p>
        </w:tc>
      </w:tr>
      <w:tr w:rsidR="00BA3AF3" w:rsidRPr="00063811" w14:paraId="3AF85BB7"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4BECA3C8" w14:textId="79BBAB44" w:rsidR="00BA3AF3" w:rsidRPr="008612B7" w:rsidRDefault="00BA3AF3" w:rsidP="00F256FD">
            <w:pPr>
              <w:rPr>
                <w:b w:val="0"/>
                <w:bCs w:val="0"/>
                <w:color w:val="000000"/>
                <w:sz w:val="20"/>
                <w:szCs w:val="20"/>
              </w:rPr>
            </w:pPr>
            <w:r w:rsidRPr="008612B7">
              <w:rPr>
                <w:b w:val="0"/>
                <w:bCs w:val="0"/>
                <w:color w:val="000000"/>
                <w:sz w:val="20"/>
                <w:szCs w:val="20"/>
              </w:rPr>
              <w:t xml:space="preserve">Idaho </w:t>
            </w:r>
          </w:p>
        </w:tc>
        <w:tc>
          <w:tcPr>
            <w:tcW w:w="1160" w:type="dxa"/>
            <w:noWrap/>
            <w:vAlign w:val="center"/>
            <w:hideMark/>
          </w:tcPr>
          <w:p w14:paraId="5053FABC" w14:textId="1DA9CDD5"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H0691</w:t>
            </w:r>
          </w:p>
        </w:tc>
        <w:tc>
          <w:tcPr>
            <w:tcW w:w="1160" w:type="dxa"/>
            <w:noWrap/>
            <w:vAlign w:val="center"/>
            <w:hideMark/>
          </w:tcPr>
          <w:p w14:paraId="40C6E3C0" w14:textId="32D2A61F"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291C1458" w14:textId="4C94AE82"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35453468" w14:textId="2B4FF082"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Requires public disclosure for significant state financial agreements over $25 million </w:t>
            </w:r>
          </w:p>
        </w:tc>
      </w:tr>
      <w:tr w:rsidR="00BA3AF3" w:rsidRPr="00063811" w14:paraId="44607374"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64E33E77" w14:textId="08D8A196" w:rsidR="00BA3AF3" w:rsidRPr="008612B7" w:rsidRDefault="00BA3AF3" w:rsidP="00F256FD">
            <w:pPr>
              <w:rPr>
                <w:b w:val="0"/>
                <w:bCs w:val="0"/>
                <w:color w:val="000000"/>
                <w:sz w:val="20"/>
                <w:szCs w:val="20"/>
              </w:rPr>
            </w:pPr>
            <w:r w:rsidRPr="008612B7">
              <w:rPr>
                <w:b w:val="0"/>
                <w:bCs w:val="0"/>
                <w:color w:val="000000"/>
                <w:sz w:val="20"/>
                <w:szCs w:val="20"/>
              </w:rPr>
              <w:t xml:space="preserve">Indiana </w:t>
            </w:r>
          </w:p>
        </w:tc>
        <w:tc>
          <w:tcPr>
            <w:tcW w:w="1160" w:type="dxa"/>
            <w:noWrap/>
            <w:vAlign w:val="center"/>
            <w:hideMark/>
          </w:tcPr>
          <w:p w14:paraId="7CE043E7" w14:textId="7AF4ED74"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HB1008</w:t>
            </w:r>
          </w:p>
        </w:tc>
        <w:tc>
          <w:tcPr>
            <w:tcW w:w="1160" w:type="dxa"/>
            <w:noWrap/>
            <w:vAlign w:val="center"/>
            <w:hideMark/>
          </w:tcPr>
          <w:p w14:paraId="4299EB9B" w14:textId="29276302"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25F0685C" w14:textId="225203B4"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12E05D1A" w14:textId="7DF140CD"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Prohibits state pension system from making investment decisions for non-financial purposes </w:t>
            </w:r>
          </w:p>
        </w:tc>
      </w:tr>
      <w:tr w:rsidR="00BA3AF3" w:rsidRPr="00063811" w14:paraId="195FFC70"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433A0E25" w14:textId="2CF68853" w:rsidR="00BA3AF3" w:rsidRPr="008612B7" w:rsidRDefault="00BA3AF3" w:rsidP="00F256FD">
            <w:pPr>
              <w:rPr>
                <w:b w:val="0"/>
                <w:bCs w:val="0"/>
                <w:color w:val="000000"/>
                <w:sz w:val="20"/>
                <w:szCs w:val="20"/>
              </w:rPr>
            </w:pPr>
            <w:r w:rsidRPr="008612B7">
              <w:rPr>
                <w:b w:val="0"/>
                <w:bCs w:val="0"/>
                <w:color w:val="000000"/>
                <w:sz w:val="20"/>
                <w:szCs w:val="20"/>
              </w:rPr>
              <w:lastRenderedPageBreak/>
              <w:t xml:space="preserve">Iowa </w:t>
            </w:r>
          </w:p>
        </w:tc>
        <w:tc>
          <w:tcPr>
            <w:tcW w:w="1160" w:type="dxa"/>
            <w:noWrap/>
            <w:vAlign w:val="center"/>
            <w:hideMark/>
          </w:tcPr>
          <w:p w14:paraId="253D7596" w14:textId="1CF950ED"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SF2435</w:t>
            </w:r>
          </w:p>
        </w:tc>
        <w:tc>
          <w:tcPr>
            <w:tcW w:w="1160" w:type="dxa"/>
            <w:noWrap/>
            <w:vAlign w:val="center"/>
            <w:hideMark/>
          </w:tcPr>
          <w:p w14:paraId="41D4D4A8" w14:textId="285ACDA1"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1CEF10B8" w14:textId="1EEC5ED7"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1A611499" w14:textId="6590C562"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Prohibits public higher education institutions from establishing DEI offices or requiring diversity statements </w:t>
            </w:r>
          </w:p>
        </w:tc>
      </w:tr>
      <w:tr w:rsidR="00BA3AF3" w:rsidRPr="00063811" w14:paraId="0661C6E8"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126419C6" w14:textId="533B81FC" w:rsidR="00BA3AF3" w:rsidRPr="008612B7" w:rsidRDefault="00BA3AF3" w:rsidP="00F256FD">
            <w:pPr>
              <w:rPr>
                <w:b w:val="0"/>
                <w:bCs w:val="0"/>
                <w:color w:val="000000"/>
                <w:sz w:val="20"/>
                <w:szCs w:val="20"/>
              </w:rPr>
            </w:pPr>
            <w:r w:rsidRPr="008612B7">
              <w:rPr>
                <w:b w:val="0"/>
                <w:bCs w:val="0"/>
                <w:color w:val="000000"/>
                <w:sz w:val="20"/>
                <w:szCs w:val="20"/>
              </w:rPr>
              <w:t xml:space="preserve">Louisiana </w:t>
            </w:r>
          </w:p>
        </w:tc>
        <w:tc>
          <w:tcPr>
            <w:tcW w:w="1160" w:type="dxa"/>
            <w:noWrap/>
            <w:vAlign w:val="center"/>
            <w:hideMark/>
          </w:tcPr>
          <w:p w14:paraId="253D868A" w14:textId="103E33B6"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HCR110</w:t>
            </w:r>
          </w:p>
        </w:tc>
        <w:tc>
          <w:tcPr>
            <w:tcW w:w="1160" w:type="dxa"/>
            <w:noWrap/>
            <w:vAlign w:val="center"/>
            <w:hideMark/>
          </w:tcPr>
          <w:p w14:paraId="445F2C28" w14:textId="1FA0A9F7"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122DD413" w14:textId="672F23CD"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032D92B4" w14:textId="157FDEBD"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Urges retirement systems to avoid ESG considerations in investment decisions </w:t>
            </w:r>
          </w:p>
        </w:tc>
      </w:tr>
      <w:tr w:rsidR="00BA3AF3" w:rsidRPr="00063811" w14:paraId="12517CB6"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701858A5" w14:textId="58A87FCB" w:rsidR="00BA3AF3" w:rsidRPr="008612B7" w:rsidRDefault="00BA3AF3" w:rsidP="00F256FD">
            <w:pPr>
              <w:rPr>
                <w:b w:val="0"/>
                <w:bCs w:val="0"/>
                <w:color w:val="000000"/>
                <w:sz w:val="20"/>
                <w:szCs w:val="20"/>
              </w:rPr>
            </w:pPr>
            <w:r w:rsidRPr="008612B7">
              <w:rPr>
                <w:b w:val="0"/>
                <w:bCs w:val="0"/>
                <w:color w:val="000000"/>
                <w:sz w:val="20"/>
                <w:szCs w:val="20"/>
              </w:rPr>
              <w:t xml:space="preserve">Louisiana </w:t>
            </w:r>
          </w:p>
        </w:tc>
        <w:tc>
          <w:tcPr>
            <w:tcW w:w="1160" w:type="dxa"/>
            <w:noWrap/>
            <w:vAlign w:val="center"/>
            <w:hideMark/>
          </w:tcPr>
          <w:p w14:paraId="710DA2C5" w14:textId="63C22212"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HR267</w:t>
            </w:r>
          </w:p>
        </w:tc>
        <w:tc>
          <w:tcPr>
            <w:tcW w:w="1160" w:type="dxa"/>
            <w:noWrap/>
            <w:vAlign w:val="center"/>
            <w:hideMark/>
          </w:tcPr>
          <w:p w14:paraId="332A65C4" w14:textId="474E7806"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7C8ECFF7" w14:textId="6EF3F023"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0DCD26AD" w14:textId="4AA42081"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Requires retirement systems to submit reports on proxy voting activities </w:t>
            </w:r>
          </w:p>
        </w:tc>
      </w:tr>
      <w:tr w:rsidR="00BA3AF3" w:rsidRPr="00063811" w14:paraId="64195C01"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5B2A1EFE" w14:textId="551318BA" w:rsidR="00BA3AF3" w:rsidRPr="008612B7" w:rsidRDefault="00BA3AF3" w:rsidP="00F256FD">
            <w:pPr>
              <w:rPr>
                <w:b w:val="0"/>
                <w:bCs w:val="0"/>
                <w:color w:val="000000"/>
                <w:sz w:val="20"/>
                <w:szCs w:val="20"/>
              </w:rPr>
            </w:pPr>
            <w:r w:rsidRPr="008612B7">
              <w:rPr>
                <w:b w:val="0"/>
                <w:bCs w:val="0"/>
                <w:color w:val="000000"/>
                <w:sz w:val="20"/>
                <w:szCs w:val="20"/>
              </w:rPr>
              <w:t xml:space="preserve">Louisiana </w:t>
            </w:r>
          </w:p>
        </w:tc>
        <w:tc>
          <w:tcPr>
            <w:tcW w:w="1160" w:type="dxa"/>
            <w:noWrap/>
            <w:vAlign w:val="center"/>
            <w:hideMark/>
          </w:tcPr>
          <w:p w14:paraId="79F3DE0C" w14:textId="6B5A4383"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HCR70</w:t>
            </w:r>
          </w:p>
        </w:tc>
        <w:tc>
          <w:tcPr>
            <w:tcW w:w="1160" w:type="dxa"/>
            <w:noWrap/>
            <w:vAlign w:val="center"/>
            <w:hideMark/>
          </w:tcPr>
          <w:p w14:paraId="1B9A6228" w14:textId="373BC130"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0CB44C4F" w14:textId="640D3893"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7BE039E1" w14:textId="3B1C6038"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Requires reporting on companies that "discriminate against" fossil fuel industry through ESG policies </w:t>
            </w:r>
          </w:p>
        </w:tc>
      </w:tr>
      <w:tr w:rsidR="00BA3AF3" w:rsidRPr="00063811" w14:paraId="601C1BDA"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3BEB8887" w14:textId="7FED7E4C" w:rsidR="00BA3AF3" w:rsidRPr="008612B7" w:rsidRDefault="00BA3AF3" w:rsidP="00F256FD">
            <w:pPr>
              <w:rPr>
                <w:b w:val="0"/>
                <w:bCs w:val="0"/>
                <w:color w:val="000000"/>
                <w:sz w:val="20"/>
                <w:szCs w:val="20"/>
              </w:rPr>
            </w:pPr>
            <w:r w:rsidRPr="008612B7">
              <w:rPr>
                <w:b w:val="0"/>
                <w:bCs w:val="0"/>
                <w:color w:val="000000"/>
                <w:sz w:val="20"/>
                <w:szCs w:val="20"/>
              </w:rPr>
              <w:t xml:space="preserve">Louisiana </w:t>
            </w:r>
          </w:p>
        </w:tc>
        <w:tc>
          <w:tcPr>
            <w:tcW w:w="1160" w:type="dxa"/>
            <w:noWrap/>
            <w:vAlign w:val="center"/>
            <w:hideMark/>
          </w:tcPr>
          <w:p w14:paraId="55E167AD" w14:textId="4158DDB9"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SB234</w:t>
            </w:r>
          </w:p>
        </w:tc>
        <w:tc>
          <w:tcPr>
            <w:tcW w:w="1160" w:type="dxa"/>
            <w:noWrap/>
            <w:vAlign w:val="center"/>
            <w:hideMark/>
          </w:tcPr>
          <w:p w14:paraId="4353405F" w14:textId="4CE57A83"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6BD96542" w14:textId="19FA802B"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0E0E92A2" w14:textId="5F0E1A86"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Prohibits state entities from contracting with companies that discriminate against firearm industries </w:t>
            </w:r>
          </w:p>
        </w:tc>
      </w:tr>
      <w:tr w:rsidR="00BA3AF3" w:rsidRPr="00063811" w14:paraId="792B64F2"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31657395" w14:textId="6E2E43D7" w:rsidR="00BA3AF3" w:rsidRPr="008612B7" w:rsidRDefault="00BA3AF3" w:rsidP="00F256FD">
            <w:pPr>
              <w:rPr>
                <w:b w:val="0"/>
                <w:bCs w:val="0"/>
                <w:color w:val="000000"/>
                <w:sz w:val="20"/>
                <w:szCs w:val="20"/>
              </w:rPr>
            </w:pPr>
            <w:r w:rsidRPr="008612B7">
              <w:rPr>
                <w:b w:val="0"/>
                <w:bCs w:val="0"/>
                <w:color w:val="000000"/>
                <w:sz w:val="20"/>
                <w:szCs w:val="20"/>
              </w:rPr>
              <w:t xml:space="preserve">Louisiana </w:t>
            </w:r>
          </w:p>
        </w:tc>
        <w:tc>
          <w:tcPr>
            <w:tcW w:w="1160" w:type="dxa"/>
            <w:noWrap/>
            <w:vAlign w:val="center"/>
            <w:hideMark/>
          </w:tcPr>
          <w:p w14:paraId="1C0FD87F" w14:textId="223DD8E4"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HR203</w:t>
            </w:r>
          </w:p>
        </w:tc>
        <w:tc>
          <w:tcPr>
            <w:tcW w:w="1160" w:type="dxa"/>
            <w:noWrap/>
            <w:vAlign w:val="center"/>
            <w:hideMark/>
          </w:tcPr>
          <w:p w14:paraId="26F150E9" w14:textId="2358FD2A"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2022</w:t>
            </w:r>
          </w:p>
        </w:tc>
        <w:tc>
          <w:tcPr>
            <w:tcW w:w="780" w:type="dxa"/>
            <w:noWrap/>
            <w:vAlign w:val="center"/>
            <w:hideMark/>
          </w:tcPr>
          <w:p w14:paraId="12B9CD25" w14:textId="7D02BF95"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7CFFB764" w14:textId="2D0CCC80"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Establishes task force to study regulation of ESG criteria in lending and investment practices </w:t>
            </w:r>
          </w:p>
        </w:tc>
      </w:tr>
      <w:tr w:rsidR="00BA3AF3" w:rsidRPr="00063811" w14:paraId="5EC5287F"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10CC8E3B" w14:textId="300941CE" w:rsidR="00BA3AF3" w:rsidRPr="008612B7" w:rsidRDefault="00BA3AF3" w:rsidP="00F256FD">
            <w:pPr>
              <w:rPr>
                <w:b w:val="0"/>
                <w:bCs w:val="0"/>
                <w:color w:val="000000"/>
                <w:sz w:val="20"/>
                <w:szCs w:val="20"/>
              </w:rPr>
            </w:pPr>
            <w:r w:rsidRPr="008612B7">
              <w:rPr>
                <w:b w:val="0"/>
                <w:bCs w:val="0"/>
                <w:color w:val="000000"/>
                <w:sz w:val="20"/>
                <w:szCs w:val="20"/>
              </w:rPr>
              <w:t xml:space="preserve">Louisiana </w:t>
            </w:r>
          </w:p>
        </w:tc>
        <w:tc>
          <w:tcPr>
            <w:tcW w:w="1160" w:type="dxa"/>
            <w:noWrap/>
            <w:vAlign w:val="center"/>
            <w:hideMark/>
          </w:tcPr>
          <w:p w14:paraId="127919B8" w14:textId="6258E33B"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HR246</w:t>
            </w:r>
          </w:p>
        </w:tc>
        <w:tc>
          <w:tcPr>
            <w:tcW w:w="1160" w:type="dxa"/>
            <w:noWrap/>
            <w:vAlign w:val="center"/>
            <w:hideMark/>
          </w:tcPr>
          <w:p w14:paraId="4ADC68BB" w14:textId="612979DF"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2022</w:t>
            </w:r>
          </w:p>
        </w:tc>
        <w:tc>
          <w:tcPr>
            <w:tcW w:w="780" w:type="dxa"/>
            <w:noWrap/>
            <w:vAlign w:val="center"/>
            <w:hideMark/>
          </w:tcPr>
          <w:p w14:paraId="04AAB351" w14:textId="0C0F82CC"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23ADD4B0" w14:textId="3A5D6C34"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Creates study group to examine ESG factors in lending and investment practices </w:t>
            </w:r>
          </w:p>
        </w:tc>
      </w:tr>
      <w:tr w:rsidR="00BA3AF3" w:rsidRPr="00063811" w14:paraId="525D6107"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4CAF71B1" w14:textId="384451F7" w:rsidR="00BA3AF3" w:rsidRPr="008612B7" w:rsidRDefault="00BA3AF3" w:rsidP="00F256FD">
            <w:pPr>
              <w:rPr>
                <w:b w:val="0"/>
                <w:bCs w:val="0"/>
                <w:color w:val="000000"/>
                <w:sz w:val="20"/>
                <w:szCs w:val="20"/>
              </w:rPr>
            </w:pPr>
            <w:r w:rsidRPr="008612B7">
              <w:rPr>
                <w:b w:val="0"/>
                <w:bCs w:val="0"/>
                <w:color w:val="000000"/>
                <w:sz w:val="20"/>
                <w:szCs w:val="20"/>
              </w:rPr>
              <w:t xml:space="preserve">Louisiana </w:t>
            </w:r>
          </w:p>
        </w:tc>
        <w:tc>
          <w:tcPr>
            <w:tcW w:w="1160" w:type="dxa"/>
            <w:noWrap/>
            <w:vAlign w:val="center"/>
            <w:hideMark/>
          </w:tcPr>
          <w:p w14:paraId="01A9802D" w14:textId="4E99B6AA"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HCR78</w:t>
            </w:r>
          </w:p>
        </w:tc>
        <w:tc>
          <w:tcPr>
            <w:tcW w:w="1160" w:type="dxa"/>
            <w:noWrap/>
            <w:vAlign w:val="center"/>
            <w:hideMark/>
          </w:tcPr>
          <w:p w14:paraId="5EA6EEE6" w14:textId="25B1BDC5"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4527E25E" w14:textId="1777D20B"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26241C46" w14:textId="33D2D5B6"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Requires public higher education institutions to justify their use of ESG criteria </w:t>
            </w:r>
          </w:p>
        </w:tc>
      </w:tr>
      <w:tr w:rsidR="00BA3AF3" w:rsidRPr="00063811" w14:paraId="16B14D4A"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63601AD7" w14:textId="339A0F28" w:rsidR="00BA3AF3" w:rsidRPr="008612B7" w:rsidRDefault="00BA3AF3" w:rsidP="00F256FD">
            <w:pPr>
              <w:rPr>
                <w:b w:val="0"/>
                <w:bCs w:val="0"/>
                <w:color w:val="000000"/>
                <w:sz w:val="20"/>
                <w:szCs w:val="20"/>
              </w:rPr>
            </w:pPr>
            <w:r w:rsidRPr="008612B7">
              <w:rPr>
                <w:b w:val="0"/>
                <w:bCs w:val="0"/>
                <w:color w:val="000000"/>
                <w:sz w:val="20"/>
                <w:szCs w:val="20"/>
              </w:rPr>
              <w:t xml:space="preserve">Louisiana </w:t>
            </w:r>
          </w:p>
        </w:tc>
        <w:tc>
          <w:tcPr>
            <w:tcW w:w="1160" w:type="dxa"/>
            <w:noWrap/>
            <w:vAlign w:val="center"/>
            <w:hideMark/>
          </w:tcPr>
          <w:p w14:paraId="78F28703" w14:textId="22726194"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HCR59</w:t>
            </w:r>
          </w:p>
        </w:tc>
        <w:tc>
          <w:tcPr>
            <w:tcW w:w="1160" w:type="dxa"/>
            <w:noWrap/>
            <w:vAlign w:val="center"/>
            <w:hideMark/>
          </w:tcPr>
          <w:p w14:paraId="0B328749" w14:textId="0344E329"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2C7CC57A" w14:textId="07E1737B"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49B09783" w14:textId="38627297"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Formally opposes SEC's proposed climate disclosure requirements </w:t>
            </w:r>
          </w:p>
        </w:tc>
      </w:tr>
      <w:tr w:rsidR="00BA3AF3" w:rsidRPr="00063811" w14:paraId="60A04624"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2AEEDB6A" w14:textId="71786A7C" w:rsidR="00BA3AF3" w:rsidRPr="008612B7" w:rsidRDefault="00BA3AF3" w:rsidP="00F256FD">
            <w:pPr>
              <w:rPr>
                <w:b w:val="0"/>
                <w:bCs w:val="0"/>
                <w:color w:val="000000"/>
                <w:sz w:val="20"/>
                <w:szCs w:val="20"/>
              </w:rPr>
            </w:pPr>
            <w:r w:rsidRPr="008612B7">
              <w:rPr>
                <w:b w:val="0"/>
                <w:bCs w:val="0"/>
                <w:color w:val="000000"/>
                <w:sz w:val="20"/>
                <w:szCs w:val="20"/>
              </w:rPr>
              <w:t xml:space="preserve">Mississippi </w:t>
            </w:r>
          </w:p>
        </w:tc>
        <w:tc>
          <w:tcPr>
            <w:tcW w:w="1160" w:type="dxa"/>
            <w:noWrap/>
            <w:vAlign w:val="center"/>
            <w:hideMark/>
          </w:tcPr>
          <w:p w14:paraId="28642895" w14:textId="04805244"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SB2226</w:t>
            </w:r>
          </w:p>
        </w:tc>
        <w:tc>
          <w:tcPr>
            <w:tcW w:w="1160" w:type="dxa"/>
            <w:noWrap/>
            <w:vAlign w:val="center"/>
            <w:hideMark/>
          </w:tcPr>
          <w:p w14:paraId="2575A303" w14:textId="4BE2E83E"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2CFB7D7D" w14:textId="711898FC"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4709DE41" w14:textId="78A04ACC"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Extends prohibition against state investment in companies that boycott Israel </w:t>
            </w:r>
          </w:p>
        </w:tc>
      </w:tr>
      <w:tr w:rsidR="00BA3AF3" w:rsidRPr="00063811" w14:paraId="735EAAB1"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7FAFCDCF" w14:textId="27E0ADCD" w:rsidR="00BA3AF3" w:rsidRPr="008612B7" w:rsidRDefault="00BA3AF3" w:rsidP="00F256FD">
            <w:pPr>
              <w:rPr>
                <w:b w:val="0"/>
                <w:bCs w:val="0"/>
                <w:color w:val="000000"/>
                <w:sz w:val="20"/>
                <w:szCs w:val="20"/>
              </w:rPr>
            </w:pPr>
            <w:r w:rsidRPr="008612B7">
              <w:rPr>
                <w:b w:val="0"/>
                <w:bCs w:val="0"/>
                <w:color w:val="000000"/>
                <w:sz w:val="20"/>
                <w:szCs w:val="20"/>
              </w:rPr>
              <w:t xml:space="preserve">Missouri </w:t>
            </w:r>
          </w:p>
        </w:tc>
        <w:tc>
          <w:tcPr>
            <w:tcW w:w="1160" w:type="dxa"/>
            <w:noWrap/>
            <w:vAlign w:val="center"/>
            <w:hideMark/>
          </w:tcPr>
          <w:p w14:paraId="16776C46" w14:textId="60535AAC"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HR12</w:t>
            </w:r>
          </w:p>
        </w:tc>
        <w:tc>
          <w:tcPr>
            <w:tcW w:w="1160" w:type="dxa"/>
            <w:noWrap/>
            <w:vAlign w:val="center"/>
            <w:hideMark/>
          </w:tcPr>
          <w:p w14:paraId="7E816675" w14:textId="045AB09D"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45449D13" w14:textId="06D5F798"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744AC46E" w14:textId="30EC69B6"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Opposes federal climate-related financial disclosure requirements and ESG mandates </w:t>
            </w:r>
          </w:p>
        </w:tc>
      </w:tr>
      <w:tr w:rsidR="00BA3AF3" w:rsidRPr="00063811" w14:paraId="5B88EE41"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11C73686" w14:textId="27F973EA" w:rsidR="00BA3AF3" w:rsidRPr="008612B7" w:rsidRDefault="00BA3AF3" w:rsidP="00F256FD">
            <w:pPr>
              <w:rPr>
                <w:b w:val="0"/>
                <w:bCs w:val="0"/>
                <w:color w:val="000000"/>
                <w:sz w:val="20"/>
                <w:szCs w:val="20"/>
              </w:rPr>
            </w:pPr>
            <w:r w:rsidRPr="008612B7">
              <w:rPr>
                <w:b w:val="0"/>
                <w:bCs w:val="0"/>
                <w:color w:val="000000"/>
                <w:sz w:val="20"/>
                <w:szCs w:val="20"/>
              </w:rPr>
              <w:t xml:space="preserve">Montana </w:t>
            </w:r>
          </w:p>
        </w:tc>
        <w:tc>
          <w:tcPr>
            <w:tcW w:w="1160" w:type="dxa"/>
            <w:noWrap/>
            <w:vAlign w:val="center"/>
            <w:hideMark/>
          </w:tcPr>
          <w:p w14:paraId="22836DA6" w14:textId="590DC482"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HB228</w:t>
            </w:r>
          </w:p>
        </w:tc>
        <w:tc>
          <w:tcPr>
            <w:tcW w:w="1160" w:type="dxa"/>
            <w:noWrap/>
            <w:vAlign w:val="center"/>
            <w:hideMark/>
          </w:tcPr>
          <w:p w14:paraId="27125146" w14:textId="1592CFF8"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04C4A75A" w14:textId="28E5FCE8"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0754CEA9" w14:textId="5DCA31FC"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Prohibits consideration of ESG factors in state investment decisions unless they directly impact financial returns </w:t>
            </w:r>
          </w:p>
        </w:tc>
      </w:tr>
      <w:tr w:rsidR="00BA3AF3" w:rsidRPr="00063811" w14:paraId="4E4EEDDB"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2F290AAE" w14:textId="41279E87" w:rsidR="00BA3AF3" w:rsidRPr="008612B7" w:rsidRDefault="00BA3AF3" w:rsidP="00F256FD">
            <w:pPr>
              <w:rPr>
                <w:b w:val="0"/>
                <w:bCs w:val="0"/>
                <w:color w:val="000000"/>
                <w:sz w:val="20"/>
                <w:szCs w:val="20"/>
              </w:rPr>
            </w:pPr>
            <w:r w:rsidRPr="008612B7">
              <w:rPr>
                <w:b w:val="0"/>
                <w:bCs w:val="0"/>
                <w:color w:val="000000"/>
                <w:sz w:val="20"/>
                <w:szCs w:val="20"/>
              </w:rPr>
              <w:lastRenderedPageBreak/>
              <w:t xml:space="preserve">Montana </w:t>
            </w:r>
          </w:p>
        </w:tc>
        <w:tc>
          <w:tcPr>
            <w:tcW w:w="1160" w:type="dxa"/>
            <w:noWrap/>
            <w:vAlign w:val="center"/>
            <w:hideMark/>
          </w:tcPr>
          <w:p w14:paraId="548B9199" w14:textId="747A0695"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HB356</w:t>
            </w:r>
          </w:p>
        </w:tc>
        <w:tc>
          <w:tcPr>
            <w:tcW w:w="1160" w:type="dxa"/>
            <w:noWrap/>
            <w:vAlign w:val="center"/>
            <w:hideMark/>
          </w:tcPr>
          <w:p w14:paraId="095D7300" w14:textId="391CAEA1"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6111875D" w14:textId="4AD575BB"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7882D5BF" w14:textId="083469C4"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Prohibits state entities from contracting with companies that discriminate against firearms businesses </w:t>
            </w:r>
          </w:p>
        </w:tc>
      </w:tr>
      <w:tr w:rsidR="00BA3AF3" w:rsidRPr="00063811" w14:paraId="3A9A6349"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4507D2EF" w14:textId="34B93B60" w:rsidR="00BA3AF3" w:rsidRPr="008612B7" w:rsidRDefault="00BA3AF3" w:rsidP="00F256FD">
            <w:pPr>
              <w:rPr>
                <w:b w:val="0"/>
                <w:bCs w:val="0"/>
                <w:color w:val="000000"/>
                <w:sz w:val="20"/>
                <w:szCs w:val="20"/>
              </w:rPr>
            </w:pPr>
            <w:r w:rsidRPr="008612B7">
              <w:rPr>
                <w:b w:val="0"/>
                <w:bCs w:val="0"/>
                <w:color w:val="000000"/>
                <w:sz w:val="20"/>
                <w:szCs w:val="20"/>
              </w:rPr>
              <w:t xml:space="preserve">Montana </w:t>
            </w:r>
          </w:p>
        </w:tc>
        <w:tc>
          <w:tcPr>
            <w:tcW w:w="1160" w:type="dxa"/>
            <w:noWrap/>
            <w:vAlign w:val="center"/>
            <w:hideMark/>
          </w:tcPr>
          <w:p w14:paraId="5833F5A3" w14:textId="2DC9C118"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HJ11</w:t>
            </w:r>
          </w:p>
        </w:tc>
        <w:tc>
          <w:tcPr>
            <w:tcW w:w="1160" w:type="dxa"/>
            <w:noWrap/>
            <w:vAlign w:val="center"/>
            <w:hideMark/>
          </w:tcPr>
          <w:p w14:paraId="5C634DBF" w14:textId="464C39DD"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68AA88ED" w14:textId="4C88360A"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7153E58E" w14:textId="28EF87AB"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Urges Congress to oppose ESG policies deemed harmful to resource-based economy </w:t>
            </w:r>
          </w:p>
        </w:tc>
      </w:tr>
      <w:tr w:rsidR="00BA3AF3" w:rsidRPr="00063811" w14:paraId="23BB87A5"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4FDFB42C" w14:textId="529B8E91" w:rsidR="00BA3AF3" w:rsidRPr="008612B7" w:rsidRDefault="00BA3AF3" w:rsidP="00F256FD">
            <w:pPr>
              <w:rPr>
                <w:b w:val="0"/>
                <w:bCs w:val="0"/>
                <w:color w:val="000000"/>
                <w:sz w:val="20"/>
                <w:szCs w:val="20"/>
              </w:rPr>
            </w:pPr>
            <w:r w:rsidRPr="008612B7">
              <w:rPr>
                <w:b w:val="0"/>
                <w:bCs w:val="0"/>
                <w:color w:val="000000"/>
                <w:sz w:val="20"/>
                <w:szCs w:val="20"/>
              </w:rPr>
              <w:t xml:space="preserve">Nebraska </w:t>
            </w:r>
          </w:p>
        </w:tc>
        <w:tc>
          <w:tcPr>
            <w:tcW w:w="1160" w:type="dxa"/>
            <w:noWrap/>
            <w:vAlign w:val="center"/>
            <w:hideMark/>
          </w:tcPr>
          <w:p w14:paraId="540FCEDB" w14:textId="000E3DA3"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LB686</w:t>
            </w:r>
          </w:p>
        </w:tc>
        <w:tc>
          <w:tcPr>
            <w:tcW w:w="1160" w:type="dxa"/>
            <w:noWrap/>
            <w:vAlign w:val="center"/>
            <w:hideMark/>
          </w:tcPr>
          <w:p w14:paraId="7D7F7D59" w14:textId="08704173"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1EF8BEB6" w14:textId="6379C357"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47B91DDD" w14:textId="19B752C8"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Establishes governance framework for firefighter retirement systems with fiduciary responsibility focus </w:t>
            </w:r>
          </w:p>
        </w:tc>
      </w:tr>
      <w:tr w:rsidR="00BA3AF3" w:rsidRPr="00063811" w14:paraId="6BB9F1CE"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6C4F8F0B" w14:textId="63C9DFCC" w:rsidR="00BA3AF3" w:rsidRPr="008612B7" w:rsidRDefault="00BA3AF3" w:rsidP="00F256FD">
            <w:pPr>
              <w:rPr>
                <w:b w:val="0"/>
                <w:bCs w:val="0"/>
                <w:color w:val="000000"/>
                <w:sz w:val="20"/>
                <w:szCs w:val="20"/>
              </w:rPr>
            </w:pPr>
            <w:r w:rsidRPr="008612B7">
              <w:rPr>
                <w:b w:val="0"/>
                <w:bCs w:val="0"/>
                <w:color w:val="000000"/>
                <w:sz w:val="20"/>
                <w:szCs w:val="20"/>
              </w:rPr>
              <w:t xml:space="preserve">North Dakota </w:t>
            </w:r>
          </w:p>
        </w:tc>
        <w:tc>
          <w:tcPr>
            <w:tcW w:w="1160" w:type="dxa"/>
            <w:noWrap/>
            <w:vAlign w:val="center"/>
            <w:hideMark/>
          </w:tcPr>
          <w:p w14:paraId="432F8B7D" w14:textId="479A7B28"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SB2291</w:t>
            </w:r>
          </w:p>
        </w:tc>
        <w:tc>
          <w:tcPr>
            <w:tcW w:w="1160" w:type="dxa"/>
            <w:noWrap/>
            <w:vAlign w:val="center"/>
            <w:hideMark/>
          </w:tcPr>
          <w:p w14:paraId="120702DE" w14:textId="456DEC95"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2021</w:t>
            </w:r>
          </w:p>
        </w:tc>
        <w:tc>
          <w:tcPr>
            <w:tcW w:w="780" w:type="dxa"/>
            <w:noWrap/>
            <w:vAlign w:val="center"/>
            <w:hideMark/>
          </w:tcPr>
          <w:p w14:paraId="3205CAED" w14:textId="6EC71A0A"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2346BC7E" w14:textId="1BAEBDE2"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Prohibits state investment board from making "social investments" without financial justification </w:t>
            </w:r>
          </w:p>
        </w:tc>
      </w:tr>
      <w:tr w:rsidR="00BA3AF3" w:rsidRPr="00063811" w14:paraId="05C8C101"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577E6957" w14:textId="665EF42A" w:rsidR="00BA3AF3" w:rsidRPr="008612B7" w:rsidRDefault="00BA3AF3" w:rsidP="00F256FD">
            <w:pPr>
              <w:rPr>
                <w:b w:val="0"/>
                <w:bCs w:val="0"/>
                <w:color w:val="000000"/>
                <w:sz w:val="20"/>
                <w:szCs w:val="20"/>
              </w:rPr>
            </w:pPr>
            <w:r w:rsidRPr="008612B7">
              <w:rPr>
                <w:b w:val="0"/>
                <w:bCs w:val="0"/>
                <w:color w:val="000000"/>
                <w:sz w:val="20"/>
                <w:szCs w:val="20"/>
              </w:rPr>
              <w:t xml:space="preserve">North Dakota </w:t>
            </w:r>
          </w:p>
        </w:tc>
        <w:tc>
          <w:tcPr>
            <w:tcW w:w="1160" w:type="dxa"/>
            <w:noWrap/>
            <w:vAlign w:val="center"/>
            <w:hideMark/>
          </w:tcPr>
          <w:p w14:paraId="279C120A" w14:textId="7160D80F"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HB1429</w:t>
            </w:r>
          </w:p>
        </w:tc>
        <w:tc>
          <w:tcPr>
            <w:tcW w:w="1160" w:type="dxa"/>
            <w:noWrap/>
            <w:vAlign w:val="center"/>
            <w:hideMark/>
          </w:tcPr>
          <w:p w14:paraId="296CBE89" w14:textId="5FC7B09F"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4BD64A63" w14:textId="5E13DE1E"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76F08FC7" w14:textId="5E5C72D8"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Prohibits state entities from making "social investments" and insurance companies from discriminating based on ESG criteria </w:t>
            </w:r>
          </w:p>
        </w:tc>
      </w:tr>
      <w:tr w:rsidR="00BA3AF3" w:rsidRPr="00063811" w14:paraId="3AA2399E"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01A0F2A6" w14:textId="19BF990B" w:rsidR="00BA3AF3" w:rsidRPr="008612B7" w:rsidRDefault="00BA3AF3" w:rsidP="00F256FD">
            <w:pPr>
              <w:rPr>
                <w:b w:val="0"/>
                <w:bCs w:val="0"/>
                <w:color w:val="000000"/>
                <w:sz w:val="20"/>
                <w:szCs w:val="20"/>
              </w:rPr>
            </w:pPr>
            <w:r w:rsidRPr="008612B7">
              <w:rPr>
                <w:b w:val="0"/>
                <w:bCs w:val="0"/>
                <w:color w:val="000000"/>
                <w:sz w:val="20"/>
                <w:szCs w:val="20"/>
              </w:rPr>
              <w:t xml:space="preserve">New Hampshire </w:t>
            </w:r>
          </w:p>
        </w:tc>
        <w:tc>
          <w:tcPr>
            <w:tcW w:w="1160" w:type="dxa"/>
            <w:noWrap/>
            <w:vAlign w:val="center"/>
            <w:hideMark/>
          </w:tcPr>
          <w:p w14:paraId="16896F06" w14:textId="32131BA6"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HB457</w:t>
            </w:r>
          </w:p>
        </w:tc>
        <w:tc>
          <w:tcPr>
            <w:tcW w:w="1160" w:type="dxa"/>
            <w:noWrap/>
            <w:vAlign w:val="center"/>
            <w:hideMark/>
          </w:tcPr>
          <w:p w14:paraId="3174ECCF" w14:textId="1DC5F67E"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6DAD85F2" w14:textId="3990EF34"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34F874B6" w14:textId="744A383D"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Requires state treasurer to prioritize financial benefits and report on funds with "mixed motivations" </w:t>
            </w:r>
          </w:p>
        </w:tc>
      </w:tr>
      <w:tr w:rsidR="00BA3AF3" w:rsidRPr="00063811" w14:paraId="714E35CC"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7C893185" w14:textId="6B182E92" w:rsidR="00BA3AF3" w:rsidRPr="008612B7" w:rsidRDefault="00BA3AF3" w:rsidP="00F256FD">
            <w:pPr>
              <w:rPr>
                <w:b w:val="0"/>
                <w:bCs w:val="0"/>
                <w:color w:val="000000"/>
                <w:sz w:val="20"/>
                <w:szCs w:val="20"/>
              </w:rPr>
            </w:pPr>
            <w:r w:rsidRPr="008612B7">
              <w:rPr>
                <w:b w:val="0"/>
                <w:bCs w:val="0"/>
                <w:color w:val="000000"/>
                <w:sz w:val="20"/>
                <w:szCs w:val="20"/>
              </w:rPr>
              <w:t xml:space="preserve">New Hampshire </w:t>
            </w:r>
          </w:p>
        </w:tc>
        <w:tc>
          <w:tcPr>
            <w:tcW w:w="1160" w:type="dxa"/>
            <w:noWrap/>
            <w:vAlign w:val="center"/>
            <w:hideMark/>
          </w:tcPr>
          <w:p w14:paraId="363DB454" w14:textId="05283F27"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HB1469</w:t>
            </w:r>
          </w:p>
        </w:tc>
        <w:tc>
          <w:tcPr>
            <w:tcW w:w="1160" w:type="dxa"/>
            <w:noWrap/>
            <w:vAlign w:val="center"/>
            <w:hideMark/>
          </w:tcPr>
          <w:p w14:paraId="783BBB7A" w14:textId="77F94695"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2022</w:t>
            </w:r>
          </w:p>
        </w:tc>
        <w:tc>
          <w:tcPr>
            <w:tcW w:w="780" w:type="dxa"/>
            <w:noWrap/>
            <w:vAlign w:val="center"/>
            <w:hideMark/>
          </w:tcPr>
          <w:p w14:paraId="269423AB" w14:textId="2826A726"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1C2923C6" w14:textId="46CE52C5"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Prohibits banks from using social credit scores or ESG criteria in business decisions </w:t>
            </w:r>
          </w:p>
        </w:tc>
      </w:tr>
      <w:tr w:rsidR="00BA3AF3" w:rsidRPr="00063811" w14:paraId="2C47107D"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6072CF44" w14:textId="15049015" w:rsidR="00BA3AF3" w:rsidRPr="008612B7" w:rsidRDefault="00BA3AF3" w:rsidP="00F256FD">
            <w:pPr>
              <w:rPr>
                <w:b w:val="0"/>
                <w:bCs w:val="0"/>
                <w:color w:val="000000"/>
                <w:sz w:val="20"/>
                <w:szCs w:val="20"/>
              </w:rPr>
            </w:pPr>
            <w:r w:rsidRPr="008612B7">
              <w:rPr>
                <w:b w:val="0"/>
                <w:bCs w:val="0"/>
                <w:color w:val="000000"/>
                <w:sz w:val="20"/>
                <w:szCs w:val="20"/>
              </w:rPr>
              <w:t xml:space="preserve">Oklahoma </w:t>
            </w:r>
          </w:p>
        </w:tc>
        <w:tc>
          <w:tcPr>
            <w:tcW w:w="1160" w:type="dxa"/>
            <w:noWrap/>
            <w:vAlign w:val="center"/>
            <w:hideMark/>
          </w:tcPr>
          <w:p w14:paraId="2F863CCB" w14:textId="5767E94C"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HB2034</w:t>
            </w:r>
          </w:p>
        </w:tc>
        <w:tc>
          <w:tcPr>
            <w:tcW w:w="1160" w:type="dxa"/>
            <w:noWrap/>
            <w:vAlign w:val="center"/>
            <w:hideMark/>
          </w:tcPr>
          <w:p w14:paraId="4BD71076" w14:textId="3C5B5304"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2022</w:t>
            </w:r>
          </w:p>
        </w:tc>
        <w:tc>
          <w:tcPr>
            <w:tcW w:w="780" w:type="dxa"/>
            <w:noWrap/>
            <w:vAlign w:val="center"/>
            <w:hideMark/>
          </w:tcPr>
          <w:p w14:paraId="149F5B1B" w14:textId="2B1EFFE3"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4076E54A" w14:textId="0408205D"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Prohibits state investment in financial companies that "boycott" energy companies </w:t>
            </w:r>
          </w:p>
        </w:tc>
      </w:tr>
      <w:tr w:rsidR="00BA3AF3" w:rsidRPr="00063811" w14:paraId="26A3FFCA"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3D5065A0" w14:textId="04D25B48" w:rsidR="00BA3AF3" w:rsidRPr="008612B7" w:rsidRDefault="00BA3AF3" w:rsidP="00F256FD">
            <w:pPr>
              <w:rPr>
                <w:b w:val="0"/>
                <w:bCs w:val="0"/>
                <w:color w:val="000000"/>
                <w:sz w:val="20"/>
                <w:szCs w:val="20"/>
              </w:rPr>
            </w:pPr>
            <w:r w:rsidRPr="008612B7">
              <w:rPr>
                <w:b w:val="0"/>
                <w:bCs w:val="0"/>
                <w:color w:val="000000"/>
                <w:sz w:val="20"/>
                <w:szCs w:val="20"/>
              </w:rPr>
              <w:t xml:space="preserve">Oklahoma </w:t>
            </w:r>
          </w:p>
        </w:tc>
        <w:tc>
          <w:tcPr>
            <w:tcW w:w="1160" w:type="dxa"/>
            <w:noWrap/>
            <w:vAlign w:val="center"/>
            <w:hideMark/>
          </w:tcPr>
          <w:p w14:paraId="50577946" w14:textId="69AA58AF"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HB1236</w:t>
            </w:r>
          </w:p>
        </w:tc>
        <w:tc>
          <w:tcPr>
            <w:tcW w:w="1160" w:type="dxa"/>
            <w:noWrap/>
            <w:vAlign w:val="center"/>
            <w:hideMark/>
          </w:tcPr>
          <w:p w14:paraId="46D45D94" w14:textId="2C01F7B1"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2021</w:t>
            </w:r>
          </w:p>
        </w:tc>
        <w:tc>
          <w:tcPr>
            <w:tcW w:w="780" w:type="dxa"/>
            <w:noWrap/>
            <w:vAlign w:val="center"/>
            <w:hideMark/>
          </w:tcPr>
          <w:p w14:paraId="5C16C6DD" w14:textId="181361F2"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70D7ECCA" w14:textId="6605B546"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Establishes mechanism to review and potentially reject federal actions related to ESG standards </w:t>
            </w:r>
          </w:p>
        </w:tc>
      </w:tr>
      <w:tr w:rsidR="00BA3AF3" w:rsidRPr="00063811" w14:paraId="531BEF80"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7C98AC57" w14:textId="189770E2" w:rsidR="00BA3AF3" w:rsidRPr="008612B7" w:rsidRDefault="00BA3AF3" w:rsidP="00F256FD">
            <w:pPr>
              <w:rPr>
                <w:b w:val="0"/>
                <w:bCs w:val="0"/>
                <w:color w:val="000000"/>
                <w:sz w:val="20"/>
                <w:szCs w:val="20"/>
              </w:rPr>
            </w:pPr>
            <w:r w:rsidRPr="008612B7">
              <w:rPr>
                <w:b w:val="0"/>
                <w:bCs w:val="0"/>
                <w:color w:val="000000"/>
                <w:sz w:val="20"/>
                <w:szCs w:val="20"/>
              </w:rPr>
              <w:t xml:space="preserve">South Carolina </w:t>
            </w:r>
          </w:p>
        </w:tc>
        <w:tc>
          <w:tcPr>
            <w:tcW w:w="1160" w:type="dxa"/>
            <w:noWrap/>
            <w:vAlign w:val="center"/>
            <w:hideMark/>
          </w:tcPr>
          <w:p w14:paraId="08187C25" w14:textId="57B99719"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H3690</w:t>
            </w:r>
          </w:p>
        </w:tc>
        <w:tc>
          <w:tcPr>
            <w:tcW w:w="1160" w:type="dxa"/>
            <w:noWrap/>
            <w:vAlign w:val="center"/>
            <w:hideMark/>
          </w:tcPr>
          <w:p w14:paraId="2E5F58B5" w14:textId="78AE8BBA"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1ADAD340" w14:textId="5A214232"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57E6FA44" w14:textId="77612CEF"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Prohibits consideration of environmental, social, or political factors in pension investment decisions </w:t>
            </w:r>
          </w:p>
        </w:tc>
      </w:tr>
      <w:tr w:rsidR="00BA3AF3" w:rsidRPr="00063811" w14:paraId="6F0E094D"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71BFD172" w14:textId="6C4EB3B7" w:rsidR="00BA3AF3" w:rsidRPr="008612B7" w:rsidRDefault="00BA3AF3" w:rsidP="00F256FD">
            <w:pPr>
              <w:rPr>
                <w:b w:val="0"/>
                <w:bCs w:val="0"/>
                <w:color w:val="000000"/>
                <w:sz w:val="20"/>
                <w:szCs w:val="20"/>
              </w:rPr>
            </w:pPr>
            <w:r w:rsidRPr="008612B7">
              <w:rPr>
                <w:b w:val="0"/>
                <w:bCs w:val="0"/>
                <w:color w:val="000000"/>
                <w:sz w:val="20"/>
                <w:szCs w:val="20"/>
              </w:rPr>
              <w:t xml:space="preserve">Tennessee </w:t>
            </w:r>
          </w:p>
        </w:tc>
        <w:tc>
          <w:tcPr>
            <w:tcW w:w="1160" w:type="dxa"/>
            <w:noWrap/>
            <w:vAlign w:val="center"/>
            <w:hideMark/>
          </w:tcPr>
          <w:p w14:paraId="66D2FB59" w14:textId="09573F82"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SB0955</w:t>
            </w:r>
          </w:p>
        </w:tc>
        <w:tc>
          <w:tcPr>
            <w:tcW w:w="1160" w:type="dxa"/>
            <w:noWrap/>
            <w:vAlign w:val="center"/>
            <w:hideMark/>
          </w:tcPr>
          <w:p w14:paraId="470165C4" w14:textId="7E7343C1"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1BA9E147" w14:textId="110A43E6"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5F3428CC" w14:textId="0F096B2C"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Establishes state treasurer as sole fiduciary authority over state investment decisions </w:t>
            </w:r>
          </w:p>
        </w:tc>
      </w:tr>
      <w:tr w:rsidR="00BA3AF3" w:rsidRPr="00063811" w14:paraId="485F0E5D"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0887BE18" w14:textId="7F7FFE60" w:rsidR="00BA3AF3" w:rsidRPr="008612B7" w:rsidRDefault="00BA3AF3" w:rsidP="00F256FD">
            <w:pPr>
              <w:rPr>
                <w:b w:val="0"/>
                <w:bCs w:val="0"/>
                <w:color w:val="000000"/>
                <w:sz w:val="20"/>
                <w:szCs w:val="20"/>
              </w:rPr>
            </w:pPr>
            <w:r w:rsidRPr="008612B7">
              <w:rPr>
                <w:b w:val="0"/>
                <w:bCs w:val="0"/>
                <w:color w:val="000000"/>
                <w:sz w:val="20"/>
                <w:szCs w:val="20"/>
              </w:rPr>
              <w:t xml:space="preserve">Tennessee </w:t>
            </w:r>
          </w:p>
        </w:tc>
        <w:tc>
          <w:tcPr>
            <w:tcW w:w="1160" w:type="dxa"/>
            <w:noWrap/>
            <w:vAlign w:val="center"/>
            <w:hideMark/>
          </w:tcPr>
          <w:p w14:paraId="5A946094" w14:textId="6ECA4B0C"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HB1286</w:t>
            </w:r>
          </w:p>
        </w:tc>
        <w:tc>
          <w:tcPr>
            <w:tcW w:w="1160" w:type="dxa"/>
            <w:noWrap/>
            <w:vAlign w:val="center"/>
            <w:hideMark/>
          </w:tcPr>
          <w:p w14:paraId="094A0102" w14:textId="6BA8545F"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77156B23" w14:textId="76D2AD6E"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0BBC0D83" w14:textId="02443DF4"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Requires state treasurer to make investment decisions based solely on financial factors </w:t>
            </w:r>
          </w:p>
        </w:tc>
      </w:tr>
      <w:tr w:rsidR="00BA3AF3" w:rsidRPr="00063811" w14:paraId="7E27F4C5"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01B6F356" w14:textId="5E265461" w:rsidR="00BA3AF3" w:rsidRPr="008612B7" w:rsidRDefault="00BA3AF3" w:rsidP="00F256FD">
            <w:pPr>
              <w:rPr>
                <w:b w:val="0"/>
                <w:bCs w:val="0"/>
                <w:color w:val="000000"/>
                <w:sz w:val="20"/>
                <w:szCs w:val="20"/>
              </w:rPr>
            </w:pPr>
            <w:r w:rsidRPr="008612B7">
              <w:rPr>
                <w:b w:val="0"/>
                <w:bCs w:val="0"/>
                <w:color w:val="000000"/>
                <w:sz w:val="20"/>
                <w:szCs w:val="20"/>
              </w:rPr>
              <w:lastRenderedPageBreak/>
              <w:t xml:space="preserve">Tennessee </w:t>
            </w:r>
          </w:p>
        </w:tc>
        <w:tc>
          <w:tcPr>
            <w:tcW w:w="1160" w:type="dxa"/>
            <w:noWrap/>
            <w:vAlign w:val="center"/>
            <w:hideMark/>
          </w:tcPr>
          <w:p w14:paraId="62A1CCC8" w14:textId="3CDE2362"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HB2672</w:t>
            </w:r>
          </w:p>
        </w:tc>
        <w:tc>
          <w:tcPr>
            <w:tcW w:w="1160" w:type="dxa"/>
            <w:noWrap/>
            <w:vAlign w:val="center"/>
            <w:hideMark/>
          </w:tcPr>
          <w:p w14:paraId="743A0ABE" w14:textId="704DB0E3"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2022</w:t>
            </w:r>
          </w:p>
        </w:tc>
        <w:tc>
          <w:tcPr>
            <w:tcW w:w="780" w:type="dxa"/>
            <w:noWrap/>
            <w:vAlign w:val="center"/>
            <w:hideMark/>
          </w:tcPr>
          <w:p w14:paraId="71BB160E" w14:textId="4A669C76"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3149FAD1" w14:textId="6D7A2758"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Prohibits state treasurer from contracting with financial institutions that have policies against financing fossil fuel companies </w:t>
            </w:r>
          </w:p>
        </w:tc>
      </w:tr>
      <w:tr w:rsidR="00BA3AF3" w:rsidRPr="00063811" w14:paraId="5E45AC96"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5DE62965" w14:textId="2CF8C18F" w:rsidR="00BA3AF3" w:rsidRPr="008612B7" w:rsidRDefault="00BA3AF3" w:rsidP="00F256FD">
            <w:pPr>
              <w:rPr>
                <w:b w:val="0"/>
                <w:bCs w:val="0"/>
                <w:color w:val="000000"/>
                <w:sz w:val="20"/>
                <w:szCs w:val="20"/>
              </w:rPr>
            </w:pPr>
            <w:r w:rsidRPr="008612B7">
              <w:rPr>
                <w:b w:val="0"/>
                <w:bCs w:val="0"/>
                <w:color w:val="000000"/>
                <w:sz w:val="20"/>
                <w:szCs w:val="20"/>
              </w:rPr>
              <w:t xml:space="preserve">Tennessee </w:t>
            </w:r>
          </w:p>
        </w:tc>
        <w:tc>
          <w:tcPr>
            <w:tcW w:w="1160" w:type="dxa"/>
            <w:noWrap/>
            <w:vAlign w:val="center"/>
            <w:hideMark/>
          </w:tcPr>
          <w:p w14:paraId="61CEDD08" w14:textId="0DCCCE30"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SB2649</w:t>
            </w:r>
          </w:p>
        </w:tc>
        <w:tc>
          <w:tcPr>
            <w:tcW w:w="1160" w:type="dxa"/>
            <w:noWrap/>
            <w:vAlign w:val="center"/>
            <w:hideMark/>
          </w:tcPr>
          <w:p w14:paraId="580277D6" w14:textId="20FD367E"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2022</w:t>
            </w:r>
          </w:p>
        </w:tc>
        <w:tc>
          <w:tcPr>
            <w:tcW w:w="780" w:type="dxa"/>
            <w:noWrap/>
            <w:vAlign w:val="center"/>
            <w:hideMark/>
          </w:tcPr>
          <w:p w14:paraId="71BC3736" w14:textId="4A2F4F55"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5C9F1717" w14:textId="6ABCF118"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Prohibits state treasurer from contracting with financial institutions that have policies against financing fossil fuel companies </w:t>
            </w:r>
          </w:p>
        </w:tc>
      </w:tr>
      <w:tr w:rsidR="00BA3AF3" w:rsidRPr="00063811" w14:paraId="4EBB7F8C"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31FAF187" w14:textId="02811469" w:rsidR="00BA3AF3" w:rsidRPr="008612B7" w:rsidRDefault="00BA3AF3" w:rsidP="00F256FD">
            <w:pPr>
              <w:rPr>
                <w:b w:val="0"/>
                <w:bCs w:val="0"/>
                <w:color w:val="000000"/>
                <w:sz w:val="20"/>
                <w:szCs w:val="20"/>
              </w:rPr>
            </w:pPr>
            <w:r w:rsidRPr="008612B7">
              <w:rPr>
                <w:b w:val="0"/>
                <w:bCs w:val="0"/>
                <w:color w:val="000000"/>
                <w:sz w:val="20"/>
                <w:szCs w:val="20"/>
              </w:rPr>
              <w:t xml:space="preserve">Tennessee </w:t>
            </w:r>
          </w:p>
        </w:tc>
        <w:tc>
          <w:tcPr>
            <w:tcW w:w="1160" w:type="dxa"/>
            <w:noWrap/>
            <w:vAlign w:val="center"/>
            <w:hideMark/>
          </w:tcPr>
          <w:p w14:paraId="03108543" w14:textId="5CB72EF2"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SB2148</w:t>
            </w:r>
          </w:p>
        </w:tc>
        <w:tc>
          <w:tcPr>
            <w:tcW w:w="1160" w:type="dxa"/>
            <w:noWrap/>
            <w:vAlign w:val="center"/>
            <w:hideMark/>
          </w:tcPr>
          <w:p w14:paraId="2BD51E2D" w14:textId="23F843AE"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29F37F17" w14:textId="40D91A05"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7D5F5E8F" w14:textId="3394B3A8"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Prevents financial institutions from discriminating against customers based on non-financial factors </w:t>
            </w:r>
          </w:p>
        </w:tc>
      </w:tr>
      <w:tr w:rsidR="00BA3AF3" w:rsidRPr="00063811" w14:paraId="07C32F7A"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0A18F168" w14:textId="5A90DD27" w:rsidR="00BA3AF3" w:rsidRPr="008612B7" w:rsidRDefault="00BA3AF3" w:rsidP="00F256FD">
            <w:pPr>
              <w:rPr>
                <w:b w:val="0"/>
                <w:bCs w:val="0"/>
                <w:color w:val="000000"/>
                <w:sz w:val="20"/>
                <w:szCs w:val="20"/>
              </w:rPr>
            </w:pPr>
            <w:r w:rsidRPr="008612B7">
              <w:rPr>
                <w:b w:val="0"/>
                <w:bCs w:val="0"/>
                <w:color w:val="000000"/>
                <w:sz w:val="20"/>
                <w:szCs w:val="20"/>
              </w:rPr>
              <w:t xml:space="preserve">Tennessee </w:t>
            </w:r>
          </w:p>
        </w:tc>
        <w:tc>
          <w:tcPr>
            <w:tcW w:w="1160" w:type="dxa"/>
            <w:noWrap/>
            <w:vAlign w:val="center"/>
            <w:hideMark/>
          </w:tcPr>
          <w:p w14:paraId="79F1EA8F" w14:textId="0BFB4323"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HB2100</w:t>
            </w:r>
          </w:p>
        </w:tc>
        <w:tc>
          <w:tcPr>
            <w:tcW w:w="1160" w:type="dxa"/>
            <w:noWrap/>
            <w:vAlign w:val="center"/>
            <w:hideMark/>
          </w:tcPr>
          <w:p w14:paraId="50C0709A" w14:textId="03238D5F"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01AC9925" w14:textId="59872577"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557BC1B5" w14:textId="2EB0114E"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Prohibits financial institutions from denying services based on political opinions or business sector </w:t>
            </w:r>
          </w:p>
        </w:tc>
      </w:tr>
      <w:tr w:rsidR="00BA3AF3" w:rsidRPr="00063811" w14:paraId="3EBF2CA6"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660102F5" w14:textId="22E8DDC7" w:rsidR="00BA3AF3" w:rsidRPr="008612B7" w:rsidRDefault="00BA3AF3" w:rsidP="00F256FD">
            <w:pPr>
              <w:rPr>
                <w:b w:val="0"/>
                <w:bCs w:val="0"/>
                <w:color w:val="000000"/>
                <w:sz w:val="20"/>
                <w:szCs w:val="20"/>
              </w:rPr>
            </w:pPr>
            <w:r w:rsidRPr="008612B7">
              <w:rPr>
                <w:b w:val="0"/>
                <w:bCs w:val="0"/>
                <w:color w:val="000000"/>
                <w:sz w:val="20"/>
                <w:szCs w:val="20"/>
              </w:rPr>
              <w:t xml:space="preserve">Tennessee </w:t>
            </w:r>
          </w:p>
        </w:tc>
        <w:tc>
          <w:tcPr>
            <w:tcW w:w="1160" w:type="dxa"/>
            <w:noWrap/>
            <w:vAlign w:val="center"/>
            <w:hideMark/>
          </w:tcPr>
          <w:p w14:paraId="4FDB4E37" w14:textId="33D1B7B4"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SB2223</w:t>
            </w:r>
          </w:p>
        </w:tc>
        <w:tc>
          <w:tcPr>
            <w:tcW w:w="1160" w:type="dxa"/>
            <w:noWrap/>
            <w:vAlign w:val="center"/>
            <w:hideMark/>
          </w:tcPr>
          <w:p w14:paraId="2B546C53" w14:textId="6CA07641"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60CC658C" w14:textId="1916C69C"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1C608AF2" w14:textId="0AD529C5"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Prohibits financial institutions from tracking firearm and ammunition purchases through merchant codes </w:t>
            </w:r>
          </w:p>
        </w:tc>
      </w:tr>
      <w:tr w:rsidR="00BA3AF3" w:rsidRPr="00063811" w14:paraId="01E6AAB6"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4720A1C3" w14:textId="79007DD9" w:rsidR="00BA3AF3" w:rsidRPr="008612B7" w:rsidRDefault="00BA3AF3" w:rsidP="00F256FD">
            <w:pPr>
              <w:rPr>
                <w:b w:val="0"/>
                <w:bCs w:val="0"/>
                <w:color w:val="000000"/>
                <w:sz w:val="20"/>
                <w:szCs w:val="20"/>
              </w:rPr>
            </w:pPr>
            <w:r w:rsidRPr="008612B7">
              <w:rPr>
                <w:b w:val="0"/>
                <w:bCs w:val="0"/>
                <w:color w:val="000000"/>
                <w:sz w:val="20"/>
                <w:szCs w:val="20"/>
              </w:rPr>
              <w:t xml:space="preserve">Texas </w:t>
            </w:r>
          </w:p>
        </w:tc>
        <w:tc>
          <w:tcPr>
            <w:tcW w:w="1160" w:type="dxa"/>
            <w:noWrap/>
            <w:vAlign w:val="center"/>
            <w:hideMark/>
          </w:tcPr>
          <w:p w14:paraId="49EA9E4A" w14:textId="11AAC128"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SB19</w:t>
            </w:r>
          </w:p>
        </w:tc>
        <w:tc>
          <w:tcPr>
            <w:tcW w:w="1160" w:type="dxa"/>
            <w:noWrap/>
            <w:vAlign w:val="center"/>
            <w:hideMark/>
          </w:tcPr>
          <w:p w14:paraId="48C75EAA" w14:textId="287B92C0"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2021</w:t>
            </w:r>
          </w:p>
        </w:tc>
        <w:tc>
          <w:tcPr>
            <w:tcW w:w="780" w:type="dxa"/>
            <w:noWrap/>
            <w:vAlign w:val="center"/>
            <w:hideMark/>
          </w:tcPr>
          <w:p w14:paraId="23877B2C" w14:textId="15F716B3"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1F8D118A" w14:textId="1D02ADE0"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Prohibits state contracts with companies that "discriminate" against firearms businesses </w:t>
            </w:r>
          </w:p>
        </w:tc>
      </w:tr>
      <w:tr w:rsidR="00BA3AF3" w:rsidRPr="00063811" w14:paraId="05C22FB0"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092FB7DA" w14:textId="08B3E90E" w:rsidR="00BA3AF3" w:rsidRPr="008612B7" w:rsidRDefault="00BA3AF3" w:rsidP="00F256FD">
            <w:pPr>
              <w:rPr>
                <w:b w:val="0"/>
                <w:bCs w:val="0"/>
                <w:color w:val="000000"/>
                <w:sz w:val="20"/>
                <w:szCs w:val="20"/>
              </w:rPr>
            </w:pPr>
            <w:r w:rsidRPr="008612B7">
              <w:rPr>
                <w:b w:val="0"/>
                <w:bCs w:val="0"/>
                <w:color w:val="000000"/>
                <w:sz w:val="20"/>
                <w:szCs w:val="20"/>
              </w:rPr>
              <w:t xml:space="preserve">Texas </w:t>
            </w:r>
          </w:p>
        </w:tc>
        <w:tc>
          <w:tcPr>
            <w:tcW w:w="1160" w:type="dxa"/>
            <w:noWrap/>
            <w:vAlign w:val="center"/>
            <w:hideMark/>
          </w:tcPr>
          <w:p w14:paraId="06ACCE5D" w14:textId="69E902AE"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SB833</w:t>
            </w:r>
          </w:p>
        </w:tc>
        <w:tc>
          <w:tcPr>
            <w:tcW w:w="1160" w:type="dxa"/>
            <w:noWrap/>
            <w:vAlign w:val="center"/>
            <w:hideMark/>
          </w:tcPr>
          <w:p w14:paraId="2E7577AE" w14:textId="7025DD58"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6B7D17BE" w14:textId="383EE553"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3904BC8D" w14:textId="5B3F0DD6"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Prohibits insurers from using ESG criteria for pricing without sound actuarial principles </w:t>
            </w:r>
          </w:p>
        </w:tc>
      </w:tr>
      <w:tr w:rsidR="00BA3AF3" w:rsidRPr="00063811" w14:paraId="3F8EC89E"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05AC2AD7" w14:textId="09331B88" w:rsidR="00BA3AF3" w:rsidRPr="008612B7" w:rsidRDefault="00BA3AF3" w:rsidP="00F256FD">
            <w:pPr>
              <w:rPr>
                <w:b w:val="0"/>
                <w:bCs w:val="0"/>
                <w:color w:val="000000"/>
                <w:sz w:val="20"/>
                <w:szCs w:val="20"/>
              </w:rPr>
            </w:pPr>
            <w:r w:rsidRPr="008612B7">
              <w:rPr>
                <w:b w:val="0"/>
                <w:bCs w:val="0"/>
                <w:color w:val="000000"/>
                <w:sz w:val="20"/>
                <w:szCs w:val="20"/>
              </w:rPr>
              <w:t xml:space="preserve">Utah </w:t>
            </w:r>
          </w:p>
        </w:tc>
        <w:tc>
          <w:tcPr>
            <w:tcW w:w="1160" w:type="dxa"/>
            <w:noWrap/>
            <w:vAlign w:val="center"/>
            <w:hideMark/>
          </w:tcPr>
          <w:p w14:paraId="38F41A8D" w14:textId="284C2CB4"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SB0096</w:t>
            </w:r>
          </w:p>
        </w:tc>
        <w:tc>
          <w:tcPr>
            <w:tcW w:w="1160" w:type="dxa"/>
            <w:noWrap/>
            <w:vAlign w:val="center"/>
            <w:hideMark/>
          </w:tcPr>
          <w:p w14:paraId="07AB5FA7" w14:textId="16019DEB"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548147A2" w14:textId="3652FCEA"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7EA5F401" w14:textId="283A2F8D"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Requires public entities to make investment decisions solely to maximize risk-adjusted returns </w:t>
            </w:r>
          </w:p>
        </w:tc>
      </w:tr>
      <w:tr w:rsidR="00BA3AF3" w:rsidRPr="00063811" w14:paraId="6543A90F"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63B331C8" w14:textId="302B539B" w:rsidR="00BA3AF3" w:rsidRPr="008612B7" w:rsidRDefault="00BA3AF3" w:rsidP="00F256FD">
            <w:pPr>
              <w:rPr>
                <w:b w:val="0"/>
                <w:bCs w:val="0"/>
                <w:color w:val="000000"/>
                <w:sz w:val="20"/>
                <w:szCs w:val="20"/>
              </w:rPr>
            </w:pPr>
            <w:r w:rsidRPr="008612B7">
              <w:rPr>
                <w:b w:val="0"/>
                <w:bCs w:val="0"/>
                <w:color w:val="000000"/>
                <w:sz w:val="20"/>
                <w:szCs w:val="20"/>
              </w:rPr>
              <w:t xml:space="preserve">Utah </w:t>
            </w:r>
          </w:p>
        </w:tc>
        <w:tc>
          <w:tcPr>
            <w:tcW w:w="1160" w:type="dxa"/>
            <w:noWrap/>
            <w:vAlign w:val="center"/>
            <w:hideMark/>
          </w:tcPr>
          <w:p w14:paraId="6C89C46F" w14:textId="070C79F0"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SCR009</w:t>
            </w:r>
          </w:p>
        </w:tc>
        <w:tc>
          <w:tcPr>
            <w:tcW w:w="1160" w:type="dxa"/>
            <w:noWrap/>
            <w:vAlign w:val="center"/>
            <w:hideMark/>
          </w:tcPr>
          <w:p w14:paraId="7C41BD0C" w14:textId="3D0FED53"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00FE76C4" w14:textId="37C15DD4"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3D1EE4FE" w14:textId="25B4E822"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Opposes ESG investing practices within state financial operations </w:t>
            </w:r>
          </w:p>
        </w:tc>
      </w:tr>
      <w:tr w:rsidR="00BA3AF3" w:rsidRPr="00063811" w14:paraId="299C8A91"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6FB98002" w14:textId="18452864" w:rsidR="00BA3AF3" w:rsidRPr="008612B7" w:rsidRDefault="00BA3AF3" w:rsidP="00F256FD">
            <w:pPr>
              <w:rPr>
                <w:b w:val="0"/>
                <w:bCs w:val="0"/>
                <w:color w:val="000000"/>
                <w:sz w:val="20"/>
                <w:szCs w:val="20"/>
              </w:rPr>
            </w:pPr>
            <w:r w:rsidRPr="008612B7">
              <w:rPr>
                <w:b w:val="0"/>
                <w:bCs w:val="0"/>
                <w:color w:val="000000"/>
                <w:sz w:val="20"/>
                <w:szCs w:val="20"/>
              </w:rPr>
              <w:t xml:space="preserve">Utah </w:t>
            </w:r>
          </w:p>
        </w:tc>
        <w:tc>
          <w:tcPr>
            <w:tcW w:w="1160" w:type="dxa"/>
            <w:noWrap/>
            <w:vAlign w:val="center"/>
            <w:hideMark/>
          </w:tcPr>
          <w:p w14:paraId="3A70CB95" w14:textId="06158571"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SB0097</w:t>
            </w:r>
          </w:p>
        </w:tc>
        <w:tc>
          <w:tcPr>
            <w:tcW w:w="1160" w:type="dxa"/>
            <w:noWrap/>
            <w:vAlign w:val="center"/>
            <w:hideMark/>
          </w:tcPr>
          <w:p w14:paraId="143EDA8A" w14:textId="3E35A8AB"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4A529794" w14:textId="77C9CB63"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5D8DF27D" w14:textId="1FAF5DF9"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Prohibits state entities from contracting with companies engaged in "economic boycotts" of specific industries </w:t>
            </w:r>
          </w:p>
        </w:tc>
      </w:tr>
      <w:tr w:rsidR="00BA3AF3" w:rsidRPr="00063811" w14:paraId="18FCCCD3"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757C9864" w14:textId="3CCCCF9A" w:rsidR="00BA3AF3" w:rsidRPr="008612B7" w:rsidRDefault="00BA3AF3" w:rsidP="00F256FD">
            <w:pPr>
              <w:rPr>
                <w:b w:val="0"/>
                <w:bCs w:val="0"/>
                <w:color w:val="000000"/>
                <w:sz w:val="20"/>
                <w:szCs w:val="20"/>
              </w:rPr>
            </w:pPr>
            <w:r w:rsidRPr="008612B7">
              <w:rPr>
                <w:b w:val="0"/>
                <w:bCs w:val="0"/>
                <w:color w:val="000000"/>
                <w:sz w:val="20"/>
                <w:szCs w:val="20"/>
              </w:rPr>
              <w:t xml:space="preserve">Utah </w:t>
            </w:r>
          </w:p>
        </w:tc>
        <w:tc>
          <w:tcPr>
            <w:tcW w:w="1160" w:type="dxa"/>
            <w:noWrap/>
            <w:vAlign w:val="center"/>
            <w:hideMark/>
          </w:tcPr>
          <w:p w14:paraId="47EF2B9D" w14:textId="14CD3294"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HB0449</w:t>
            </w:r>
          </w:p>
        </w:tc>
        <w:tc>
          <w:tcPr>
            <w:tcW w:w="1160" w:type="dxa"/>
            <w:noWrap/>
            <w:vAlign w:val="center"/>
            <w:hideMark/>
          </w:tcPr>
          <w:p w14:paraId="3D690678" w14:textId="46BDA938"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0129FAAC" w14:textId="41016FFF"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42823A21" w14:textId="64EE2932"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Prohibits coordinated boycotts against companies in specified sectors including fossil fuels </w:t>
            </w:r>
          </w:p>
        </w:tc>
      </w:tr>
      <w:tr w:rsidR="00BA3AF3" w:rsidRPr="00063811" w14:paraId="650F03DE"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354A6882" w14:textId="273F2720" w:rsidR="00BA3AF3" w:rsidRPr="008612B7" w:rsidRDefault="00BA3AF3" w:rsidP="00F256FD">
            <w:pPr>
              <w:rPr>
                <w:b w:val="0"/>
                <w:bCs w:val="0"/>
                <w:color w:val="000000"/>
                <w:sz w:val="20"/>
                <w:szCs w:val="20"/>
              </w:rPr>
            </w:pPr>
            <w:r w:rsidRPr="008612B7">
              <w:rPr>
                <w:b w:val="0"/>
                <w:bCs w:val="0"/>
                <w:color w:val="000000"/>
                <w:sz w:val="20"/>
                <w:szCs w:val="20"/>
              </w:rPr>
              <w:t xml:space="preserve">Utah </w:t>
            </w:r>
          </w:p>
        </w:tc>
        <w:tc>
          <w:tcPr>
            <w:tcW w:w="1160" w:type="dxa"/>
            <w:noWrap/>
            <w:vAlign w:val="center"/>
            <w:hideMark/>
          </w:tcPr>
          <w:p w14:paraId="0298235D" w14:textId="7A671944"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HB0281</w:t>
            </w:r>
          </w:p>
        </w:tc>
        <w:tc>
          <w:tcPr>
            <w:tcW w:w="1160" w:type="dxa"/>
            <w:noWrap/>
            <w:vAlign w:val="center"/>
            <w:hideMark/>
          </w:tcPr>
          <w:p w14:paraId="21915BFD" w14:textId="42602FD3"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6082AB0A" w14:textId="4249F53C"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0FE87CF9" w14:textId="5F0F3196"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Prohibits governmental entities from using social credit scores </w:t>
            </w:r>
          </w:p>
        </w:tc>
      </w:tr>
      <w:tr w:rsidR="00BA3AF3" w:rsidRPr="00063811" w14:paraId="1C13B9EF"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0C144A52" w14:textId="157E3EE2" w:rsidR="00BA3AF3" w:rsidRPr="008612B7" w:rsidRDefault="00BA3AF3" w:rsidP="00F256FD">
            <w:pPr>
              <w:rPr>
                <w:b w:val="0"/>
                <w:bCs w:val="0"/>
                <w:color w:val="000000"/>
                <w:sz w:val="20"/>
                <w:szCs w:val="20"/>
              </w:rPr>
            </w:pPr>
            <w:r w:rsidRPr="008612B7">
              <w:rPr>
                <w:b w:val="0"/>
                <w:bCs w:val="0"/>
                <w:color w:val="000000"/>
                <w:sz w:val="20"/>
                <w:szCs w:val="20"/>
              </w:rPr>
              <w:lastRenderedPageBreak/>
              <w:t xml:space="preserve">Utah </w:t>
            </w:r>
          </w:p>
        </w:tc>
        <w:tc>
          <w:tcPr>
            <w:tcW w:w="1160" w:type="dxa"/>
            <w:noWrap/>
            <w:vAlign w:val="center"/>
            <w:hideMark/>
          </w:tcPr>
          <w:p w14:paraId="0173EA22" w14:textId="2049FE64"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HB0415</w:t>
            </w:r>
          </w:p>
        </w:tc>
        <w:tc>
          <w:tcPr>
            <w:tcW w:w="1160" w:type="dxa"/>
            <w:noWrap/>
            <w:vAlign w:val="center"/>
            <w:hideMark/>
          </w:tcPr>
          <w:p w14:paraId="56E9D29F" w14:textId="0E14A307"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2021</w:t>
            </w:r>
          </w:p>
        </w:tc>
        <w:tc>
          <w:tcPr>
            <w:tcW w:w="780" w:type="dxa"/>
            <w:noWrap/>
            <w:vAlign w:val="center"/>
            <w:hideMark/>
          </w:tcPr>
          <w:p w14:paraId="63420769" w14:textId="60D80F55"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772330CA" w14:textId="0CEC4491"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Restricts implementation of federal executive orders related to ESG standards </w:t>
            </w:r>
          </w:p>
        </w:tc>
      </w:tr>
      <w:tr w:rsidR="00BA3AF3" w:rsidRPr="00063811" w14:paraId="77516FC2"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3BD0C5BD" w14:textId="17E3B407" w:rsidR="00BA3AF3" w:rsidRPr="008612B7" w:rsidRDefault="00BA3AF3" w:rsidP="00F256FD">
            <w:pPr>
              <w:rPr>
                <w:b w:val="0"/>
                <w:bCs w:val="0"/>
                <w:color w:val="000000"/>
                <w:sz w:val="20"/>
                <w:szCs w:val="20"/>
              </w:rPr>
            </w:pPr>
            <w:r w:rsidRPr="008612B7">
              <w:rPr>
                <w:b w:val="0"/>
                <w:bCs w:val="0"/>
                <w:color w:val="000000"/>
                <w:sz w:val="20"/>
                <w:szCs w:val="20"/>
              </w:rPr>
              <w:t xml:space="preserve">West Virginia </w:t>
            </w:r>
          </w:p>
        </w:tc>
        <w:tc>
          <w:tcPr>
            <w:tcW w:w="1160" w:type="dxa"/>
            <w:noWrap/>
            <w:vAlign w:val="center"/>
            <w:hideMark/>
          </w:tcPr>
          <w:p w14:paraId="533EBB2D" w14:textId="7F74123C"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HB2862</w:t>
            </w:r>
          </w:p>
        </w:tc>
        <w:tc>
          <w:tcPr>
            <w:tcW w:w="1160" w:type="dxa"/>
            <w:noWrap/>
            <w:vAlign w:val="center"/>
            <w:hideMark/>
          </w:tcPr>
          <w:p w14:paraId="289F8D2F" w14:textId="652A90C4"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0BF803C4" w14:textId="0A428967"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44B538D0" w14:textId="66274E1B"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Prohibits consideration of ESG factors in investment decisions unless they directly affect financial returns </w:t>
            </w:r>
          </w:p>
        </w:tc>
      </w:tr>
      <w:tr w:rsidR="00BA3AF3" w:rsidRPr="00063811" w14:paraId="5AA89484"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0A394A69" w14:textId="15B9E71B" w:rsidR="00BA3AF3" w:rsidRPr="008612B7" w:rsidRDefault="00BA3AF3" w:rsidP="00F256FD">
            <w:pPr>
              <w:rPr>
                <w:b w:val="0"/>
                <w:bCs w:val="0"/>
                <w:color w:val="000000"/>
                <w:sz w:val="20"/>
                <w:szCs w:val="20"/>
              </w:rPr>
            </w:pPr>
            <w:r w:rsidRPr="008612B7">
              <w:rPr>
                <w:b w:val="0"/>
                <w:bCs w:val="0"/>
                <w:color w:val="000000"/>
                <w:sz w:val="20"/>
                <w:szCs w:val="20"/>
              </w:rPr>
              <w:t xml:space="preserve">West Virginia </w:t>
            </w:r>
          </w:p>
        </w:tc>
        <w:tc>
          <w:tcPr>
            <w:tcW w:w="1160" w:type="dxa"/>
            <w:noWrap/>
            <w:vAlign w:val="center"/>
            <w:hideMark/>
          </w:tcPr>
          <w:p w14:paraId="52E84508" w14:textId="05BC2F08"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SB262</w:t>
            </w:r>
          </w:p>
        </w:tc>
        <w:tc>
          <w:tcPr>
            <w:tcW w:w="1160" w:type="dxa"/>
            <w:noWrap/>
            <w:vAlign w:val="center"/>
            <w:hideMark/>
          </w:tcPr>
          <w:p w14:paraId="33AD2829" w14:textId="7F7DD93F"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2022</w:t>
            </w:r>
          </w:p>
        </w:tc>
        <w:tc>
          <w:tcPr>
            <w:tcW w:w="780" w:type="dxa"/>
            <w:noWrap/>
            <w:vAlign w:val="center"/>
            <w:hideMark/>
          </w:tcPr>
          <w:p w14:paraId="14EA8816" w14:textId="2DE57600"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047369A5" w14:textId="43CE8DEB"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Authorizes creation of a list of financial institutions boycotting energy companies </w:t>
            </w:r>
          </w:p>
        </w:tc>
      </w:tr>
      <w:tr w:rsidR="00BA3AF3" w:rsidRPr="00063811" w14:paraId="491C4905"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105660ED" w14:textId="17E2EE2C" w:rsidR="00BA3AF3" w:rsidRPr="008612B7" w:rsidRDefault="00BA3AF3" w:rsidP="00F256FD">
            <w:pPr>
              <w:rPr>
                <w:b w:val="0"/>
                <w:bCs w:val="0"/>
                <w:color w:val="000000"/>
                <w:sz w:val="20"/>
                <w:szCs w:val="20"/>
              </w:rPr>
            </w:pPr>
            <w:r w:rsidRPr="008612B7">
              <w:rPr>
                <w:b w:val="0"/>
                <w:bCs w:val="0"/>
                <w:color w:val="000000"/>
                <w:sz w:val="20"/>
                <w:szCs w:val="20"/>
              </w:rPr>
              <w:t xml:space="preserve">Wyoming </w:t>
            </w:r>
          </w:p>
        </w:tc>
        <w:tc>
          <w:tcPr>
            <w:tcW w:w="1160" w:type="dxa"/>
            <w:noWrap/>
            <w:vAlign w:val="center"/>
            <w:hideMark/>
          </w:tcPr>
          <w:p w14:paraId="5CD116D3" w14:textId="52F39DAA"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HB0236</w:t>
            </w:r>
          </w:p>
        </w:tc>
        <w:tc>
          <w:tcPr>
            <w:tcW w:w="1160" w:type="dxa"/>
            <w:noWrap/>
            <w:vAlign w:val="center"/>
            <w:hideMark/>
          </w:tcPr>
          <w:p w14:paraId="5C65755E" w14:textId="480705F4"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2021</w:t>
            </w:r>
          </w:p>
        </w:tc>
        <w:tc>
          <w:tcPr>
            <w:tcW w:w="780" w:type="dxa"/>
            <w:noWrap/>
            <w:vAlign w:val="center"/>
            <w:hideMark/>
          </w:tcPr>
          <w:p w14:paraId="3B547363" w14:textId="469E6AE7"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Anti</w:t>
            </w:r>
          </w:p>
        </w:tc>
        <w:tc>
          <w:tcPr>
            <w:tcW w:w="4320" w:type="dxa"/>
            <w:tcBorders>
              <w:right w:val="single" w:sz="4" w:space="0" w:color="auto"/>
            </w:tcBorders>
            <w:noWrap/>
            <w:vAlign w:val="center"/>
            <w:hideMark/>
          </w:tcPr>
          <w:p w14:paraId="31DB6772" w14:textId="18CB2170"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Prohibits financial institutions from discriminating against firearms businesses </w:t>
            </w:r>
          </w:p>
        </w:tc>
      </w:tr>
      <w:tr w:rsidR="00BA3AF3" w:rsidRPr="00063811" w14:paraId="740D0511"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5D2A1F07" w14:textId="4B4B03F0" w:rsidR="00BA3AF3" w:rsidRPr="008612B7" w:rsidRDefault="00BA3AF3" w:rsidP="00F256FD">
            <w:pPr>
              <w:rPr>
                <w:b w:val="0"/>
                <w:bCs w:val="0"/>
                <w:color w:val="000000"/>
                <w:sz w:val="20"/>
                <w:szCs w:val="20"/>
              </w:rPr>
            </w:pPr>
            <w:r w:rsidRPr="008612B7">
              <w:rPr>
                <w:b w:val="0"/>
                <w:bCs w:val="0"/>
                <w:color w:val="000000"/>
                <w:sz w:val="20"/>
                <w:szCs w:val="20"/>
              </w:rPr>
              <w:t xml:space="preserve">California </w:t>
            </w:r>
          </w:p>
        </w:tc>
        <w:tc>
          <w:tcPr>
            <w:tcW w:w="1160" w:type="dxa"/>
            <w:noWrap/>
            <w:vAlign w:val="center"/>
            <w:hideMark/>
          </w:tcPr>
          <w:p w14:paraId="33F5440F" w14:textId="02F4C1D1"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SB1089</w:t>
            </w:r>
          </w:p>
        </w:tc>
        <w:tc>
          <w:tcPr>
            <w:tcW w:w="1160" w:type="dxa"/>
            <w:noWrap/>
            <w:vAlign w:val="center"/>
            <w:hideMark/>
          </w:tcPr>
          <w:p w14:paraId="6340B83B" w14:textId="0791AECF"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2022</w:t>
            </w:r>
          </w:p>
        </w:tc>
        <w:tc>
          <w:tcPr>
            <w:tcW w:w="780" w:type="dxa"/>
            <w:noWrap/>
            <w:vAlign w:val="center"/>
            <w:hideMark/>
          </w:tcPr>
          <w:p w14:paraId="44E8A5E5" w14:textId="4A636D2F"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2C3122B3" w14:textId="54BE04CD"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Extends prohibition on investing in Turkish government securities due to human rights concerns </w:t>
            </w:r>
          </w:p>
        </w:tc>
      </w:tr>
      <w:tr w:rsidR="00BA3AF3" w:rsidRPr="00063811" w14:paraId="1352BEF6"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3288476D" w14:textId="2D19A13A" w:rsidR="00BA3AF3" w:rsidRPr="008612B7" w:rsidRDefault="00BA3AF3" w:rsidP="00F256FD">
            <w:pPr>
              <w:rPr>
                <w:b w:val="0"/>
                <w:bCs w:val="0"/>
                <w:color w:val="000000"/>
                <w:sz w:val="20"/>
                <w:szCs w:val="20"/>
              </w:rPr>
            </w:pPr>
            <w:r w:rsidRPr="008612B7">
              <w:rPr>
                <w:b w:val="0"/>
                <w:bCs w:val="0"/>
                <w:color w:val="000000"/>
                <w:sz w:val="20"/>
                <w:szCs w:val="20"/>
              </w:rPr>
              <w:t xml:space="preserve">California </w:t>
            </w:r>
          </w:p>
        </w:tc>
        <w:tc>
          <w:tcPr>
            <w:tcW w:w="1160" w:type="dxa"/>
            <w:noWrap/>
            <w:vAlign w:val="center"/>
            <w:hideMark/>
          </w:tcPr>
          <w:p w14:paraId="3128E9F4" w14:textId="08F63E3C"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AB979</w:t>
            </w:r>
          </w:p>
        </w:tc>
        <w:tc>
          <w:tcPr>
            <w:tcW w:w="1160" w:type="dxa"/>
            <w:noWrap/>
            <w:vAlign w:val="center"/>
            <w:hideMark/>
          </w:tcPr>
          <w:p w14:paraId="09A408D1" w14:textId="404D1642"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2020</w:t>
            </w:r>
          </w:p>
        </w:tc>
        <w:tc>
          <w:tcPr>
            <w:tcW w:w="780" w:type="dxa"/>
            <w:noWrap/>
            <w:vAlign w:val="center"/>
            <w:hideMark/>
          </w:tcPr>
          <w:p w14:paraId="74F2DEDD" w14:textId="22BF8CE9"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245CB32E" w14:textId="5F04C31C"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Requires public corporations to include directors from underrepresented communities on boards </w:t>
            </w:r>
          </w:p>
        </w:tc>
      </w:tr>
      <w:tr w:rsidR="00BA3AF3" w:rsidRPr="00063811" w14:paraId="7E89D56B"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68748F46" w14:textId="568AFD06" w:rsidR="00BA3AF3" w:rsidRPr="008612B7" w:rsidRDefault="00BA3AF3" w:rsidP="00F256FD">
            <w:pPr>
              <w:rPr>
                <w:b w:val="0"/>
                <w:bCs w:val="0"/>
                <w:color w:val="000000"/>
                <w:sz w:val="20"/>
                <w:szCs w:val="20"/>
              </w:rPr>
            </w:pPr>
            <w:r w:rsidRPr="008612B7">
              <w:rPr>
                <w:b w:val="0"/>
                <w:bCs w:val="0"/>
                <w:color w:val="000000"/>
                <w:sz w:val="20"/>
                <w:szCs w:val="20"/>
              </w:rPr>
              <w:t xml:space="preserve">California </w:t>
            </w:r>
          </w:p>
        </w:tc>
        <w:tc>
          <w:tcPr>
            <w:tcW w:w="1160" w:type="dxa"/>
            <w:noWrap/>
            <w:vAlign w:val="center"/>
            <w:hideMark/>
          </w:tcPr>
          <w:p w14:paraId="5AA95B34" w14:textId="3513F79B"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SB261</w:t>
            </w:r>
          </w:p>
        </w:tc>
        <w:tc>
          <w:tcPr>
            <w:tcW w:w="1160" w:type="dxa"/>
            <w:noWrap/>
            <w:vAlign w:val="center"/>
            <w:hideMark/>
          </w:tcPr>
          <w:p w14:paraId="2E1CAD83" w14:textId="02D7D161"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1D394958" w14:textId="009DCD2C"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39BF64C6" w14:textId="6106DACD"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Requires corporations with revenue over $500 million to disclose climate-related financial risks </w:t>
            </w:r>
          </w:p>
        </w:tc>
      </w:tr>
      <w:tr w:rsidR="00BA3AF3" w:rsidRPr="00063811" w14:paraId="44E1B379"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08CD73BE" w14:textId="2D37F3A6" w:rsidR="00BA3AF3" w:rsidRPr="008612B7" w:rsidRDefault="00BA3AF3" w:rsidP="00F256FD">
            <w:pPr>
              <w:rPr>
                <w:b w:val="0"/>
                <w:bCs w:val="0"/>
                <w:color w:val="000000"/>
                <w:sz w:val="20"/>
                <w:szCs w:val="20"/>
              </w:rPr>
            </w:pPr>
            <w:r w:rsidRPr="008612B7">
              <w:rPr>
                <w:b w:val="0"/>
                <w:bCs w:val="0"/>
                <w:color w:val="000000"/>
                <w:sz w:val="20"/>
                <w:szCs w:val="20"/>
              </w:rPr>
              <w:t xml:space="preserve">California </w:t>
            </w:r>
          </w:p>
        </w:tc>
        <w:tc>
          <w:tcPr>
            <w:tcW w:w="1160" w:type="dxa"/>
            <w:noWrap/>
            <w:vAlign w:val="center"/>
            <w:hideMark/>
          </w:tcPr>
          <w:p w14:paraId="4CDDFBE4" w14:textId="3F61BEF1"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SB253</w:t>
            </w:r>
          </w:p>
        </w:tc>
        <w:tc>
          <w:tcPr>
            <w:tcW w:w="1160" w:type="dxa"/>
            <w:noWrap/>
            <w:vAlign w:val="center"/>
            <w:hideMark/>
          </w:tcPr>
          <w:p w14:paraId="7B1538AF" w14:textId="71935FFA"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782C9020" w14:textId="542212B8"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60A213E2" w14:textId="2B89D03F"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Requires large corporations to publicly disclose greenhouse gas emissions </w:t>
            </w:r>
          </w:p>
        </w:tc>
      </w:tr>
      <w:tr w:rsidR="00BA3AF3" w:rsidRPr="00063811" w14:paraId="126A081B"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21AEF1CA" w14:textId="4F4F3884" w:rsidR="00BA3AF3" w:rsidRPr="008612B7" w:rsidRDefault="00BA3AF3" w:rsidP="00F256FD">
            <w:pPr>
              <w:rPr>
                <w:b w:val="0"/>
                <w:bCs w:val="0"/>
                <w:color w:val="000000"/>
                <w:sz w:val="20"/>
                <w:szCs w:val="20"/>
              </w:rPr>
            </w:pPr>
            <w:r w:rsidRPr="008612B7">
              <w:rPr>
                <w:b w:val="0"/>
                <w:bCs w:val="0"/>
                <w:color w:val="000000"/>
                <w:sz w:val="20"/>
                <w:szCs w:val="20"/>
              </w:rPr>
              <w:t xml:space="preserve">California </w:t>
            </w:r>
          </w:p>
        </w:tc>
        <w:tc>
          <w:tcPr>
            <w:tcW w:w="1160" w:type="dxa"/>
            <w:noWrap/>
            <w:vAlign w:val="center"/>
            <w:hideMark/>
          </w:tcPr>
          <w:p w14:paraId="4F7E9B23" w14:textId="1FA2E9D2"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SB655</w:t>
            </w:r>
          </w:p>
        </w:tc>
        <w:tc>
          <w:tcPr>
            <w:tcW w:w="1160" w:type="dxa"/>
            <w:noWrap/>
            <w:vAlign w:val="center"/>
            <w:hideMark/>
          </w:tcPr>
          <w:p w14:paraId="471275DD" w14:textId="019BE64B"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2021</w:t>
            </w:r>
          </w:p>
        </w:tc>
        <w:tc>
          <w:tcPr>
            <w:tcW w:w="780" w:type="dxa"/>
            <w:noWrap/>
            <w:vAlign w:val="center"/>
            <w:hideMark/>
          </w:tcPr>
          <w:p w14:paraId="2A408B8F" w14:textId="78905B48"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0936B27D" w14:textId="0DBD2039"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Strengthens diversity requirements for insurers operating in California </w:t>
            </w:r>
          </w:p>
        </w:tc>
      </w:tr>
      <w:tr w:rsidR="00BA3AF3" w:rsidRPr="00063811" w14:paraId="4C2EC3D1"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08C5AB1C" w14:textId="51B95DC5" w:rsidR="00BA3AF3" w:rsidRPr="008612B7" w:rsidRDefault="00BA3AF3" w:rsidP="00F256FD">
            <w:pPr>
              <w:rPr>
                <w:b w:val="0"/>
                <w:bCs w:val="0"/>
                <w:color w:val="000000"/>
                <w:sz w:val="20"/>
                <w:szCs w:val="20"/>
              </w:rPr>
            </w:pPr>
            <w:r w:rsidRPr="008612B7">
              <w:rPr>
                <w:b w:val="0"/>
                <w:bCs w:val="0"/>
                <w:color w:val="000000"/>
                <w:sz w:val="20"/>
                <w:szCs w:val="20"/>
              </w:rPr>
              <w:t xml:space="preserve">Colorado </w:t>
            </w:r>
          </w:p>
        </w:tc>
        <w:tc>
          <w:tcPr>
            <w:tcW w:w="1160" w:type="dxa"/>
            <w:noWrap/>
            <w:vAlign w:val="center"/>
            <w:hideMark/>
          </w:tcPr>
          <w:p w14:paraId="22420699" w14:textId="18815B5E"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SB016</w:t>
            </w:r>
          </w:p>
        </w:tc>
        <w:tc>
          <w:tcPr>
            <w:tcW w:w="1160" w:type="dxa"/>
            <w:noWrap/>
            <w:vAlign w:val="center"/>
            <w:hideMark/>
          </w:tcPr>
          <w:p w14:paraId="5A03E29D" w14:textId="10BD2091"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6219825E" w14:textId="39C44BCC"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07AB281E" w14:textId="2A189FF4"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Strengthens greenhouse gas reduction targets and requires climate risk disclosure </w:t>
            </w:r>
          </w:p>
        </w:tc>
      </w:tr>
      <w:tr w:rsidR="00BA3AF3" w:rsidRPr="00063811" w14:paraId="7BE7CF14"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391AF641" w14:textId="6041A73B" w:rsidR="00BA3AF3" w:rsidRPr="008612B7" w:rsidRDefault="00BA3AF3" w:rsidP="00F256FD">
            <w:pPr>
              <w:rPr>
                <w:b w:val="0"/>
                <w:bCs w:val="0"/>
                <w:color w:val="000000"/>
                <w:sz w:val="20"/>
                <w:szCs w:val="20"/>
              </w:rPr>
            </w:pPr>
            <w:r w:rsidRPr="008612B7">
              <w:rPr>
                <w:b w:val="0"/>
                <w:bCs w:val="0"/>
                <w:color w:val="000000"/>
                <w:sz w:val="20"/>
                <w:szCs w:val="20"/>
              </w:rPr>
              <w:t xml:space="preserve">Delaware </w:t>
            </w:r>
          </w:p>
        </w:tc>
        <w:tc>
          <w:tcPr>
            <w:tcW w:w="1160" w:type="dxa"/>
            <w:noWrap/>
            <w:vAlign w:val="center"/>
            <w:hideMark/>
          </w:tcPr>
          <w:p w14:paraId="5A65E079" w14:textId="238889CB"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HB334</w:t>
            </w:r>
          </w:p>
        </w:tc>
        <w:tc>
          <w:tcPr>
            <w:tcW w:w="1160" w:type="dxa"/>
            <w:noWrap/>
            <w:vAlign w:val="center"/>
            <w:hideMark/>
          </w:tcPr>
          <w:p w14:paraId="11615907" w14:textId="4D05359C"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2020</w:t>
            </w:r>
          </w:p>
        </w:tc>
        <w:tc>
          <w:tcPr>
            <w:tcW w:w="780" w:type="dxa"/>
            <w:noWrap/>
            <w:vAlign w:val="center"/>
            <w:hideMark/>
          </w:tcPr>
          <w:p w14:paraId="5EA11791" w14:textId="32B012B0"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6511EE17" w14:textId="3FA4A347"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Authorizes consideration of social, environmental, and governance values in institutional fund management </w:t>
            </w:r>
          </w:p>
        </w:tc>
      </w:tr>
      <w:tr w:rsidR="00BA3AF3" w:rsidRPr="00063811" w14:paraId="0E6D484F"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07003398" w14:textId="79DE4D1F" w:rsidR="00BA3AF3" w:rsidRPr="008612B7" w:rsidRDefault="00BA3AF3" w:rsidP="00F256FD">
            <w:pPr>
              <w:rPr>
                <w:b w:val="0"/>
                <w:bCs w:val="0"/>
                <w:color w:val="000000"/>
                <w:sz w:val="20"/>
                <w:szCs w:val="20"/>
              </w:rPr>
            </w:pPr>
            <w:r w:rsidRPr="008612B7">
              <w:rPr>
                <w:b w:val="0"/>
                <w:bCs w:val="0"/>
                <w:color w:val="000000"/>
                <w:sz w:val="20"/>
                <w:szCs w:val="20"/>
              </w:rPr>
              <w:t xml:space="preserve">Illinois </w:t>
            </w:r>
          </w:p>
        </w:tc>
        <w:tc>
          <w:tcPr>
            <w:tcW w:w="1160" w:type="dxa"/>
            <w:noWrap/>
            <w:vAlign w:val="center"/>
            <w:hideMark/>
          </w:tcPr>
          <w:p w14:paraId="2DC8157A" w14:textId="00493369"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SB2152</w:t>
            </w:r>
          </w:p>
        </w:tc>
        <w:tc>
          <w:tcPr>
            <w:tcW w:w="1160" w:type="dxa"/>
            <w:noWrap/>
            <w:vAlign w:val="center"/>
            <w:hideMark/>
          </w:tcPr>
          <w:p w14:paraId="6FECB931" w14:textId="7FBF5029"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67897EC4" w14:textId="05D62238"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20D109AF" w14:textId="793D4C4A"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Modifies pension code regarding proxy voting and sustainability reporting </w:t>
            </w:r>
          </w:p>
        </w:tc>
      </w:tr>
      <w:tr w:rsidR="00BA3AF3" w:rsidRPr="00063811" w14:paraId="74FB6963"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117BA7FD" w14:textId="18290CD7" w:rsidR="00BA3AF3" w:rsidRPr="008612B7" w:rsidRDefault="00BA3AF3" w:rsidP="00F256FD">
            <w:pPr>
              <w:rPr>
                <w:b w:val="0"/>
                <w:bCs w:val="0"/>
                <w:color w:val="000000"/>
                <w:sz w:val="20"/>
                <w:szCs w:val="20"/>
              </w:rPr>
            </w:pPr>
            <w:r w:rsidRPr="008612B7">
              <w:rPr>
                <w:b w:val="0"/>
                <w:bCs w:val="0"/>
                <w:color w:val="000000"/>
                <w:sz w:val="20"/>
                <w:szCs w:val="20"/>
              </w:rPr>
              <w:lastRenderedPageBreak/>
              <w:t xml:space="preserve">Illinois </w:t>
            </w:r>
          </w:p>
        </w:tc>
        <w:tc>
          <w:tcPr>
            <w:tcW w:w="1160" w:type="dxa"/>
            <w:noWrap/>
            <w:vAlign w:val="center"/>
            <w:hideMark/>
          </w:tcPr>
          <w:p w14:paraId="4FE84B9B" w14:textId="1B161283"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HB2782</w:t>
            </w:r>
          </w:p>
        </w:tc>
        <w:tc>
          <w:tcPr>
            <w:tcW w:w="1160" w:type="dxa"/>
            <w:noWrap/>
            <w:vAlign w:val="center"/>
            <w:hideMark/>
          </w:tcPr>
          <w:p w14:paraId="1DA96A14" w14:textId="3F49E084"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075742E8" w14:textId="2901DDC8"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39AE7641" w14:textId="2869ADCD"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Mandates integration of sustainability factors into public investment decisions </w:t>
            </w:r>
          </w:p>
        </w:tc>
      </w:tr>
      <w:tr w:rsidR="00BA3AF3" w:rsidRPr="00063811" w14:paraId="7EF40F46"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6C06E9A2" w14:textId="361D2BE0" w:rsidR="00BA3AF3" w:rsidRPr="008612B7" w:rsidRDefault="00BA3AF3" w:rsidP="00F256FD">
            <w:pPr>
              <w:rPr>
                <w:b w:val="0"/>
                <w:bCs w:val="0"/>
                <w:color w:val="000000"/>
                <w:sz w:val="20"/>
                <w:szCs w:val="20"/>
              </w:rPr>
            </w:pPr>
            <w:r w:rsidRPr="008612B7">
              <w:rPr>
                <w:b w:val="0"/>
                <w:bCs w:val="0"/>
                <w:color w:val="000000"/>
                <w:sz w:val="20"/>
                <w:szCs w:val="20"/>
              </w:rPr>
              <w:t xml:space="preserve">Illinois </w:t>
            </w:r>
          </w:p>
        </w:tc>
        <w:tc>
          <w:tcPr>
            <w:tcW w:w="1160" w:type="dxa"/>
            <w:noWrap/>
            <w:vAlign w:val="center"/>
            <w:hideMark/>
          </w:tcPr>
          <w:p w14:paraId="603DD0A1" w14:textId="4937B74B"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HB1293</w:t>
            </w:r>
          </w:p>
        </w:tc>
        <w:tc>
          <w:tcPr>
            <w:tcW w:w="1160" w:type="dxa"/>
            <w:noWrap/>
            <w:vAlign w:val="center"/>
            <w:hideMark/>
          </w:tcPr>
          <w:p w14:paraId="3E79962B" w14:textId="2E30E65F"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2022</w:t>
            </w:r>
          </w:p>
        </w:tc>
        <w:tc>
          <w:tcPr>
            <w:tcW w:w="780" w:type="dxa"/>
            <w:noWrap/>
            <w:vAlign w:val="center"/>
            <w:hideMark/>
          </w:tcPr>
          <w:p w14:paraId="5982B5C1" w14:textId="70E9680E"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0683878E" w14:textId="71E63AC6"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Requires pension funds to divest from Russian and Belarusian investments </w:t>
            </w:r>
          </w:p>
        </w:tc>
      </w:tr>
      <w:tr w:rsidR="00BA3AF3" w:rsidRPr="00063811" w14:paraId="58108444"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73FAF593" w14:textId="49F0CE0A" w:rsidR="00BA3AF3" w:rsidRPr="008612B7" w:rsidRDefault="00BA3AF3" w:rsidP="00F256FD">
            <w:pPr>
              <w:rPr>
                <w:b w:val="0"/>
                <w:bCs w:val="0"/>
                <w:color w:val="000000"/>
                <w:sz w:val="20"/>
                <w:szCs w:val="20"/>
              </w:rPr>
            </w:pPr>
            <w:r w:rsidRPr="008612B7">
              <w:rPr>
                <w:b w:val="0"/>
                <w:bCs w:val="0"/>
                <w:color w:val="000000"/>
                <w:sz w:val="20"/>
                <w:szCs w:val="20"/>
              </w:rPr>
              <w:t xml:space="preserve">Illinois </w:t>
            </w:r>
          </w:p>
        </w:tc>
        <w:tc>
          <w:tcPr>
            <w:tcW w:w="1160" w:type="dxa"/>
            <w:noWrap/>
            <w:vAlign w:val="center"/>
            <w:hideMark/>
          </w:tcPr>
          <w:p w14:paraId="7DAC000F" w14:textId="3CB0F883"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SB1730</w:t>
            </w:r>
          </w:p>
        </w:tc>
        <w:tc>
          <w:tcPr>
            <w:tcW w:w="1160" w:type="dxa"/>
            <w:noWrap/>
            <w:vAlign w:val="center"/>
            <w:hideMark/>
          </w:tcPr>
          <w:p w14:paraId="4A8B42CC" w14:textId="1D5F1E56"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2021</w:t>
            </w:r>
          </w:p>
        </w:tc>
        <w:tc>
          <w:tcPr>
            <w:tcW w:w="780" w:type="dxa"/>
            <w:noWrap/>
            <w:vAlign w:val="center"/>
            <w:hideMark/>
          </w:tcPr>
          <w:p w14:paraId="5B8E75FB" w14:textId="6AD16D69"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03511147" w14:textId="50CD5FEF"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Expands corporate board diversity reporting to include LGBTQ individuals </w:t>
            </w:r>
          </w:p>
        </w:tc>
      </w:tr>
      <w:tr w:rsidR="00BA3AF3" w:rsidRPr="00063811" w14:paraId="57A34944"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0CAF1CBE" w14:textId="6E7642E2" w:rsidR="00BA3AF3" w:rsidRPr="008612B7" w:rsidRDefault="00BA3AF3" w:rsidP="00F256FD">
            <w:pPr>
              <w:rPr>
                <w:b w:val="0"/>
                <w:bCs w:val="0"/>
                <w:color w:val="000000"/>
                <w:sz w:val="20"/>
                <w:szCs w:val="20"/>
              </w:rPr>
            </w:pPr>
            <w:r w:rsidRPr="008612B7">
              <w:rPr>
                <w:b w:val="0"/>
                <w:bCs w:val="0"/>
                <w:color w:val="000000"/>
                <w:sz w:val="20"/>
                <w:szCs w:val="20"/>
              </w:rPr>
              <w:t xml:space="preserve">Illinois </w:t>
            </w:r>
          </w:p>
        </w:tc>
        <w:tc>
          <w:tcPr>
            <w:tcW w:w="1160" w:type="dxa"/>
            <w:noWrap/>
            <w:vAlign w:val="center"/>
            <w:hideMark/>
          </w:tcPr>
          <w:p w14:paraId="34EE6F0E" w14:textId="03F5F024"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SB1699</w:t>
            </w:r>
          </w:p>
        </w:tc>
        <w:tc>
          <w:tcPr>
            <w:tcW w:w="1160" w:type="dxa"/>
            <w:noWrap/>
            <w:vAlign w:val="center"/>
            <w:hideMark/>
          </w:tcPr>
          <w:p w14:paraId="3A27313F" w14:textId="5C551ADD"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0C990A78" w14:textId="08138E3B"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66334321" w14:textId="4AA25616"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Establishes parameters for renewable energy facilities and thermal energy networks </w:t>
            </w:r>
          </w:p>
        </w:tc>
      </w:tr>
      <w:tr w:rsidR="00BA3AF3" w:rsidRPr="00063811" w14:paraId="73C6BE2F"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2E3E8E58" w14:textId="32868A59" w:rsidR="00BA3AF3" w:rsidRPr="008612B7" w:rsidRDefault="00BA3AF3" w:rsidP="00F256FD">
            <w:pPr>
              <w:rPr>
                <w:b w:val="0"/>
                <w:bCs w:val="0"/>
                <w:color w:val="000000"/>
                <w:sz w:val="20"/>
                <w:szCs w:val="20"/>
              </w:rPr>
            </w:pPr>
            <w:r w:rsidRPr="008612B7">
              <w:rPr>
                <w:b w:val="0"/>
                <w:bCs w:val="0"/>
                <w:color w:val="000000"/>
                <w:sz w:val="20"/>
                <w:szCs w:val="20"/>
              </w:rPr>
              <w:t xml:space="preserve">Illinois </w:t>
            </w:r>
          </w:p>
        </w:tc>
        <w:tc>
          <w:tcPr>
            <w:tcW w:w="1160" w:type="dxa"/>
            <w:noWrap/>
            <w:vAlign w:val="center"/>
            <w:hideMark/>
          </w:tcPr>
          <w:p w14:paraId="30E79B3D" w14:textId="5C95A8FD"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SB0653</w:t>
            </w:r>
          </w:p>
        </w:tc>
        <w:tc>
          <w:tcPr>
            <w:tcW w:w="1160" w:type="dxa"/>
            <w:noWrap/>
            <w:vAlign w:val="center"/>
            <w:hideMark/>
          </w:tcPr>
          <w:p w14:paraId="403B41C3" w14:textId="0F0C3448"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2021</w:t>
            </w:r>
          </w:p>
        </w:tc>
        <w:tc>
          <w:tcPr>
            <w:tcW w:w="780" w:type="dxa"/>
            <w:noWrap/>
            <w:vAlign w:val="center"/>
            <w:hideMark/>
          </w:tcPr>
          <w:p w14:paraId="3C569E12" w14:textId="11D7ABA0"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61FAF646" w14:textId="0B07F082"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Expands State Treasurer's authority to consider ESG factors in financial decisions </w:t>
            </w:r>
          </w:p>
        </w:tc>
      </w:tr>
      <w:tr w:rsidR="00BA3AF3" w:rsidRPr="00063811" w14:paraId="53A20CBC"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2A7AFA5A" w14:textId="7A33DBDC" w:rsidR="00BA3AF3" w:rsidRPr="008612B7" w:rsidRDefault="00BA3AF3" w:rsidP="00F256FD">
            <w:pPr>
              <w:rPr>
                <w:b w:val="0"/>
                <w:bCs w:val="0"/>
                <w:color w:val="000000"/>
                <w:sz w:val="20"/>
                <w:szCs w:val="20"/>
              </w:rPr>
            </w:pPr>
            <w:r w:rsidRPr="008612B7">
              <w:rPr>
                <w:b w:val="0"/>
                <w:bCs w:val="0"/>
                <w:color w:val="000000"/>
                <w:sz w:val="20"/>
                <w:szCs w:val="20"/>
              </w:rPr>
              <w:t xml:space="preserve">Maine </w:t>
            </w:r>
          </w:p>
        </w:tc>
        <w:tc>
          <w:tcPr>
            <w:tcW w:w="1160" w:type="dxa"/>
            <w:noWrap/>
            <w:vAlign w:val="center"/>
            <w:hideMark/>
          </w:tcPr>
          <w:p w14:paraId="4AE30A1D" w14:textId="3AC73576"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LD99</w:t>
            </w:r>
          </w:p>
        </w:tc>
        <w:tc>
          <w:tcPr>
            <w:tcW w:w="1160" w:type="dxa"/>
            <w:noWrap/>
            <w:vAlign w:val="center"/>
            <w:hideMark/>
          </w:tcPr>
          <w:p w14:paraId="0307D5F4" w14:textId="4057FDAB"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2021</w:t>
            </w:r>
          </w:p>
        </w:tc>
        <w:tc>
          <w:tcPr>
            <w:tcW w:w="780" w:type="dxa"/>
            <w:noWrap/>
            <w:vAlign w:val="center"/>
            <w:hideMark/>
          </w:tcPr>
          <w:p w14:paraId="5EA795D4" w14:textId="6C0608C7"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5E2BDBF4" w14:textId="244BCD19"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Requires divestment of state pension funds from fossil fuel companies by 2026 </w:t>
            </w:r>
          </w:p>
        </w:tc>
      </w:tr>
      <w:tr w:rsidR="00BA3AF3" w:rsidRPr="00063811" w14:paraId="22143CF4"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0ACF741F" w14:textId="57412BA2" w:rsidR="00BA3AF3" w:rsidRPr="008612B7" w:rsidRDefault="00BA3AF3" w:rsidP="00F256FD">
            <w:pPr>
              <w:rPr>
                <w:b w:val="0"/>
                <w:bCs w:val="0"/>
                <w:color w:val="000000"/>
                <w:sz w:val="20"/>
                <w:szCs w:val="20"/>
              </w:rPr>
            </w:pPr>
            <w:r w:rsidRPr="008612B7">
              <w:rPr>
                <w:b w:val="0"/>
                <w:bCs w:val="0"/>
                <w:color w:val="000000"/>
                <w:sz w:val="20"/>
                <w:szCs w:val="20"/>
              </w:rPr>
              <w:t xml:space="preserve">Maine </w:t>
            </w:r>
          </w:p>
        </w:tc>
        <w:tc>
          <w:tcPr>
            <w:tcW w:w="1160" w:type="dxa"/>
            <w:noWrap/>
            <w:vAlign w:val="center"/>
            <w:hideMark/>
          </w:tcPr>
          <w:p w14:paraId="53A68B59" w14:textId="1030FAE3"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LD1895</w:t>
            </w:r>
          </w:p>
        </w:tc>
        <w:tc>
          <w:tcPr>
            <w:tcW w:w="1160" w:type="dxa"/>
            <w:noWrap/>
            <w:vAlign w:val="center"/>
            <w:hideMark/>
          </w:tcPr>
          <w:p w14:paraId="373CB71D" w14:textId="52FA2A73"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2F49AEF3" w14:textId="1B4966CE"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38C96AD5" w14:textId="1A0A9D93"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Establishes framework for offshore wind energy development with environmental and social considerations </w:t>
            </w:r>
          </w:p>
        </w:tc>
      </w:tr>
      <w:tr w:rsidR="00BA3AF3" w:rsidRPr="00063811" w14:paraId="3BA8A78E"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7D7332BB" w14:textId="78650A18" w:rsidR="00BA3AF3" w:rsidRPr="008612B7" w:rsidRDefault="00BA3AF3" w:rsidP="00F256FD">
            <w:pPr>
              <w:rPr>
                <w:b w:val="0"/>
                <w:bCs w:val="0"/>
                <w:color w:val="000000"/>
                <w:sz w:val="20"/>
                <w:szCs w:val="20"/>
              </w:rPr>
            </w:pPr>
            <w:r w:rsidRPr="008612B7">
              <w:rPr>
                <w:b w:val="0"/>
                <w:bCs w:val="0"/>
                <w:color w:val="000000"/>
                <w:sz w:val="20"/>
                <w:szCs w:val="20"/>
              </w:rPr>
              <w:t xml:space="preserve">Maryland </w:t>
            </w:r>
          </w:p>
        </w:tc>
        <w:tc>
          <w:tcPr>
            <w:tcW w:w="1160" w:type="dxa"/>
            <w:noWrap/>
            <w:vAlign w:val="center"/>
            <w:hideMark/>
          </w:tcPr>
          <w:p w14:paraId="476E24D2" w14:textId="286E0FE6"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SB566</w:t>
            </w:r>
          </w:p>
        </w:tc>
        <w:tc>
          <w:tcPr>
            <w:tcW w:w="1160" w:type="dxa"/>
            <w:noWrap/>
            <w:vAlign w:val="center"/>
            <w:hideMark/>
          </w:tcPr>
          <w:p w14:paraId="678773EA" w14:textId="318D0B57"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2022</w:t>
            </w:r>
          </w:p>
        </w:tc>
        <w:tc>
          <w:tcPr>
            <w:tcW w:w="780" w:type="dxa"/>
            <w:noWrap/>
            <w:vAlign w:val="center"/>
            <w:hideMark/>
          </w:tcPr>
          <w:p w14:paraId="5276B9DD" w14:textId="05F7C4EA"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2FC535AB" w14:textId="73ABD6D4"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Requires pension fiduciaries to consider climate-related risks in investment decisions </w:t>
            </w:r>
          </w:p>
        </w:tc>
      </w:tr>
      <w:tr w:rsidR="00BA3AF3" w:rsidRPr="00063811" w14:paraId="294B2C28"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5030C289" w14:textId="3A80C07B" w:rsidR="00BA3AF3" w:rsidRPr="008612B7" w:rsidRDefault="00BA3AF3" w:rsidP="00F256FD">
            <w:pPr>
              <w:rPr>
                <w:b w:val="0"/>
                <w:bCs w:val="0"/>
                <w:color w:val="000000"/>
                <w:sz w:val="20"/>
                <w:szCs w:val="20"/>
              </w:rPr>
            </w:pPr>
            <w:r w:rsidRPr="008612B7">
              <w:rPr>
                <w:b w:val="0"/>
                <w:bCs w:val="0"/>
                <w:color w:val="000000"/>
                <w:sz w:val="20"/>
                <w:szCs w:val="20"/>
              </w:rPr>
              <w:t xml:space="preserve">Maryland </w:t>
            </w:r>
          </w:p>
        </w:tc>
        <w:tc>
          <w:tcPr>
            <w:tcW w:w="1160" w:type="dxa"/>
            <w:noWrap/>
            <w:vAlign w:val="center"/>
            <w:hideMark/>
          </w:tcPr>
          <w:p w14:paraId="79A3D456" w14:textId="6855EFA9"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HB740</w:t>
            </w:r>
          </w:p>
        </w:tc>
        <w:tc>
          <w:tcPr>
            <w:tcW w:w="1160" w:type="dxa"/>
            <w:noWrap/>
            <w:vAlign w:val="center"/>
            <w:hideMark/>
          </w:tcPr>
          <w:p w14:paraId="1D15EDE4" w14:textId="50E6EB75"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2022</w:t>
            </w:r>
          </w:p>
        </w:tc>
        <w:tc>
          <w:tcPr>
            <w:tcW w:w="780" w:type="dxa"/>
            <w:noWrap/>
            <w:vAlign w:val="center"/>
            <w:hideMark/>
          </w:tcPr>
          <w:p w14:paraId="6D540709" w14:textId="5145D30F"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4B9EE1D9" w14:textId="54163994"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Requires pension fiduciaries to consider climate-related risks in investment decisions </w:t>
            </w:r>
          </w:p>
        </w:tc>
      </w:tr>
      <w:tr w:rsidR="00BA3AF3" w:rsidRPr="00063811" w14:paraId="70D59E05"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43E9CAB4" w14:textId="6577A84F" w:rsidR="00BA3AF3" w:rsidRPr="008612B7" w:rsidRDefault="00BA3AF3" w:rsidP="00F256FD">
            <w:pPr>
              <w:rPr>
                <w:b w:val="0"/>
                <w:bCs w:val="0"/>
                <w:color w:val="000000"/>
                <w:sz w:val="20"/>
                <w:szCs w:val="20"/>
              </w:rPr>
            </w:pPr>
            <w:r w:rsidRPr="008612B7">
              <w:rPr>
                <w:b w:val="0"/>
                <w:bCs w:val="0"/>
                <w:color w:val="000000"/>
                <w:sz w:val="20"/>
                <w:szCs w:val="20"/>
              </w:rPr>
              <w:t xml:space="preserve">Maryland </w:t>
            </w:r>
          </w:p>
        </w:tc>
        <w:tc>
          <w:tcPr>
            <w:tcW w:w="1160" w:type="dxa"/>
            <w:noWrap/>
            <w:vAlign w:val="center"/>
            <w:hideMark/>
          </w:tcPr>
          <w:p w14:paraId="7B1242DD" w14:textId="75AA56A6"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HB1212</w:t>
            </w:r>
          </w:p>
        </w:tc>
        <w:tc>
          <w:tcPr>
            <w:tcW w:w="1160" w:type="dxa"/>
            <w:noWrap/>
            <w:vAlign w:val="center"/>
            <w:hideMark/>
          </w:tcPr>
          <w:p w14:paraId="069C1292" w14:textId="63A386E3"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2C812F4D" w14:textId="637E8ECD"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730062A7" w14:textId="467A1220"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Establishes Director of DEI and governance specialist positions in state retirement agency </w:t>
            </w:r>
          </w:p>
        </w:tc>
      </w:tr>
      <w:tr w:rsidR="00BA3AF3" w:rsidRPr="00063811" w14:paraId="1535624D"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4E1C21AC" w14:textId="5426898C" w:rsidR="00BA3AF3" w:rsidRPr="008612B7" w:rsidRDefault="00BA3AF3" w:rsidP="00F256FD">
            <w:pPr>
              <w:rPr>
                <w:b w:val="0"/>
                <w:bCs w:val="0"/>
                <w:color w:val="000000"/>
                <w:sz w:val="20"/>
                <w:szCs w:val="20"/>
              </w:rPr>
            </w:pPr>
            <w:r w:rsidRPr="008612B7">
              <w:rPr>
                <w:b w:val="0"/>
                <w:bCs w:val="0"/>
                <w:color w:val="000000"/>
                <w:sz w:val="20"/>
                <w:szCs w:val="20"/>
              </w:rPr>
              <w:t xml:space="preserve">Minnesota </w:t>
            </w:r>
          </w:p>
        </w:tc>
        <w:tc>
          <w:tcPr>
            <w:tcW w:w="1160" w:type="dxa"/>
            <w:noWrap/>
            <w:vAlign w:val="center"/>
            <w:hideMark/>
          </w:tcPr>
          <w:p w14:paraId="2844A711" w14:textId="75474321"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HF4165</w:t>
            </w:r>
          </w:p>
        </w:tc>
        <w:tc>
          <w:tcPr>
            <w:tcW w:w="1160" w:type="dxa"/>
            <w:noWrap/>
            <w:vAlign w:val="center"/>
            <w:hideMark/>
          </w:tcPr>
          <w:p w14:paraId="6CC9FA02" w14:textId="49AA8611"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2022</w:t>
            </w:r>
          </w:p>
        </w:tc>
        <w:tc>
          <w:tcPr>
            <w:tcW w:w="780" w:type="dxa"/>
            <w:noWrap/>
            <w:vAlign w:val="center"/>
            <w:hideMark/>
          </w:tcPr>
          <w:p w14:paraId="1B891FD5" w14:textId="6EA34EBC"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7696E0A7" w14:textId="004086A5"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Requires divestment from Russian and Belarusian assets in response to Ukraine invasion </w:t>
            </w:r>
          </w:p>
        </w:tc>
      </w:tr>
      <w:tr w:rsidR="00BA3AF3" w:rsidRPr="00063811" w14:paraId="0455006B"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3C08F2B9" w14:textId="31278503" w:rsidR="00BA3AF3" w:rsidRPr="008612B7" w:rsidRDefault="00BA3AF3" w:rsidP="00F256FD">
            <w:pPr>
              <w:rPr>
                <w:b w:val="0"/>
                <w:bCs w:val="0"/>
                <w:color w:val="000000"/>
                <w:sz w:val="20"/>
                <w:szCs w:val="20"/>
              </w:rPr>
            </w:pPr>
            <w:r w:rsidRPr="008612B7">
              <w:rPr>
                <w:b w:val="0"/>
                <w:bCs w:val="0"/>
                <w:color w:val="000000"/>
                <w:sz w:val="20"/>
                <w:szCs w:val="20"/>
              </w:rPr>
              <w:t xml:space="preserve">Oregon </w:t>
            </w:r>
          </w:p>
        </w:tc>
        <w:tc>
          <w:tcPr>
            <w:tcW w:w="1160" w:type="dxa"/>
            <w:noWrap/>
            <w:vAlign w:val="center"/>
            <w:hideMark/>
          </w:tcPr>
          <w:p w14:paraId="3E547960" w14:textId="347FB04A"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HB4083</w:t>
            </w:r>
          </w:p>
        </w:tc>
        <w:tc>
          <w:tcPr>
            <w:tcW w:w="1160" w:type="dxa"/>
            <w:noWrap/>
            <w:vAlign w:val="center"/>
            <w:hideMark/>
          </w:tcPr>
          <w:p w14:paraId="49C12D5E" w14:textId="49FA356D"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12F652A8" w14:textId="252C1481"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0ECDB2E7" w14:textId="78055952"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Requires divestment from thermal coal companies in state investment portfolio </w:t>
            </w:r>
          </w:p>
        </w:tc>
      </w:tr>
      <w:tr w:rsidR="00BA3AF3" w:rsidRPr="00063811" w14:paraId="7248EF74"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4BFDBAB3" w14:textId="7F4264F2" w:rsidR="00BA3AF3" w:rsidRPr="008612B7" w:rsidRDefault="00BA3AF3" w:rsidP="00F256FD">
            <w:pPr>
              <w:rPr>
                <w:b w:val="0"/>
                <w:bCs w:val="0"/>
                <w:color w:val="000000"/>
                <w:sz w:val="20"/>
                <w:szCs w:val="20"/>
              </w:rPr>
            </w:pPr>
            <w:r w:rsidRPr="008612B7">
              <w:rPr>
                <w:b w:val="0"/>
                <w:bCs w:val="0"/>
                <w:color w:val="000000"/>
                <w:sz w:val="20"/>
                <w:szCs w:val="20"/>
              </w:rPr>
              <w:lastRenderedPageBreak/>
              <w:t xml:space="preserve">Oregon </w:t>
            </w:r>
          </w:p>
        </w:tc>
        <w:tc>
          <w:tcPr>
            <w:tcW w:w="1160" w:type="dxa"/>
            <w:noWrap/>
            <w:vAlign w:val="center"/>
            <w:hideMark/>
          </w:tcPr>
          <w:p w14:paraId="5FF036D9" w14:textId="6217E00E"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HB2021</w:t>
            </w:r>
          </w:p>
        </w:tc>
        <w:tc>
          <w:tcPr>
            <w:tcW w:w="1160" w:type="dxa"/>
            <w:noWrap/>
            <w:vAlign w:val="center"/>
            <w:hideMark/>
          </w:tcPr>
          <w:p w14:paraId="1D750A29" w14:textId="6D5877E1"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2021</w:t>
            </w:r>
          </w:p>
        </w:tc>
        <w:tc>
          <w:tcPr>
            <w:tcW w:w="780" w:type="dxa"/>
            <w:noWrap/>
            <w:vAlign w:val="center"/>
            <w:hideMark/>
          </w:tcPr>
          <w:p w14:paraId="2E138CE1" w14:textId="5A651EBF"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3F10603E" w14:textId="1478C409"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Establishes greenhouse gas reduction targets for electricity sector </w:t>
            </w:r>
          </w:p>
        </w:tc>
      </w:tr>
      <w:tr w:rsidR="00BA3AF3" w:rsidRPr="00063811" w14:paraId="6F26819F"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73173989" w14:textId="213B6946" w:rsidR="00BA3AF3" w:rsidRPr="008612B7" w:rsidRDefault="00BA3AF3" w:rsidP="00F256FD">
            <w:pPr>
              <w:rPr>
                <w:b w:val="0"/>
                <w:bCs w:val="0"/>
                <w:color w:val="000000"/>
                <w:sz w:val="20"/>
                <w:szCs w:val="20"/>
              </w:rPr>
            </w:pPr>
            <w:r w:rsidRPr="008612B7">
              <w:rPr>
                <w:b w:val="0"/>
                <w:bCs w:val="0"/>
                <w:color w:val="000000"/>
                <w:sz w:val="20"/>
                <w:szCs w:val="20"/>
              </w:rPr>
              <w:t xml:space="preserve">Oregon </w:t>
            </w:r>
          </w:p>
        </w:tc>
        <w:tc>
          <w:tcPr>
            <w:tcW w:w="1160" w:type="dxa"/>
            <w:noWrap/>
            <w:vAlign w:val="center"/>
            <w:hideMark/>
          </w:tcPr>
          <w:p w14:paraId="5D073B79" w14:textId="25F16B5D"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SB1047</w:t>
            </w:r>
          </w:p>
        </w:tc>
        <w:tc>
          <w:tcPr>
            <w:tcW w:w="1160" w:type="dxa"/>
            <w:noWrap/>
            <w:vAlign w:val="center"/>
            <w:hideMark/>
          </w:tcPr>
          <w:p w14:paraId="798170CA" w14:textId="43F510D7"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2023</w:t>
            </w:r>
          </w:p>
        </w:tc>
        <w:tc>
          <w:tcPr>
            <w:tcW w:w="780" w:type="dxa"/>
            <w:noWrap/>
            <w:vAlign w:val="center"/>
            <w:hideMark/>
          </w:tcPr>
          <w:p w14:paraId="75D0DB6F" w14:textId="6189A705"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687F1A72" w14:textId="1C1CB5D7"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Promotes diversity and inclusion in public procurement processes </w:t>
            </w:r>
          </w:p>
        </w:tc>
      </w:tr>
      <w:tr w:rsidR="00BA3AF3" w:rsidRPr="00063811" w14:paraId="48A2490E"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3347946B" w14:textId="0C688823" w:rsidR="00BA3AF3" w:rsidRPr="008612B7" w:rsidRDefault="00BA3AF3" w:rsidP="00F256FD">
            <w:pPr>
              <w:rPr>
                <w:b w:val="0"/>
                <w:bCs w:val="0"/>
                <w:color w:val="000000"/>
                <w:sz w:val="20"/>
                <w:szCs w:val="20"/>
              </w:rPr>
            </w:pPr>
            <w:r w:rsidRPr="008612B7">
              <w:rPr>
                <w:b w:val="0"/>
                <w:bCs w:val="0"/>
                <w:color w:val="000000"/>
                <w:sz w:val="20"/>
                <w:szCs w:val="20"/>
              </w:rPr>
              <w:t xml:space="preserve">Rhode Island </w:t>
            </w:r>
          </w:p>
        </w:tc>
        <w:tc>
          <w:tcPr>
            <w:tcW w:w="1160" w:type="dxa"/>
            <w:noWrap/>
            <w:vAlign w:val="center"/>
            <w:hideMark/>
          </w:tcPr>
          <w:p w14:paraId="5C1596D3" w14:textId="41F2354A"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H7127</w:t>
            </w:r>
          </w:p>
        </w:tc>
        <w:tc>
          <w:tcPr>
            <w:tcW w:w="1160" w:type="dxa"/>
            <w:noWrap/>
            <w:vAlign w:val="center"/>
            <w:hideMark/>
          </w:tcPr>
          <w:p w14:paraId="43480135" w14:textId="24964E92"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3C631EF4" w14:textId="7DB74ACF"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41A7422B" w14:textId="345AD7FC"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Establishes state-administered retirement savings program with ESG investment options </w:t>
            </w:r>
          </w:p>
        </w:tc>
      </w:tr>
      <w:tr w:rsidR="00BA3AF3" w:rsidRPr="00063811" w14:paraId="4E509821"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14D98B56" w14:textId="00B3CA67" w:rsidR="00BA3AF3" w:rsidRPr="008612B7" w:rsidRDefault="00BA3AF3" w:rsidP="00F256FD">
            <w:pPr>
              <w:rPr>
                <w:b w:val="0"/>
                <w:bCs w:val="0"/>
                <w:color w:val="000000"/>
                <w:sz w:val="20"/>
                <w:szCs w:val="20"/>
              </w:rPr>
            </w:pPr>
            <w:r w:rsidRPr="008612B7">
              <w:rPr>
                <w:b w:val="0"/>
                <w:bCs w:val="0"/>
                <w:color w:val="000000"/>
                <w:sz w:val="20"/>
                <w:szCs w:val="20"/>
              </w:rPr>
              <w:t xml:space="preserve">Rhode Island </w:t>
            </w:r>
          </w:p>
        </w:tc>
        <w:tc>
          <w:tcPr>
            <w:tcW w:w="1160" w:type="dxa"/>
            <w:noWrap/>
            <w:vAlign w:val="center"/>
            <w:hideMark/>
          </w:tcPr>
          <w:p w14:paraId="78C30F45" w14:textId="3F85AA9D"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S2045</w:t>
            </w:r>
          </w:p>
        </w:tc>
        <w:tc>
          <w:tcPr>
            <w:tcW w:w="1160" w:type="dxa"/>
            <w:noWrap/>
            <w:vAlign w:val="center"/>
            <w:hideMark/>
          </w:tcPr>
          <w:p w14:paraId="6E2DD0A3" w14:textId="416D44CE"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2024</w:t>
            </w:r>
          </w:p>
        </w:tc>
        <w:tc>
          <w:tcPr>
            <w:tcW w:w="780" w:type="dxa"/>
            <w:noWrap/>
            <w:vAlign w:val="center"/>
            <w:hideMark/>
          </w:tcPr>
          <w:p w14:paraId="6EA9DFBE" w14:textId="3FD51DCF"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05F976D6" w14:textId="36D8C06D"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Establishes state-administered retirement savings program with ESG investment options </w:t>
            </w:r>
          </w:p>
        </w:tc>
      </w:tr>
      <w:tr w:rsidR="00BA3AF3" w:rsidRPr="00063811" w14:paraId="1A696202" w14:textId="77777777" w:rsidTr="00BA3AF3">
        <w:trPr>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tcBorders>
            <w:noWrap/>
            <w:vAlign w:val="center"/>
            <w:hideMark/>
          </w:tcPr>
          <w:p w14:paraId="04E90029" w14:textId="12346FDA" w:rsidR="00BA3AF3" w:rsidRPr="008612B7" w:rsidRDefault="00BA3AF3" w:rsidP="00F256FD">
            <w:pPr>
              <w:rPr>
                <w:b w:val="0"/>
                <w:bCs w:val="0"/>
                <w:color w:val="000000"/>
                <w:sz w:val="20"/>
                <w:szCs w:val="20"/>
              </w:rPr>
            </w:pPr>
            <w:r w:rsidRPr="008612B7">
              <w:rPr>
                <w:b w:val="0"/>
                <w:bCs w:val="0"/>
                <w:color w:val="000000"/>
                <w:sz w:val="20"/>
                <w:szCs w:val="20"/>
              </w:rPr>
              <w:t xml:space="preserve">Rhode Island </w:t>
            </w:r>
          </w:p>
        </w:tc>
        <w:tc>
          <w:tcPr>
            <w:tcW w:w="1160" w:type="dxa"/>
            <w:noWrap/>
            <w:vAlign w:val="center"/>
            <w:hideMark/>
          </w:tcPr>
          <w:p w14:paraId="79B7D405" w14:textId="15A40FFF"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S2583</w:t>
            </w:r>
          </w:p>
        </w:tc>
        <w:tc>
          <w:tcPr>
            <w:tcW w:w="1160" w:type="dxa"/>
            <w:noWrap/>
            <w:vAlign w:val="center"/>
            <w:hideMark/>
          </w:tcPr>
          <w:p w14:paraId="1C4DCDB0" w14:textId="5AAA6222"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2022</w:t>
            </w:r>
          </w:p>
        </w:tc>
        <w:tc>
          <w:tcPr>
            <w:tcW w:w="780" w:type="dxa"/>
            <w:noWrap/>
            <w:vAlign w:val="center"/>
            <w:hideMark/>
          </w:tcPr>
          <w:p w14:paraId="6FD894CD" w14:textId="374C0FEF"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right w:val="single" w:sz="4" w:space="0" w:color="auto"/>
            </w:tcBorders>
            <w:noWrap/>
            <w:vAlign w:val="center"/>
            <w:hideMark/>
          </w:tcPr>
          <w:p w14:paraId="62D181B2" w14:textId="669D2D1E" w:rsidR="00BA3AF3" w:rsidRPr="008612B7" w:rsidRDefault="00BA3AF3" w:rsidP="00F256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8612B7">
              <w:rPr>
                <w:color w:val="000000"/>
                <w:sz w:val="20"/>
                <w:szCs w:val="20"/>
              </w:rPr>
              <w:t xml:space="preserve">Mandates procurement of offshore wind capacity aligned with state climate goals </w:t>
            </w:r>
          </w:p>
        </w:tc>
      </w:tr>
      <w:tr w:rsidR="00BA3AF3" w:rsidRPr="00063811" w14:paraId="415F6CA0" w14:textId="77777777" w:rsidTr="00BA3AF3">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80" w:type="dxa"/>
            <w:tcBorders>
              <w:left w:val="single" w:sz="4" w:space="0" w:color="auto"/>
              <w:bottom w:val="single" w:sz="4" w:space="0" w:color="auto"/>
            </w:tcBorders>
            <w:noWrap/>
            <w:vAlign w:val="center"/>
            <w:hideMark/>
          </w:tcPr>
          <w:p w14:paraId="57E1A01F" w14:textId="001073BB" w:rsidR="00BA3AF3" w:rsidRPr="008612B7" w:rsidRDefault="00BA3AF3" w:rsidP="00F256FD">
            <w:pPr>
              <w:rPr>
                <w:b w:val="0"/>
                <w:bCs w:val="0"/>
                <w:color w:val="000000"/>
                <w:sz w:val="20"/>
                <w:szCs w:val="20"/>
              </w:rPr>
            </w:pPr>
            <w:r w:rsidRPr="008612B7">
              <w:rPr>
                <w:b w:val="0"/>
                <w:bCs w:val="0"/>
                <w:color w:val="000000"/>
                <w:sz w:val="20"/>
                <w:szCs w:val="20"/>
              </w:rPr>
              <w:t xml:space="preserve">Rhode Island </w:t>
            </w:r>
          </w:p>
        </w:tc>
        <w:tc>
          <w:tcPr>
            <w:tcW w:w="1160" w:type="dxa"/>
            <w:tcBorders>
              <w:bottom w:val="single" w:sz="4" w:space="0" w:color="auto"/>
            </w:tcBorders>
            <w:noWrap/>
            <w:vAlign w:val="center"/>
            <w:hideMark/>
          </w:tcPr>
          <w:p w14:paraId="05C8A459" w14:textId="7511F480"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H7971</w:t>
            </w:r>
          </w:p>
        </w:tc>
        <w:tc>
          <w:tcPr>
            <w:tcW w:w="1160" w:type="dxa"/>
            <w:tcBorders>
              <w:bottom w:val="single" w:sz="4" w:space="0" w:color="auto"/>
            </w:tcBorders>
            <w:noWrap/>
            <w:vAlign w:val="center"/>
            <w:hideMark/>
          </w:tcPr>
          <w:p w14:paraId="7D55B110" w14:textId="72CCAD73"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2022</w:t>
            </w:r>
          </w:p>
        </w:tc>
        <w:tc>
          <w:tcPr>
            <w:tcW w:w="780" w:type="dxa"/>
            <w:tcBorders>
              <w:bottom w:val="single" w:sz="4" w:space="0" w:color="auto"/>
            </w:tcBorders>
            <w:noWrap/>
            <w:vAlign w:val="center"/>
            <w:hideMark/>
          </w:tcPr>
          <w:p w14:paraId="5B769EA2" w14:textId="3FB67D09"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Pro</w:t>
            </w:r>
          </w:p>
        </w:tc>
        <w:tc>
          <w:tcPr>
            <w:tcW w:w="4320" w:type="dxa"/>
            <w:tcBorders>
              <w:bottom w:val="single" w:sz="4" w:space="0" w:color="auto"/>
              <w:right w:val="single" w:sz="4" w:space="0" w:color="auto"/>
            </w:tcBorders>
            <w:noWrap/>
            <w:vAlign w:val="center"/>
            <w:hideMark/>
          </w:tcPr>
          <w:p w14:paraId="70B09560" w14:textId="04630AAC" w:rsidR="00BA3AF3" w:rsidRPr="008612B7" w:rsidRDefault="00BA3AF3" w:rsidP="00F256F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8612B7">
              <w:rPr>
                <w:color w:val="000000"/>
                <w:sz w:val="20"/>
                <w:szCs w:val="20"/>
              </w:rPr>
              <w:t xml:space="preserve">Mandates procurement of offshore wind capacity with environmental and labor protections </w:t>
            </w:r>
          </w:p>
        </w:tc>
      </w:tr>
    </w:tbl>
    <w:p w14:paraId="06352446" w14:textId="19DD3AD8" w:rsidR="00DA6744" w:rsidRPr="00063811" w:rsidRDefault="00DA6744" w:rsidP="00F256FD">
      <w:pPr>
        <w:rPr>
          <w:i/>
          <w:iCs/>
          <w:sz w:val="20"/>
          <w:szCs w:val="20"/>
        </w:rPr>
      </w:pPr>
      <w:r w:rsidRPr="00063811">
        <w:rPr>
          <w:i/>
          <w:iCs/>
          <w:sz w:val="20"/>
          <w:szCs w:val="20"/>
        </w:rPr>
        <w:t xml:space="preserve">Note: </w:t>
      </w:r>
      <w:r w:rsidRPr="00063811">
        <w:rPr>
          <w:sz w:val="20"/>
          <w:szCs w:val="20"/>
        </w:rPr>
        <w:t>This table catalogs state-level ESG legislation in the United States from 2020-2024. "Pro-ESG" bills mandate or encourage consideration of environmental, social, or governance factors in investment decisions, corporate operations, or public policy. "Anti-ESG" bills explicitly restrict or prohibit such considerations, typically requiring decisions based solely on financial factors. Because this study used Ballotpedia’s ESG tracker, legislation that might implicate fringe ESG topics are included.</w:t>
      </w:r>
    </w:p>
    <w:p w14:paraId="163E3512" w14:textId="3FBD45BB" w:rsidR="00381C6B" w:rsidRPr="00063811" w:rsidRDefault="00381C6B" w:rsidP="00F256FD">
      <w:r w:rsidRPr="00063811">
        <w:br w:type="page"/>
      </w:r>
    </w:p>
    <w:p w14:paraId="783177DD" w14:textId="0B923E2B" w:rsidR="005E06BC" w:rsidRPr="00063811" w:rsidRDefault="005974CD" w:rsidP="008612B7">
      <w:pPr>
        <w:pStyle w:val="Heading2"/>
      </w:pPr>
      <w:bookmarkStart w:id="41" w:name="_Toc193977957"/>
      <w:r w:rsidRPr="00063811">
        <w:lastRenderedPageBreak/>
        <w:t>A</w:t>
      </w:r>
      <w:r w:rsidR="006760A7" w:rsidRPr="00063811">
        <w:t>ppendix</w:t>
      </w:r>
      <w:r w:rsidRPr="00063811">
        <w:t xml:space="preserve"> B</w:t>
      </w:r>
      <w:bookmarkEnd w:id="41"/>
    </w:p>
    <w:p w14:paraId="284EE9D6" w14:textId="02D6741F" w:rsidR="00381C6B" w:rsidRPr="00063811" w:rsidRDefault="00381C6B" w:rsidP="008612B7">
      <w:pPr>
        <w:pStyle w:val="Heading3"/>
      </w:pPr>
      <w:r w:rsidRPr="00063811">
        <w:t>Variable Calculations and Definitions</w:t>
      </w:r>
    </w:p>
    <w:p w14:paraId="1D31A6C2" w14:textId="6C07109B" w:rsidR="005E06BC" w:rsidRPr="00063811" w:rsidRDefault="00381C6B" w:rsidP="00F256FD">
      <w:pPr>
        <w:spacing w:line="480" w:lineRule="auto"/>
        <w:ind w:firstLine="720"/>
      </w:pPr>
      <w:r w:rsidRPr="00063811">
        <w:t>This appendix provides detailed information on the construction of key financial variables used in the analysis. All variables are calculated using data from</w:t>
      </w:r>
      <w:r w:rsidR="006760A7" w:rsidRPr="00063811">
        <w:t xml:space="preserve"> </w:t>
      </w:r>
      <w:r w:rsidRPr="00063811">
        <w:t xml:space="preserve">Compustat </w:t>
      </w:r>
      <w:r w:rsidR="006760A7" w:rsidRPr="00063811">
        <w:t>a</w:t>
      </w:r>
      <w:r w:rsidRPr="00063811">
        <w:t>nnual database for the years 2019-2024</w:t>
      </w:r>
    </w:p>
    <w:p w14:paraId="41DEAD68" w14:textId="6614F7DA" w:rsidR="00381C6B" w:rsidRPr="008612B7" w:rsidRDefault="005E06BC" w:rsidP="00F256FD">
      <w:pPr>
        <w:rPr>
          <w:i/>
          <w:iCs/>
        </w:rPr>
      </w:pPr>
      <w:r w:rsidRPr="008612B7">
        <w:rPr>
          <w:b/>
          <w:bCs/>
          <w:sz w:val="20"/>
          <w:szCs w:val="20"/>
        </w:rPr>
        <w:t>Table B1.</w:t>
      </w:r>
      <w:r w:rsidR="00417867" w:rsidRPr="008612B7">
        <w:rPr>
          <w:b/>
          <w:bCs/>
          <w:i/>
          <w:iCs/>
          <w:sz w:val="20"/>
          <w:szCs w:val="20"/>
        </w:rPr>
        <w:t xml:space="preserve"> </w:t>
      </w:r>
      <w:r w:rsidRPr="008612B7">
        <w:rPr>
          <w:b/>
          <w:bCs/>
          <w:i/>
          <w:iCs/>
          <w:sz w:val="20"/>
          <w:szCs w:val="20"/>
        </w:rPr>
        <w:t>Financial Control Variable Calculations and Compustat Codes</w:t>
      </w:r>
      <w:r w:rsidR="00381C6B" w:rsidRPr="008612B7">
        <w:rPr>
          <w:i/>
          <w:iCs/>
        </w:rPr>
        <w:tab/>
      </w:r>
    </w:p>
    <w:tbl>
      <w:tblPr>
        <w:tblStyle w:val="PlainTable2"/>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400"/>
      </w:tblGrid>
      <w:tr w:rsidR="00381C6B" w:rsidRPr="00063811" w14:paraId="208DE064" w14:textId="77777777" w:rsidTr="008612B7">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950" w:type="dxa"/>
            <w:tcBorders>
              <w:bottom w:val="none" w:sz="0" w:space="0" w:color="auto"/>
            </w:tcBorders>
            <w:vAlign w:val="center"/>
          </w:tcPr>
          <w:p w14:paraId="703838EF" w14:textId="5CC84CD3" w:rsidR="00381C6B" w:rsidRPr="008612B7" w:rsidRDefault="00381C6B" w:rsidP="00F256FD">
            <w:pPr>
              <w:spacing w:line="276" w:lineRule="auto"/>
              <w:jc w:val="center"/>
              <w:rPr>
                <w:b w:val="0"/>
                <w:bCs w:val="0"/>
              </w:rPr>
            </w:pPr>
            <w:r w:rsidRPr="008612B7">
              <w:t>Measure</w:t>
            </w:r>
          </w:p>
        </w:tc>
        <w:tc>
          <w:tcPr>
            <w:tcW w:w="4400" w:type="dxa"/>
            <w:tcBorders>
              <w:bottom w:val="none" w:sz="0" w:space="0" w:color="auto"/>
            </w:tcBorders>
            <w:vAlign w:val="center"/>
          </w:tcPr>
          <w:p w14:paraId="37ED2AC0" w14:textId="45C031BA" w:rsidR="00381C6B" w:rsidRPr="008612B7" w:rsidRDefault="00381C6B" w:rsidP="00F256FD">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i/>
                <w:iCs/>
              </w:rPr>
            </w:pPr>
            <w:r w:rsidRPr="008612B7">
              <w:rPr>
                <w:i/>
                <w:iCs/>
              </w:rPr>
              <w:t>Sub Variables</w:t>
            </w:r>
          </w:p>
        </w:tc>
      </w:tr>
      <w:tr w:rsidR="00381C6B" w:rsidRPr="00063811" w14:paraId="1399F2F9" w14:textId="77777777" w:rsidTr="008612B7">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4950" w:type="dxa"/>
            <w:vAlign w:val="center"/>
          </w:tcPr>
          <w:p w14:paraId="16AF4780" w14:textId="30EA1A98" w:rsidR="00381C6B" w:rsidRPr="008612B7" w:rsidRDefault="004D4F8A" w:rsidP="00F256FD">
            <w:pPr>
              <w:spacing w:line="276" w:lineRule="auto"/>
              <w:jc w:val="center"/>
              <w:rPr>
                <w:b w:val="0"/>
                <w:bCs w:val="0"/>
              </w:rPr>
            </w:pPr>
            <m:oMathPara>
              <m:oMath>
                <m:r>
                  <m:rPr>
                    <m:sty m:val="bi"/>
                  </m:rPr>
                  <w:rPr>
                    <w:rFonts w:ascii="Cambria Math" w:hAnsi="Cambria Math"/>
                  </w:rPr>
                  <m:t>Leverage=</m:t>
                </m:r>
                <m:f>
                  <m:fPr>
                    <m:ctrlPr>
                      <w:rPr>
                        <w:rFonts w:ascii="Cambria Math" w:hAnsi="Cambria Math"/>
                        <w:b w:val="0"/>
                        <w:bCs w:val="0"/>
                        <w:i/>
                      </w:rPr>
                    </m:ctrlPr>
                  </m:fPr>
                  <m:num>
                    <m:r>
                      <m:rPr>
                        <m:nor/>
                      </m:rPr>
                      <w:rPr>
                        <w:b w:val="0"/>
                        <w:bCs w:val="0"/>
                        <w:i/>
                      </w:rPr>
                      <m:t>DLTT + DLC</m:t>
                    </m:r>
                  </m:num>
                  <m:den>
                    <m:r>
                      <m:rPr>
                        <m:nor/>
                      </m:rPr>
                      <w:rPr>
                        <w:b w:val="0"/>
                        <w:bCs w:val="0"/>
                        <w:i/>
                      </w:rPr>
                      <m:t>SEQ</m:t>
                    </m:r>
                  </m:den>
                </m:f>
              </m:oMath>
            </m:oMathPara>
          </w:p>
        </w:tc>
        <w:tc>
          <w:tcPr>
            <w:tcW w:w="4400" w:type="dxa"/>
            <w:vAlign w:val="center"/>
          </w:tcPr>
          <w:p w14:paraId="5D56AF5F" w14:textId="77777777" w:rsidR="00381C6B" w:rsidRPr="008612B7" w:rsidRDefault="00381C6B" w:rsidP="00F256FD">
            <w:pPr>
              <w:spacing w:line="276" w:lineRule="auto"/>
              <w:cnfStyle w:val="000000100000" w:firstRow="0" w:lastRow="0" w:firstColumn="0" w:lastColumn="0" w:oddVBand="0" w:evenVBand="0" w:oddHBand="1" w:evenHBand="0" w:firstRowFirstColumn="0" w:firstRowLastColumn="0" w:lastRowFirstColumn="0" w:lastRowLastColumn="0"/>
            </w:pPr>
            <w:r w:rsidRPr="008612B7">
              <w:rPr>
                <w:i/>
                <w:iCs/>
              </w:rPr>
              <w:t>DLTT</w:t>
            </w:r>
            <w:r w:rsidRPr="008612B7">
              <w:t xml:space="preserve"> = Long Term Debt</w:t>
            </w:r>
          </w:p>
          <w:p w14:paraId="6192C05A" w14:textId="77777777" w:rsidR="00381C6B" w:rsidRPr="008612B7" w:rsidRDefault="00381C6B" w:rsidP="00F256FD">
            <w:pPr>
              <w:spacing w:line="276" w:lineRule="auto"/>
              <w:cnfStyle w:val="000000100000" w:firstRow="0" w:lastRow="0" w:firstColumn="0" w:lastColumn="0" w:oddVBand="0" w:evenVBand="0" w:oddHBand="1" w:evenHBand="0" w:firstRowFirstColumn="0" w:firstRowLastColumn="0" w:lastRowFirstColumn="0" w:lastRowLastColumn="0"/>
            </w:pPr>
            <w:r w:rsidRPr="008612B7">
              <w:rPr>
                <w:i/>
                <w:iCs/>
              </w:rPr>
              <w:t>DLC</w:t>
            </w:r>
            <w:r w:rsidRPr="008612B7">
              <w:t xml:space="preserve"> = Debt in Current Liabilities</w:t>
            </w:r>
          </w:p>
          <w:p w14:paraId="55EA2BAA" w14:textId="77777777" w:rsidR="00381C6B" w:rsidRPr="008612B7" w:rsidRDefault="00381C6B" w:rsidP="00F256FD">
            <w:pPr>
              <w:spacing w:line="276" w:lineRule="auto"/>
              <w:cnfStyle w:val="000000100000" w:firstRow="0" w:lastRow="0" w:firstColumn="0" w:lastColumn="0" w:oddVBand="0" w:evenVBand="0" w:oddHBand="1" w:evenHBand="0" w:firstRowFirstColumn="0" w:firstRowLastColumn="0" w:lastRowFirstColumn="0" w:lastRowLastColumn="0"/>
            </w:pPr>
            <w:r w:rsidRPr="008612B7">
              <w:rPr>
                <w:i/>
                <w:iCs/>
              </w:rPr>
              <w:t>SEQ =</w:t>
            </w:r>
            <w:r w:rsidRPr="008612B7">
              <w:t xml:space="preserve"> Indicates Shareholders' Equity</w:t>
            </w:r>
          </w:p>
        </w:tc>
      </w:tr>
      <w:tr w:rsidR="00381C6B" w:rsidRPr="00063811" w14:paraId="2E4F119B" w14:textId="77777777" w:rsidTr="008612B7">
        <w:trPr>
          <w:cnfStyle w:val="000000010000" w:firstRow="0" w:lastRow="0" w:firstColumn="0" w:lastColumn="0" w:oddVBand="0" w:evenVBand="0" w:oddHBand="0" w:evenHBand="1"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4950" w:type="dxa"/>
            <w:vAlign w:val="center"/>
          </w:tcPr>
          <w:p w14:paraId="140B089C" w14:textId="01E3E8E9" w:rsidR="00381C6B" w:rsidRPr="008612B7" w:rsidRDefault="00000000" w:rsidP="00F256FD">
            <w:pPr>
              <w:spacing w:line="276" w:lineRule="auto"/>
              <w:jc w:val="center"/>
              <w:rPr>
                <w:b w:val="0"/>
                <w:bCs w:val="0"/>
              </w:rPr>
            </w:pPr>
            <m:oMathPara>
              <m:oMath>
                <m:func>
                  <m:funcPr>
                    <m:ctrlPr>
                      <w:rPr>
                        <w:rFonts w:ascii="Cambria Math" w:hAnsi="Cambria Math"/>
                        <w:b w:val="0"/>
                        <w:bCs w:val="0"/>
                        <w:i/>
                      </w:rPr>
                    </m:ctrlPr>
                  </m:funcPr>
                  <m:fName>
                    <m:r>
                      <m:rPr>
                        <m:sty m:val="bi"/>
                      </m:rPr>
                      <w:rPr>
                        <w:rFonts w:ascii="Cambria Math" w:hAnsi="Cambria Math"/>
                      </w:rPr>
                      <m:t>Firm Size=log</m:t>
                    </m:r>
                  </m:fName>
                  <m:e>
                    <m:d>
                      <m:dPr>
                        <m:ctrlPr>
                          <w:rPr>
                            <w:rFonts w:ascii="Cambria Math" w:hAnsi="Cambria Math"/>
                            <w:b w:val="0"/>
                            <w:bCs w:val="0"/>
                            <w:i/>
                          </w:rPr>
                        </m:ctrlPr>
                      </m:dPr>
                      <m:e>
                        <m:r>
                          <m:rPr>
                            <m:nor/>
                          </m:rPr>
                          <w:rPr>
                            <w:b w:val="0"/>
                            <w:bCs w:val="0"/>
                            <w:i/>
                          </w:rPr>
                          <m:t>AT</m:t>
                        </m:r>
                      </m:e>
                    </m:d>
                  </m:e>
                </m:func>
              </m:oMath>
            </m:oMathPara>
          </w:p>
        </w:tc>
        <w:tc>
          <w:tcPr>
            <w:tcW w:w="4400" w:type="dxa"/>
            <w:vAlign w:val="center"/>
          </w:tcPr>
          <w:p w14:paraId="06560D76" w14:textId="77777777" w:rsidR="00381C6B" w:rsidRPr="008612B7" w:rsidRDefault="00381C6B" w:rsidP="00F256FD">
            <w:pPr>
              <w:spacing w:line="276" w:lineRule="auto"/>
              <w:cnfStyle w:val="000000010000" w:firstRow="0" w:lastRow="0" w:firstColumn="0" w:lastColumn="0" w:oddVBand="0" w:evenVBand="0" w:oddHBand="0" w:evenHBand="1" w:firstRowFirstColumn="0" w:firstRowLastColumn="0" w:lastRowFirstColumn="0" w:lastRowLastColumn="0"/>
            </w:pPr>
            <w:r w:rsidRPr="008612B7">
              <w:t>AT = Total Assets</w:t>
            </w:r>
          </w:p>
        </w:tc>
      </w:tr>
      <w:tr w:rsidR="00381C6B" w:rsidRPr="00063811" w14:paraId="3C3CAB93" w14:textId="77777777" w:rsidTr="008612B7">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4950" w:type="dxa"/>
            <w:tcBorders>
              <w:bottom w:val="nil"/>
            </w:tcBorders>
            <w:vAlign w:val="center"/>
          </w:tcPr>
          <w:p w14:paraId="2A632174" w14:textId="22CFEC2B" w:rsidR="00381C6B" w:rsidRPr="008612B7" w:rsidRDefault="004D4F8A" w:rsidP="00F256FD">
            <w:pPr>
              <w:spacing w:line="276" w:lineRule="auto"/>
              <w:jc w:val="center"/>
              <w:rPr>
                <w:b w:val="0"/>
                <w:bCs w:val="0"/>
              </w:rPr>
            </w:pPr>
            <m:oMathPara>
              <m:oMath>
                <m:r>
                  <m:rPr>
                    <m:sty m:val="bi"/>
                  </m:rPr>
                  <w:rPr>
                    <w:rFonts w:ascii="Cambria Math" w:hAnsi="Cambria Math"/>
                  </w:rPr>
                  <m:t>ROA=</m:t>
                </m:r>
                <m:f>
                  <m:fPr>
                    <m:ctrlPr>
                      <w:rPr>
                        <w:rFonts w:ascii="Cambria Math" w:hAnsi="Cambria Math"/>
                        <w:b w:val="0"/>
                        <w:bCs w:val="0"/>
                        <w:i/>
                      </w:rPr>
                    </m:ctrlPr>
                  </m:fPr>
                  <m:num>
                    <m:r>
                      <m:rPr>
                        <m:nor/>
                      </m:rPr>
                      <w:rPr>
                        <w:b w:val="0"/>
                        <w:bCs w:val="0"/>
                        <w:i/>
                      </w:rPr>
                      <m:t>NI</m:t>
                    </m:r>
                  </m:num>
                  <m:den>
                    <m:r>
                      <m:rPr>
                        <m:nor/>
                      </m:rPr>
                      <w:rPr>
                        <w:b w:val="0"/>
                        <w:bCs w:val="0"/>
                        <w:i/>
                      </w:rPr>
                      <m:t>AT</m:t>
                    </m:r>
                  </m:den>
                </m:f>
              </m:oMath>
            </m:oMathPara>
          </w:p>
        </w:tc>
        <w:tc>
          <w:tcPr>
            <w:tcW w:w="4400" w:type="dxa"/>
            <w:tcBorders>
              <w:bottom w:val="nil"/>
            </w:tcBorders>
            <w:vAlign w:val="center"/>
          </w:tcPr>
          <w:p w14:paraId="3807372F" w14:textId="77777777" w:rsidR="00381C6B" w:rsidRPr="008612B7" w:rsidRDefault="00381C6B" w:rsidP="00F256FD">
            <w:pPr>
              <w:spacing w:line="276" w:lineRule="auto"/>
              <w:cnfStyle w:val="000000100000" w:firstRow="0" w:lastRow="0" w:firstColumn="0" w:lastColumn="0" w:oddVBand="0" w:evenVBand="0" w:oddHBand="1" w:evenHBand="0" w:firstRowFirstColumn="0" w:firstRowLastColumn="0" w:lastRowFirstColumn="0" w:lastRowLastColumn="0"/>
            </w:pPr>
            <w:r w:rsidRPr="008612B7">
              <w:t>NI = Net Income</w:t>
            </w:r>
          </w:p>
          <w:p w14:paraId="07DCC9F7" w14:textId="77777777" w:rsidR="00381C6B" w:rsidRPr="008612B7" w:rsidRDefault="00381C6B" w:rsidP="00F256FD">
            <w:pPr>
              <w:spacing w:line="276" w:lineRule="auto"/>
              <w:cnfStyle w:val="000000100000" w:firstRow="0" w:lastRow="0" w:firstColumn="0" w:lastColumn="0" w:oddVBand="0" w:evenVBand="0" w:oddHBand="1" w:evenHBand="0" w:firstRowFirstColumn="0" w:firstRowLastColumn="0" w:lastRowFirstColumn="0" w:lastRowLastColumn="0"/>
            </w:pPr>
            <w:r w:rsidRPr="008612B7">
              <w:t>AT = Total Assets</w:t>
            </w:r>
          </w:p>
        </w:tc>
      </w:tr>
      <w:tr w:rsidR="00381C6B" w:rsidRPr="00063811" w14:paraId="31832756" w14:textId="77777777" w:rsidTr="008612B7">
        <w:trPr>
          <w:cnfStyle w:val="000000010000" w:firstRow="0" w:lastRow="0" w:firstColumn="0" w:lastColumn="0" w:oddVBand="0" w:evenVBand="0" w:oddHBand="0" w:evenHBand="1"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4950" w:type="dxa"/>
            <w:tcBorders>
              <w:top w:val="nil"/>
              <w:bottom w:val="single" w:sz="4" w:space="0" w:color="auto"/>
            </w:tcBorders>
            <w:vAlign w:val="center"/>
          </w:tcPr>
          <w:p w14:paraId="7E8EEBA2" w14:textId="6F10675F" w:rsidR="00381C6B" w:rsidRPr="008612B7" w:rsidRDefault="004D4F8A" w:rsidP="00F256FD">
            <w:pPr>
              <w:spacing w:line="276" w:lineRule="auto"/>
              <w:jc w:val="center"/>
              <w:rPr>
                <w:b w:val="0"/>
                <w:bCs w:val="0"/>
              </w:rPr>
            </w:pPr>
            <m:oMathPara>
              <m:oMath>
                <m:r>
                  <m:rPr>
                    <m:sty m:val="bi"/>
                  </m:rPr>
                  <w:rPr>
                    <w:rFonts w:ascii="Cambria Math" w:hAnsi="Cambria Math"/>
                  </w:rPr>
                  <m:t>Tobin's Q=</m:t>
                </m:r>
                <m:f>
                  <m:fPr>
                    <m:ctrlPr>
                      <w:rPr>
                        <w:rFonts w:ascii="Cambria Math" w:hAnsi="Cambria Math"/>
                        <w:b w:val="0"/>
                        <w:bCs w:val="0"/>
                        <w:i/>
                      </w:rPr>
                    </m:ctrlPr>
                  </m:fPr>
                  <m:num>
                    <m:r>
                      <m:rPr>
                        <m:nor/>
                      </m:rPr>
                      <w:rPr>
                        <w:b w:val="0"/>
                        <w:bCs w:val="0"/>
                        <w:i/>
                      </w:rPr>
                      <m:t>AT + (CSHO</m:t>
                    </m:r>
                    <m:r>
                      <m:rPr>
                        <m:sty m:val="bi"/>
                      </m:rPr>
                      <w:rPr>
                        <w:rFonts w:ascii="Cambria Math" w:hAnsi="Cambria Math"/>
                      </w:rPr>
                      <m:t>×</m:t>
                    </m:r>
                    <m:r>
                      <m:rPr>
                        <m:nor/>
                      </m:rPr>
                      <w:rPr>
                        <w:b w:val="0"/>
                        <w:bCs w:val="0"/>
                        <w:i/>
                      </w:rPr>
                      <m:t>PRCC_F) - CEQ</m:t>
                    </m:r>
                  </m:num>
                  <m:den>
                    <m:r>
                      <m:rPr>
                        <m:nor/>
                      </m:rPr>
                      <w:rPr>
                        <w:b w:val="0"/>
                        <w:bCs w:val="0"/>
                        <w:i/>
                      </w:rPr>
                      <m:t>AT</m:t>
                    </m:r>
                  </m:den>
                </m:f>
              </m:oMath>
            </m:oMathPara>
          </w:p>
        </w:tc>
        <w:tc>
          <w:tcPr>
            <w:tcW w:w="4400" w:type="dxa"/>
            <w:tcBorders>
              <w:top w:val="nil"/>
              <w:bottom w:val="single" w:sz="4" w:space="0" w:color="auto"/>
            </w:tcBorders>
            <w:vAlign w:val="center"/>
          </w:tcPr>
          <w:p w14:paraId="4BF29FC2" w14:textId="77777777" w:rsidR="00381C6B" w:rsidRPr="008612B7" w:rsidRDefault="00381C6B" w:rsidP="00F256FD">
            <w:pPr>
              <w:spacing w:line="276" w:lineRule="auto"/>
              <w:cnfStyle w:val="000000010000" w:firstRow="0" w:lastRow="0" w:firstColumn="0" w:lastColumn="0" w:oddVBand="0" w:evenVBand="0" w:oddHBand="0" w:evenHBand="1" w:firstRowFirstColumn="0" w:firstRowLastColumn="0" w:lastRowFirstColumn="0" w:lastRowLastColumn="0"/>
            </w:pPr>
            <w:r w:rsidRPr="008612B7">
              <w:rPr>
                <w:i/>
                <w:iCs/>
              </w:rPr>
              <w:t>CSHO</w:t>
            </w:r>
            <w:r w:rsidRPr="008612B7">
              <w:t xml:space="preserve"> = Common Shares Outstanding</w:t>
            </w:r>
          </w:p>
          <w:p w14:paraId="35E7C3B2" w14:textId="77777777" w:rsidR="00381C6B" w:rsidRPr="008612B7" w:rsidRDefault="00381C6B" w:rsidP="00F256FD">
            <w:pPr>
              <w:spacing w:line="276" w:lineRule="auto"/>
              <w:cnfStyle w:val="000000010000" w:firstRow="0" w:lastRow="0" w:firstColumn="0" w:lastColumn="0" w:oddVBand="0" w:evenVBand="0" w:oddHBand="0" w:evenHBand="1" w:firstRowFirstColumn="0" w:firstRowLastColumn="0" w:lastRowFirstColumn="0" w:lastRowLastColumn="0"/>
            </w:pPr>
            <w:r w:rsidRPr="008612B7">
              <w:rPr>
                <w:i/>
                <w:iCs/>
              </w:rPr>
              <w:t>PRCC_F</w:t>
            </w:r>
            <w:r w:rsidRPr="008612B7">
              <w:t xml:space="preserve"> = Fiscal Year Closing Share Price</w:t>
            </w:r>
          </w:p>
          <w:p w14:paraId="174B64EC" w14:textId="77777777" w:rsidR="00381C6B" w:rsidRPr="008612B7" w:rsidRDefault="00381C6B" w:rsidP="00F256FD">
            <w:pPr>
              <w:spacing w:line="276" w:lineRule="auto"/>
              <w:cnfStyle w:val="000000010000" w:firstRow="0" w:lastRow="0" w:firstColumn="0" w:lastColumn="0" w:oddVBand="0" w:evenVBand="0" w:oddHBand="0" w:evenHBand="1" w:firstRowFirstColumn="0" w:firstRowLastColumn="0" w:lastRowFirstColumn="0" w:lastRowLastColumn="0"/>
            </w:pPr>
            <w:r w:rsidRPr="008612B7">
              <w:rPr>
                <w:i/>
                <w:iCs/>
              </w:rPr>
              <w:t>CEQ</w:t>
            </w:r>
            <w:r w:rsidRPr="008612B7">
              <w:t xml:space="preserve"> = Common Equity</w:t>
            </w:r>
          </w:p>
          <w:p w14:paraId="426B82BB" w14:textId="77777777" w:rsidR="00381C6B" w:rsidRPr="008612B7" w:rsidRDefault="00381C6B" w:rsidP="00F256FD">
            <w:pPr>
              <w:spacing w:line="276" w:lineRule="auto"/>
              <w:cnfStyle w:val="000000010000" w:firstRow="0" w:lastRow="0" w:firstColumn="0" w:lastColumn="0" w:oddVBand="0" w:evenVBand="0" w:oddHBand="0" w:evenHBand="1" w:firstRowFirstColumn="0" w:firstRowLastColumn="0" w:lastRowFirstColumn="0" w:lastRowLastColumn="0"/>
            </w:pPr>
            <w:r w:rsidRPr="008612B7">
              <w:rPr>
                <w:i/>
                <w:iCs/>
              </w:rPr>
              <w:t>AT</w:t>
            </w:r>
            <w:r w:rsidRPr="008612B7">
              <w:t xml:space="preserve"> = Total Assets</w:t>
            </w:r>
          </w:p>
        </w:tc>
      </w:tr>
    </w:tbl>
    <w:p w14:paraId="1F7412F6" w14:textId="5DA3398E" w:rsidR="00381C6B" w:rsidRPr="008612B7" w:rsidRDefault="005E06BC" w:rsidP="00F256FD">
      <w:pPr>
        <w:rPr>
          <w:sz w:val="20"/>
          <w:szCs w:val="20"/>
        </w:rPr>
      </w:pPr>
      <w:r w:rsidRPr="008612B7">
        <w:rPr>
          <w:sz w:val="20"/>
          <w:szCs w:val="20"/>
        </w:rPr>
        <w:t>Note: Firms with negative leverage and ROA values were excluded from the analysis as these typically represent distressed companies with negative equity, potentially distorting financial relationship interpretations.</w:t>
      </w:r>
    </w:p>
    <w:p w14:paraId="4D962AEC" w14:textId="77777777" w:rsidR="00AC79E9" w:rsidRPr="00063811" w:rsidRDefault="00AC79E9" w:rsidP="00F256FD">
      <w:pPr>
        <w:spacing w:line="480" w:lineRule="auto"/>
        <w:ind w:hanging="720"/>
      </w:pPr>
    </w:p>
    <w:p w14:paraId="14F98258" w14:textId="77777777" w:rsidR="00AC79E9" w:rsidRPr="00063811" w:rsidRDefault="00AC79E9" w:rsidP="00F256FD">
      <w:pPr>
        <w:spacing w:line="480" w:lineRule="auto"/>
        <w:ind w:hanging="720"/>
      </w:pPr>
    </w:p>
    <w:p w14:paraId="7FB14C74" w14:textId="4E2AA67E" w:rsidR="00CF4FA4" w:rsidRPr="00063811" w:rsidRDefault="00CF4FA4" w:rsidP="00F256FD">
      <w:pPr>
        <w:spacing w:after="160" w:line="278" w:lineRule="auto"/>
      </w:pPr>
    </w:p>
    <w:sectPr w:rsidR="00CF4FA4" w:rsidRPr="00063811" w:rsidSect="00A153D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072DA" w14:textId="77777777" w:rsidR="00C33243" w:rsidRDefault="00C33243" w:rsidP="00B63862">
      <w:r>
        <w:separator/>
      </w:r>
    </w:p>
  </w:endnote>
  <w:endnote w:type="continuationSeparator" w:id="0">
    <w:p w14:paraId="45BE562F" w14:textId="77777777" w:rsidR="00C33243" w:rsidRDefault="00C33243" w:rsidP="00B63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6435" w14:textId="5937E590" w:rsidR="00D41F40" w:rsidRDefault="00D41F40" w:rsidP="008612B7">
    <w:pPr>
      <w:pStyle w:val="Footer"/>
      <w:tabs>
        <w:tab w:val="left" w:pos="5205"/>
      </w:tabs>
      <w:jc w:val="center"/>
    </w:pPr>
  </w:p>
  <w:p w14:paraId="1A99F9C1" w14:textId="77777777" w:rsidR="00D41F40" w:rsidRDefault="00D41F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088782"/>
      <w:docPartObj>
        <w:docPartGallery w:val="Page Numbers (Bottom of Page)"/>
        <w:docPartUnique/>
      </w:docPartObj>
    </w:sdtPr>
    <w:sdtEndPr>
      <w:rPr>
        <w:noProof/>
      </w:rPr>
    </w:sdtEndPr>
    <w:sdtContent>
      <w:p w14:paraId="7324441A" w14:textId="0733FB78" w:rsidR="00536B60" w:rsidRDefault="00536B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F576C9" w14:textId="77777777" w:rsidR="00536B60" w:rsidRDefault="00536B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462652"/>
      <w:docPartObj>
        <w:docPartGallery w:val="Page Numbers (Bottom of Page)"/>
        <w:docPartUnique/>
      </w:docPartObj>
    </w:sdtPr>
    <w:sdtEndPr>
      <w:rPr>
        <w:noProof/>
      </w:rPr>
    </w:sdtEndPr>
    <w:sdtContent>
      <w:p w14:paraId="6E5C87B7" w14:textId="22165DD6" w:rsidR="00D41F40" w:rsidRDefault="00D41F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FB68B" w14:textId="77777777" w:rsidR="00D41F40" w:rsidRDefault="00D41F4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0421"/>
      <w:docPartObj>
        <w:docPartGallery w:val="Page Numbers (Bottom of Page)"/>
        <w:docPartUnique/>
      </w:docPartObj>
    </w:sdtPr>
    <w:sdtEndPr>
      <w:rPr>
        <w:noProof/>
      </w:rPr>
    </w:sdtEndPr>
    <w:sdtContent>
      <w:p w14:paraId="042AD9B0" w14:textId="7EB2015B" w:rsidR="00D41F40" w:rsidRDefault="00D41F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EDE497" w14:textId="77777777" w:rsidR="00D41F40" w:rsidRDefault="00D41F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6AEE0" w14:textId="77777777" w:rsidR="00C33243" w:rsidRDefault="00C33243" w:rsidP="00B63862">
      <w:r>
        <w:separator/>
      </w:r>
    </w:p>
  </w:footnote>
  <w:footnote w:type="continuationSeparator" w:id="0">
    <w:p w14:paraId="4D70E18C" w14:textId="77777777" w:rsidR="00C33243" w:rsidRDefault="00C33243" w:rsidP="00B638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762"/>
    <w:multiLevelType w:val="hybridMultilevel"/>
    <w:tmpl w:val="F258B67A"/>
    <w:lvl w:ilvl="0" w:tplc="0D62CCBC">
      <w:start w:val="1"/>
      <w:numFmt w:val="upperRoman"/>
      <w:pStyle w:val="TOC1"/>
      <w:lvlText w:val="%1   "/>
      <w:lvlJc w:val="center"/>
      <w:pPr>
        <w:ind w:left="810" w:hanging="360"/>
      </w:pPr>
      <w:rPr>
        <w:rFonts w:ascii="Times New Roman" w:hAnsi="Times New Roman" w:hint="default"/>
        <w:b w:val="0"/>
        <w:i w:val="0"/>
        <w:sz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33C4ECE"/>
    <w:multiLevelType w:val="hybridMultilevel"/>
    <w:tmpl w:val="F170ECAA"/>
    <w:lvl w:ilvl="0" w:tplc="EB282228">
      <w:start w:val="1"/>
      <w:numFmt w:val="decimal"/>
      <w:lvlText w:val="%1   "/>
      <w:lvlJc w:val="center"/>
      <w:pPr>
        <w:ind w:left="720" w:hanging="360"/>
      </w:pPr>
      <w:rPr>
        <w:rFonts w:ascii="Times New Roman" w:hAnsi="Times New Roman" w:hint="default"/>
        <w:b w:val="0"/>
        <w:i w:val="0"/>
        <w:caps w:val="0"/>
        <w:strike w:val="0"/>
        <w:dstrike w:val="0"/>
        <w:vanish w:val="0"/>
        <w:color w:val="000000" w:themeColor="text1"/>
        <w:sz w:val="24"/>
        <w:vertAlign w:val="baseline"/>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B1E25"/>
    <w:multiLevelType w:val="hybridMultilevel"/>
    <w:tmpl w:val="5BA0A5B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EB282228">
      <w:start w:val="1"/>
      <w:numFmt w:val="decimal"/>
      <w:lvlText w:val="%3   "/>
      <w:lvlJc w:val="center"/>
      <w:pPr>
        <w:ind w:left="2340" w:hanging="360"/>
      </w:pPr>
      <w:rPr>
        <w:rFonts w:ascii="Times New Roman" w:hAnsi="Times New Roman" w:hint="default"/>
        <w:b w:val="0"/>
        <w:i w:val="0"/>
        <w:caps w:val="0"/>
        <w:strike w:val="0"/>
        <w:dstrike w:val="0"/>
        <w:vanish w:val="0"/>
        <w:color w:val="000000" w:themeColor="text1"/>
        <w:sz w:val="24"/>
        <w:vertAlign w:val="baseline"/>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860C2"/>
    <w:multiLevelType w:val="multilevel"/>
    <w:tmpl w:val="7810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D0DA7"/>
    <w:multiLevelType w:val="hybridMultilevel"/>
    <w:tmpl w:val="F6747B00"/>
    <w:lvl w:ilvl="0" w:tplc="201C5A8E">
      <w:start w:val="1"/>
      <w:numFmt w:val="upperRoman"/>
      <w:lvlText w:val="%1   "/>
      <w:lvlJc w:val="center"/>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1120A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C175F1F"/>
    <w:multiLevelType w:val="hybridMultilevel"/>
    <w:tmpl w:val="55C6ED1E"/>
    <w:lvl w:ilvl="0" w:tplc="06040D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AA175E"/>
    <w:multiLevelType w:val="hybridMultilevel"/>
    <w:tmpl w:val="493E3F86"/>
    <w:lvl w:ilvl="0" w:tplc="7F2EADFE">
      <w:start w:val="1"/>
      <w:numFmt w:val="decimal"/>
      <w:lvlText w:val="%1   "/>
      <w:lvlJc w:val="center"/>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4D0DD7"/>
    <w:multiLevelType w:val="hybridMultilevel"/>
    <w:tmpl w:val="507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385A2D"/>
    <w:multiLevelType w:val="multilevel"/>
    <w:tmpl w:val="71FE9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8A5690"/>
    <w:multiLevelType w:val="hybridMultilevel"/>
    <w:tmpl w:val="2A3ED2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AD85722"/>
    <w:multiLevelType w:val="multilevel"/>
    <w:tmpl w:val="146CE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6115B9"/>
    <w:multiLevelType w:val="multilevel"/>
    <w:tmpl w:val="14402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D75688"/>
    <w:multiLevelType w:val="hybridMultilevel"/>
    <w:tmpl w:val="1B0887B0"/>
    <w:lvl w:ilvl="0" w:tplc="FFFFFFFF">
      <w:start w:val="1"/>
      <w:numFmt w:val="decimal"/>
      <w:lvlText w:val="%1."/>
      <w:lvlJc w:val="left"/>
      <w:pPr>
        <w:ind w:left="720" w:hanging="360"/>
      </w:pPr>
    </w:lvl>
    <w:lvl w:ilvl="1" w:tplc="04090001">
      <w:start w:val="1"/>
      <w:numFmt w:val="bullet"/>
      <w:lvlText w:val=""/>
      <w:lvlJc w:val="left"/>
      <w:pPr>
        <w:ind w:left="180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485F3B25"/>
    <w:multiLevelType w:val="hybridMultilevel"/>
    <w:tmpl w:val="965CAAD8"/>
    <w:lvl w:ilvl="0" w:tplc="8C9243A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8C64C9"/>
    <w:multiLevelType w:val="hybridMultilevel"/>
    <w:tmpl w:val="1AD6C39A"/>
    <w:lvl w:ilvl="0" w:tplc="E16A1C10">
      <w:start w:val="1"/>
      <w:numFmt w:val="decimal"/>
      <w:pStyle w:val="TableofFigures"/>
      <w:lvlText w:val="%1   "/>
      <w:lvlJc w:val="center"/>
      <w:pPr>
        <w:ind w:left="720" w:hanging="360"/>
      </w:pPr>
      <w:rPr>
        <w:rFonts w:ascii="Times New Roman" w:hAnsi="Times New Roman" w:hint="default"/>
        <w:b w:val="0"/>
        <w:i w:val="0"/>
        <w:caps w:val="0"/>
        <w:strike w:val="0"/>
        <w:dstrike w:val="0"/>
        <w:vanish w:val="0"/>
        <w:color w:val="000000" w:themeColor="text1"/>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C431B5"/>
    <w:multiLevelType w:val="hybridMultilevel"/>
    <w:tmpl w:val="64DE2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506B35"/>
    <w:multiLevelType w:val="hybridMultilevel"/>
    <w:tmpl w:val="9F2E3FA8"/>
    <w:lvl w:ilvl="0" w:tplc="8AD2433C">
      <w:start w:val="5"/>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A534BE"/>
    <w:multiLevelType w:val="hybridMultilevel"/>
    <w:tmpl w:val="55C6ED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C9E355E"/>
    <w:multiLevelType w:val="hybridMultilevel"/>
    <w:tmpl w:val="1E086FCA"/>
    <w:lvl w:ilvl="0" w:tplc="EB282228">
      <w:start w:val="1"/>
      <w:numFmt w:val="decimal"/>
      <w:lvlText w:val="%1   "/>
      <w:lvlJc w:val="center"/>
      <w:pPr>
        <w:ind w:left="720" w:hanging="360"/>
      </w:pPr>
      <w:rPr>
        <w:rFonts w:ascii="Times New Roman" w:hAnsi="Times New Roman" w:hint="default"/>
        <w:b w:val="0"/>
        <w:i w:val="0"/>
        <w:caps w:val="0"/>
        <w:strike w:val="0"/>
        <w:dstrike w:val="0"/>
        <w:vanish w:val="0"/>
        <w:color w:val="000000" w:themeColor="text1"/>
        <w:sz w:val="24"/>
        <w:vertAlign w:val="baseline"/>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F42B3C"/>
    <w:multiLevelType w:val="multilevel"/>
    <w:tmpl w:val="96DC0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75D12E"/>
    <w:multiLevelType w:val="hybridMultilevel"/>
    <w:tmpl w:val="8770446E"/>
    <w:lvl w:ilvl="0" w:tplc="3F32BE1C">
      <w:start w:val="1"/>
      <w:numFmt w:val="decimal"/>
      <w:lvlText w:val="%1."/>
      <w:lvlJc w:val="left"/>
      <w:pPr>
        <w:ind w:left="720" w:hanging="360"/>
      </w:pPr>
    </w:lvl>
    <w:lvl w:ilvl="1" w:tplc="04090001">
      <w:start w:val="1"/>
      <w:numFmt w:val="bullet"/>
      <w:lvlText w:val=""/>
      <w:lvlJc w:val="left"/>
      <w:pPr>
        <w:ind w:left="1800" w:hanging="360"/>
      </w:pPr>
      <w:rPr>
        <w:rFonts w:ascii="Symbol" w:hAnsi="Symbol" w:hint="default"/>
      </w:rPr>
    </w:lvl>
    <w:lvl w:ilvl="2" w:tplc="CB064056">
      <w:start w:val="1"/>
      <w:numFmt w:val="lowerRoman"/>
      <w:lvlText w:val="%3."/>
      <w:lvlJc w:val="right"/>
      <w:pPr>
        <w:ind w:left="2160" w:hanging="180"/>
      </w:pPr>
    </w:lvl>
    <w:lvl w:ilvl="3" w:tplc="A2C032D6">
      <w:start w:val="1"/>
      <w:numFmt w:val="decimal"/>
      <w:lvlText w:val="%4."/>
      <w:lvlJc w:val="left"/>
      <w:pPr>
        <w:ind w:left="2880" w:hanging="360"/>
      </w:pPr>
    </w:lvl>
    <w:lvl w:ilvl="4" w:tplc="A716961A">
      <w:start w:val="1"/>
      <w:numFmt w:val="lowerLetter"/>
      <w:lvlText w:val="%5."/>
      <w:lvlJc w:val="left"/>
      <w:pPr>
        <w:ind w:left="3600" w:hanging="360"/>
      </w:pPr>
    </w:lvl>
    <w:lvl w:ilvl="5" w:tplc="E3C4731E">
      <w:start w:val="1"/>
      <w:numFmt w:val="lowerRoman"/>
      <w:lvlText w:val="%6."/>
      <w:lvlJc w:val="right"/>
      <w:pPr>
        <w:ind w:left="4320" w:hanging="180"/>
      </w:pPr>
    </w:lvl>
    <w:lvl w:ilvl="6" w:tplc="A00438C8">
      <w:start w:val="1"/>
      <w:numFmt w:val="decimal"/>
      <w:lvlText w:val="%7."/>
      <w:lvlJc w:val="left"/>
      <w:pPr>
        <w:ind w:left="5040" w:hanging="360"/>
      </w:pPr>
    </w:lvl>
    <w:lvl w:ilvl="7" w:tplc="CA0A9BB2">
      <w:start w:val="1"/>
      <w:numFmt w:val="lowerLetter"/>
      <w:lvlText w:val="%8."/>
      <w:lvlJc w:val="left"/>
      <w:pPr>
        <w:ind w:left="5760" w:hanging="360"/>
      </w:pPr>
    </w:lvl>
    <w:lvl w:ilvl="8" w:tplc="74B4C25A">
      <w:start w:val="1"/>
      <w:numFmt w:val="lowerRoman"/>
      <w:lvlText w:val="%9."/>
      <w:lvlJc w:val="right"/>
      <w:pPr>
        <w:ind w:left="6480" w:hanging="180"/>
      </w:pPr>
    </w:lvl>
  </w:abstractNum>
  <w:abstractNum w:abstractNumId="22" w15:restartNumberingAfterBreak="0">
    <w:nsid w:val="7B577AE1"/>
    <w:multiLevelType w:val="hybridMultilevel"/>
    <w:tmpl w:val="2062937E"/>
    <w:lvl w:ilvl="0" w:tplc="06040D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3520537">
    <w:abstractNumId w:val="16"/>
  </w:num>
  <w:num w:numId="2" w16cid:durableId="110710596">
    <w:abstractNumId w:val="21"/>
  </w:num>
  <w:num w:numId="3" w16cid:durableId="1893957434">
    <w:abstractNumId w:val="10"/>
  </w:num>
  <w:num w:numId="4" w16cid:durableId="1457260310">
    <w:abstractNumId w:val="13"/>
  </w:num>
  <w:num w:numId="5" w16cid:durableId="1197766845">
    <w:abstractNumId w:val="12"/>
  </w:num>
  <w:num w:numId="6" w16cid:durableId="1887641040">
    <w:abstractNumId w:val="11"/>
  </w:num>
  <w:num w:numId="7" w16cid:durableId="1456827493">
    <w:abstractNumId w:val="20"/>
  </w:num>
  <w:num w:numId="8" w16cid:durableId="1234314665">
    <w:abstractNumId w:val="6"/>
  </w:num>
  <w:num w:numId="9" w16cid:durableId="696741118">
    <w:abstractNumId w:val="18"/>
  </w:num>
  <w:num w:numId="10" w16cid:durableId="1222595404">
    <w:abstractNumId w:val="17"/>
  </w:num>
  <w:num w:numId="11" w16cid:durableId="280189104">
    <w:abstractNumId w:val="8"/>
  </w:num>
  <w:num w:numId="12" w16cid:durableId="987394886">
    <w:abstractNumId w:val="9"/>
  </w:num>
  <w:num w:numId="13" w16cid:durableId="1896770614">
    <w:abstractNumId w:val="22"/>
  </w:num>
  <w:num w:numId="14" w16cid:durableId="1856918653">
    <w:abstractNumId w:val="3"/>
  </w:num>
  <w:num w:numId="15" w16cid:durableId="805007911">
    <w:abstractNumId w:val="4"/>
  </w:num>
  <w:num w:numId="16" w16cid:durableId="661084155">
    <w:abstractNumId w:val="0"/>
  </w:num>
  <w:num w:numId="17" w16cid:durableId="1647587099">
    <w:abstractNumId w:val="15"/>
  </w:num>
  <w:num w:numId="18" w16cid:durableId="1377701812">
    <w:abstractNumId w:val="5"/>
  </w:num>
  <w:num w:numId="19" w16cid:durableId="675157299">
    <w:abstractNumId w:val="1"/>
  </w:num>
  <w:num w:numId="20" w16cid:durableId="907492752">
    <w:abstractNumId w:val="19"/>
  </w:num>
  <w:num w:numId="21" w16cid:durableId="62219471">
    <w:abstractNumId w:val="7"/>
  </w:num>
  <w:num w:numId="22" w16cid:durableId="1546454557">
    <w:abstractNumId w:val="14"/>
  </w:num>
  <w:num w:numId="23" w16cid:durableId="863790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154"/>
    <w:rsid w:val="00000AB1"/>
    <w:rsid w:val="00001260"/>
    <w:rsid w:val="00004AD2"/>
    <w:rsid w:val="00007969"/>
    <w:rsid w:val="000120A6"/>
    <w:rsid w:val="000172B4"/>
    <w:rsid w:val="0002202C"/>
    <w:rsid w:val="00025FBD"/>
    <w:rsid w:val="00035E5E"/>
    <w:rsid w:val="0003797E"/>
    <w:rsid w:val="000420AC"/>
    <w:rsid w:val="000458F4"/>
    <w:rsid w:val="000467F1"/>
    <w:rsid w:val="00046E21"/>
    <w:rsid w:val="000479D8"/>
    <w:rsid w:val="0005221C"/>
    <w:rsid w:val="0005475A"/>
    <w:rsid w:val="000553B9"/>
    <w:rsid w:val="00060972"/>
    <w:rsid w:val="00061021"/>
    <w:rsid w:val="000624C1"/>
    <w:rsid w:val="00063811"/>
    <w:rsid w:val="000642E3"/>
    <w:rsid w:val="00066043"/>
    <w:rsid w:val="000827DD"/>
    <w:rsid w:val="000834EF"/>
    <w:rsid w:val="00084C82"/>
    <w:rsid w:val="000901AD"/>
    <w:rsid w:val="0009505C"/>
    <w:rsid w:val="000A21BB"/>
    <w:rsid w:val="000A699F"/>
    <w:rsid w:val="000B099C"/>
    <w:rsid w:val="000B639C"/>
    <w:rsid w:val="000C0D52"/>
    <w:rsid w:val="000C1379"/>
    <w:rsid w:val="000D2BBB"/>
    <w:rsid w:val="000F1661"/>
    <w:rsid w:val="00105E3F"/>
    <w:rsid w:val="00110BC8"/>
    <w:rsid w:val="00115C88"/>
    <w:rsid w:val="001203C6"/>
    <w:rsid w:val="00124673"/>
    <w:rsid w:val="00125B3B"/>
    <w:rsid w:val="00134356"/>
    <w:rsid w:val="00135877"/>
    <w:rsid w:val="001362DA"/>
    <w:rsid w:val="0013655D"/>
    <w:rsid w:val="00140787"/>
    <w:rsid w:val="00141A25"/>
    <w:rsid w:val="00144F5E"/>
    <w:rsid w:val="00145C2E"/>
    <w:rsid w:val="001621B4"/>
    <w:rsid w:val="001729A0"/>
    <w:rsid w:val="0017338A"/>
    <w:rsid w:val="00175BCB"/>
    <w:rsid w:val="0018182E"/>
    <w:rsid w:val="00183449"/>
    <w:rsid w:val="00187381"/>
    <w:rsid w:val="001873B4"/>
    <w:rsid w:val="00192C04"/>
    <w:rsid w:val="00192F12"/>
    <w:rsid w:val="00193E0E"/>
    <w:rsid w:val="00194FDD"/>
    <w:rsid w:val="00197FD3"/>
    <w:rsid w:val="001A5FC6"/>
    <w:rsid w:val="001B5F1B"/>
    <w:rsid w:val="001C1D84"/>
    <w:rsid w:val="001C4B03"/>
    <w:rsid w:val="001D0C07"/>
    <w:rsid w:val="001D47F7"/>
    <w:rsid w:val="001D4FE3"/>
    <w:rsid w:val="001E0510"/>
    <w:rsid w:val="001E2401"/>
    <w:rsid w:val="001E6828"/>
    <w:rsid w:val="001F008D"/>
    <w:rsid w:val="001F1A5E"/>
    <w:rsid w:val="001F26C1"/>
    <w:rsid w:val="001F3440"/>
    <w:rsid w:val="001F7CF4"/>
    <w:rsid w:val="00200903"/>
    <w:rsid w:val="00210585"/>
    <w:rsid w:val="00211973"/>
    <w:rsid w:val="00212395"/>
    <w:rsid w:val="0021389D"/>
    <w:rsid w:val="002164D0"/>
    <w:rsid w:val="0022081C"/>
    <w:rsid w:val="00220978"/>
    <w:rsid w:val="002251EB"/>
    <w:rsid w:val="00235B9E"/>
    <w:rsid w:val="002370B5"/>
    <w:rsid w:val="00243822"/>
    <w:rsid w:val="00255B01"/>
    <w:rsid w:val="00262F05"/>
    <w:rsid w:val="00270EAF"/>
    <w:rsid w:val="00271A48"/>
    <w:rsid w:val="00272CDA"/>
    <w:rsid w:val="002764BC"/>
    <w:rsid w:val="00281188"/>
    <w:rsid w:val="002812EF"/>
    <w:rsid w:val="00281C7B"/>
    <w:rsid w:val="00284EE8"/>
    <w:rsid w:val="00287361"/>
    <w:rsid w:val="00292F57"/>
    <w:rsid w:val="00296308"/>
    <w:rsid w:val="002A0B9B"/>
    <w:rsid w:val="002A1B4A"/>
    <w:rsid w:val="002A4B0F"/>
    <w:rsid w:val="002B3FA0"/>
    <w:rsid w:val="002B5D2D"/>
    <w:rsid w:val="002B63F4"/>
    <w:rsid w:val="002B7FF8"/>
    <w:rsid w:val="002C52E8"/>
    <w:rsid w:val="002D67B0"/>
    <w:rsid w:val="00307A81"/>
    <w:rsid w:val="00311A3A"/>
    <w:rsid w:val="00311EC2"/>
    <w:rsid w:val="00327ED3"/>
    <w:rsid w:val="0033778A"/>
    <w:rsid w:val="00352F12"/>
    <w:rsid w:val="003606AC"/>
    <w:rsid w:val="0036179E"/>
    <w:rsid w:val="00363441"/>
    <w:rsid w:val="0036367F"/>
    <w:rsid w:val="003652C0"/>
    <w:rsid w:val="0037122E"/>
    <w:rsid w:val="00372CB1"/>
    <w:rsid w:val="00372DF4"/>
    <w:rsid w:val="00381C6B"/>
    <w:rsid w:val="00386103"/>
    <w:rsid w:val="00390430"/>
    <w:rsid w:val="0039128C"/>
    <w:rsid w:val="00393A88"/>
    <w:rsid w:val="003944EE"/>
    <w:rsid w:val="003A1B4F"/>
    <w:rsid w:val="003A57B2"/>
    <w:rsid w:val="003A5BA2"/>
    <w:rsid w:val="003A5D5A"/>
    <w:rsid w:val="003B239A"/>
    <w:rsid w:val="003B4933"/>
    <w:rsid w:val="003B60CA"/>
    <w:rsid w:val="003C22A2"/>
    <w:rsid w:val="003D00B1"/>
    <w:rsid w:val="003D011E"/>
    <w:rsid w:val="003D31BA"/>
    <w:rsid w:val="003D367B"/>
    <w:rsid w:val="003E3CDD"/>
    <w:rsid w:val="003E4269"/>
    <w:rsid w:val="003E478D"/>
    <w:rsid w:val="003E7BBC"/>
    <w:rsid w:val="003F4948"/>
    <w:rsid w:val="00401FD8"/>
    <w:rsid w:val="004147C6"/>
    <w:rsid w:val="00417867"/>
    <w:rsid w:val="00423D70"/>
    <w:rsid w:val="00432FE2"/>
    <w:rsid w:val="0044469A"/>
    <w:rsid w:val="00450D87"/>
    <w:rsid w:val="00452795"/>
    <w:rsid w:val="004554F0"/>
    <w:rsid w:val="0045724A"/>
    <w:rsid w:val="004579CF"/>
    <w:rsid w:val="004600F1"/>
    <w:rsid w:val="0046309E"/>
    <w:rsid w:val="0046376A"/>
    <w:rsid w:val="00470462"/>
    <w:rsid w:val="00471B61"/>
    <w:rsid w:val="00477BEE"/>
    <w:rsid w:val="004820BE"/>
    <w:rsid w:val="00484224"/>
    <w:rsid w:val="00484CA6"/>
    <w:rsid w:val="004853B3"/>
    <w:rsid w:val="00485E6A"/>
    <w:rsid w:val="00494E6C"/>
    <w:rsid w:val="004A2D01"/>
    <w:rsid w:val="004A4BE7"/>
    <w:rsid w:val="004A77E5"/>
    <w:rsid w:val="004B373E"/>
    <w:rsid w:val="004B38C3"/>
    <w:rsid w:val="004B4965"/>
    <w:rsid w:val="004C035D"/>
    <w:rsid w:val="004C253E"/>
    <w:rsid w:val="004C7EFA"/>
    <w:rsid w:val="004D4F8A"/>
    <w:rsid w:val="004E6DBB"/>
    <w:rsid w:val="004F25F8"/>
    <w:rsid w:val="004F30AD"/>
    <w:rsid w:val="004F4154"/>
    <w:rsid w:val="004F617E"/>
    <w:rsid w:val="004F7731"/>
    <w:rsid w:val="005064DE"/>
    <w:rsid w:val="0051427E"/>
    <w:rsid w:val="005170D1"/>
    <w:rsid w:val="00521D6D"/>
    <w:rsid w:val="00522BD2"/>
    <w:rsid w:val="00536B60"/>
    <w:rsid w:val="005457D0"/>
    <w:rsid w:val="0055410E"/>
    <w:rsid w:val="00566A3F"/>
    <w:rsid w:val="005753DD"/>
    <w:rsid w:val="00575BE1"/>
    <w:rsid w:val="00575D2A"/>
    <w:rsid w:val="00580520"/>
    <w:rsid w:val="005974CD"/>
    <w:rsid w:val="005A03D1"/>
    <w:rsid w:val="005A78BE"/>
    <w:rsid w:val="005B3628"/>
    <w:rsid w:val="005D014F"/>
    <w:rsid w:val="005D7324"/>
    <w:rsid w:val="005E06BC"/>
    <w:rsid w:val="005E49F0"/>
    <w:rsid w:val="005E70B2"/>
    <w:rsid w:val="005F376A"/>
    <w:rsid w:val="005F6685"/>
    <w:rsid w:val="00604C9E"/>
    <w:rsid w:val="0061066A"/>
    <w:rsid w:val="00611D5B"/>
    <w:rsid w:val="00612014"/>
    <w:rsid w:val="0062191F"/>
    <w:rsid w:val="006229F8"/>
    <w:rsid w:val="00622E48"/>
    <w:rsid w:val="00626808"/>
    <w:rsid w:val="0063213A"/>
    <w:rsid w:val="0064383B"/>
    <w:rsid w:val="00661CAD"/>
    <w:rsid w:val="00663C49"/>
    <w:rsid w:val="00664BEF"/>
    <w:rsid w:val="0067032E"/>
    <w:rsid w:val="00671FA0"/>
    <w:rsid w:val="006740F0"/>
    <w:rsid w:val="006760A7"/>
    <w:rsid w:val="00680F67"/>
    <w:rsid w:val="00682649"/>
    <w:rsid w:val="00682CD8"/>
    <w:rsid w:val="006862A2"/>
    <w:rsid w:val="00694BD2"/>
    <w:rsid w:val="006A0331"/>
    <w:rsid w:val="006A2A46"/>
    <w:rsid w:val="006A34F8"/>
    <w:rsid w:val="006A42BF"/>
    <w:rsid w:val="006B6FD2"/>
    <w:rsid w:val="006C459A"/>
    <w:rsid w:val="006C46E2"/>
    <w:rsid w:val="006C4B74"/>
    <w:rsid w:val="006C7E15"/>
    <w:rsid w:val="006D17A7"/>
    <w:rsid w:val="006D1A93"/>
    <w:rsid w:val="006D395E"/>
    <w:rsid w:val="006E696D"/>
    <w:rsid w:val="006F2A1F"/>
    <w:rsid w:val="00703412"/>
    <w:rsid w:val="007127BB"/>
    <w:rsid w:val="00714A98"/>
    <w:rsid w:val="00725AE7"/>
    <w:rsid w:val="00730571"/>
    <w:rsid w:val="00736715"/>
    <w:rsid w:val="00736E17"/>
    <w:rsid w:val="00736ED1"/>
    <w:rsid w:val="00745423"/>
    <w:rsid w:val="007461C4"/>
    <w:rsid w:val="007470F1"/>
    <w:rsid w:val="00750F80"/>
    <w:rsid w:val="0075417C"/>
    <w:rsid w:val="00755CD4"/>
    <w:rsid w:val="007628EF"/>
    <w:rsid w:val="00764CF2"/>
    <w:rsid w:val="007663A0"/>
    <w:rsid w:val="00766814"/>
    <w:rsid w:val="00767142"/>
    <w:rsid w:val="00771177"/>
    <w:rsid w:val="0077466B"/>
    <w:rsid w:val="007844B8"/>
    <w:rsid w:val="00794E08"/>
    <w:rsid w:val="007A41E5"/>
    <w:rsid w:val="007A533F"/>
    <w:rsid w:val="007A6001"/>
    <w:rsid w:val="007B75C9"/>
    <w:rsid w:val="007C217A"/>
    <w:rsid w:val="007C440E"/>
    <w:rsid w:val="007C5ABD"/>
    <w:rsid w:val="007C68DD"/>
    <w:rsid w:val="007D267D"/>
    <w:rsid w:val="007D44DF"/>
    <w:rsid w:val="007D551C"/>
    <w:rsid w:val="007D783C"/>
    <w:rsid w:val="007D7A75"/>
    <w:rsid w:val="007E11D0"/>
    <w:rsid w:val="007E2DDF"/>
    <w:rsid w:val="007F1063"/>
    <w:rsid w:val="0080050F"/>
    <w:rsid w:val="0080136F"/>
    <w:rsid w:val="00801AEB"/>
    <w:rsid w:val="00811E99"/>
    <w:rsid w:val="008138BC"/>
    <w:rsid w:val="00820A9B"/>
    <w:rsid w:val="00823832"/>
    <w:rsid w:val="00823937"/>
    <w:rsid w:val="00824228"/>
    <w:rsid w:val="00826AF3"/>
    <w:rsid w:val="0083142A"/>
    <w:rsid w:val="00832640"/>
    <w:rsid w:val="008329A6"/>
    <w:rsid w:val="00833A39"/>
    <w:rsid w:val="008360C9"/>
    <w:rsid w:val="00841383"/>
    <w:rsid w:val="00855C14"/>
    <w:rsid w:val="008612B7"/>
    <w:rsid w:val="00862F0E"/>
    <w:rsid w:val="008645F7"/>
    <w:rsid w:val="00870FFE"/>
    <w:rsid w:val="0087303B"/>
    <w:rsid w:val="008736A4"/>
    <w:rsid w:val="008757E7"/>
    <w:rsid w:val="00886E92"/>
    <w:rsid w:val="008904B2"/>
    <w:rsid w:val="00890C77"/>
    <w:rsid w:val="00894771"/>
    <w:rsid w:val="00897988"/>
    <w:rsid w:val="00897E78"/>
    <w:rsid w:val="008A3E96"/>
    <w:rsid w:val="008A61F7"/>
    <w:rsid w:val="008B1BB7"/>
    <w:rsid w:val="008C0EDA"/>
    <w:rsid w:val="008C37DB"/>
    <w:rsid w:val="008D0005"/>
    <w:rsid w:val="008D5ED9"/>
    <w:rsid w:val="008D66AC"/>
    <w:rsid w:val="008D6C74"/>
    <w:rsid w:val="008E14A0"/>
    <w:rsid w:val="008E1645"/>
    <w:rsid w:val="008F08EB"/>
    <w:rsid w:val="008F1FAE"/>
    <w:rsid w:val="008F30CB"/>
    <w:rsid w:val="008F4853"/>
    <w:rsid w:val="00900ABD"/>
    <w:rsid w:val="00905E1B"/>
    <w:rsid w:val="00907A18"/>
    <w:rsid w:val="00911303"/>
    <w:rsid w:val="009120F9"/>
    <w:rsid w:val="0091552F"/>
    <w:rsid w:val="009344E3"/>
    <w:rsid w:val="009349FA"/>
    <w:rsid w:val="0093517E"/>
    <w:rsid w:val="009405C0"/>
    <w:rsid w:val="00941D7D"/>
    <w:rsid w:val="00943E60"/>
    <w:rsid w:val="00947D3E"/>
    <w:rsid w:val="0095079B"/>
    <w:rsid w:val="00951B32"/>
    <w:rsid w:val="009544E6"/>
    <w:rsid w:val="0095474A"/>
    <w:rsid w:val="009615B9"/>
    <w:rsid w:val="00966DDD"/>
    <w:rsid w:val="009674F0"/>
    <w:rsid w:val="0097023F"/>
    <w:rsid w:val="0097124C"/>
    <w:rsid w:val="009773EE"/>
    <w:rsid w:val="00980DAE"/>
    <w:rsid w:val="0098187F"/>
    <w:rsid w:val="00982263"/>
    <w:rsid w:val="00987585"/>
    <w:rsid w:val="00992F14"/>
    <w:rsid w:val="00995970"/>
    <w:rsid w:val="009A07DF"/>
    <w:rsid w:val="009A3B35"/>
    <w:rsid w:val="009B3F2E"/>
    <w:rsid w:val="009B4DD6"/>
    <w:rsid w:val="009B54E3"/>
    <w:rsid w:val="009C29BE"/>
    <w:rsid w:val="009C2E7C"/>
    <w:rsid w:val="009C7494"/>
    <w:rsid w:val="009C787F"/>
    <w:rsid w:val="009D2AC6"/>
    <w:rsid w:val="009D54D5"/>
    <w:rsid w:val="009E22D0"/>
    <w:rsid w:val="009F526B"/>
    <w:rsid w:val="00A05B83"/>
    <w:rsid w:val="00A06BD9"/>
    <w:rsid w:val="00A07AF8"/>
    <w:rsid w:val="00A10843"/>
    <w:rsid w:val="00A108D3"/>
    <w:rsid w:val="00A10FF5"/>
    <w:rsid w:val="00A11588"/>
    <w:rsid w:val="00A12A61"/>
    <w:rsid w:val="00A14154"/>
    <w:rsid w:val="00A14F4A"/>
    <w:rsid w:val="00A153D7"/>
    <w:rsid w:val="00A1590C"/>
    <w:rsid w:val="00A200D6"/>
    <w:rsid w:val="00A24D65"/>
    <w:rsid w:val="00A279DB"/>
    <w:rsid w:val="00A316B3"/>
    <w:rsid w:val="00A31A9A"/>
    <w:rsid w:val="00A3690F"/>
    <w:rsid w:val="00A37B03"/>
    <w:rsid w:val="00A4283D"/>
    <w:rsid w:val="00A50054"/>
    <w:rsid w:val="00A51559"/>
    <w:rsid w:val="00A54B91"/>
    <w:rsid w:val="00A6190E"/>
    <w:rsid w:val="00A64BE5"/>
    <w:rsid w:val="00A7695F"/>
    <w:rsid w:val="00A77945"/>
    <w:rsid w:val="00A948EE"/>
    <w:rsid w:val="00AC79E9"/>
    <w:rsid w:val="00AD41BE"/>
    <w:rsid w:val="00AD4358"/>
    <w:rsid w:val="00AD505C"/>
    <w:rsid w:val="00AD7990"/>
    <w:rsid w:val="00AE31E7"/>
    <w:rsid w:val="00AE77D8"/>
    <w:rsid w:val="00AF56C6"/>
    <w:rsid w:val="00AF7A89"/>
    <w:rsid w:val="00B05C1E"/>
    <w:rsid w:val="00B10674"/>
    <w:rsid w:val="00B11051"/>
    <w:rsid w:val="00B1228E"/>
    <w:rsid w:val="00B21951"/>
    <w:rsid w:val="00B21F42"/>
    <w:rsid w:val="00B25777"/>
    <w:rsid w:val="00B315EF"/>
    <w:rsid w:val="00B33592"/>
    <w:rsid w:val="00B355E3"/>
    <w:rsid w:val="00B40F80"/>
    <w:rsid w:val="00B42120"/>
    <w:rsid w:val="00B43855"/>
    <w:rsid w:val="00B46283"/>
    <w:rsid w:val="00B535C4"/>
    <w:rsid w:val="00B54624"/>
    <w:rsid w:val="00B54F0C"/>
    <w:rsid w:val="00B60178"/>
    <w:rsid w:val="00B63862"/>
    <w:rsid w:val="00B64114"/>
    <w:rsid w:val="00B64614"/>
    <w:rsid w:val="00B65BCF"/>
    <w:rsid w:val="00B7363A"/>
    <w:rsid w:val="00B752C3"/>
    <w:rsid w:val="00B80FCB"/>
    <w:rsid w:val="00B8586C"/>
    <w:rsid w:val="00BA3AF3"/>
    <w:rsid w:val="00BB2911"/>
    <w:rsid w:val="00BC1034"/>
    <w:rsid w:val="00BC2995"/>
    <w:rsid w:val="00BC386D"/>
    <w:rsid w:val="00BD4203"/>
    <w:rsid w:val="00BD4F6A"/>
    <w:rsid w:val="00BE4EEA"/>
    <w:rsid w:val="00BE59BB"/>
    <w:rsid w:val="00BF39F6"/>
    <w:rsid w:val="00BF4304"/>
    <w:rsid w:val="00BF4335"/>
    <w:rsid w:val="00BF78E1"/>
    <w:rsid w:val="00C01DB2"/>
    <w:rsid w:val="00C07369"/>
    <w:rsid w:val="00C10AF3"/>
    <w:rsid w:val="00C11FEE"/>
    <w:rsid w:val="00C155B2"/>
    <w:rsid w:val="00C23CAA"/>
    <w:rsid w:val="00C26A90"/>
    <w:rsid w:val="00C33243"/>
    <w:rsid w:val="00C4248F"/>
    <w:rsid w:val="00C42F80"/>
    <w:rsid w:val="00C43268"/>
    <w:rsid w:val="00C5109D"/>
    <w:rsid w:val="00C52875"/>
    <w:rsid w:val="00C52D33"/>
    <w:rsid w:val="00C532C2"/>
    <w:rsid w:val="00C535AD"/>
    <w:rsid w:val="00C56904"/>
    <w:rsid w:val="00C602D7"/>
    <w:rsid w:val="00C605CF"/>
    <w:rsid w:val="00C63A5B"/>
    <w:rsid w:val="00C718F6"/>
    <w:rsid w:val="00C77712"/>
    <w:rsid w:val="00C82065"/>
    <w:rsid w:val="00C96098"/>
    <w:rsid w:val="00CA18E6"/>
    <w:rsid w:val="00CA2B15"/>
    <w:rsid w:val="00CB6235"/>
    <w:rsid w:val="00CC0C44"/>
    <w:rsid w:val="00CD53D7"/>
    <w:rsid w:val="00CD6D6B"/>
    <w:rsid w:val="00CE0C5B"/>
    <w:rsid w:val="00CF10EF"/>
    <w:rsid w:val="00CF4FA4"/>
    <w:rsid w:val="00D02041"/>
    <w:rsid w:val="00D0244D"/>
    <w:rsid w:val="00D042DB"/>
    <w:rsid w:val="00D05494"/>
    <w:rsid w:val="00D06330"/>
    <w:rsid w:val="00D14523"/>
    <w:rsid w:val="00D16378"/>
    <w:rsid w:val="00D2189F"/>
    <w:rsid w:val="00D26623"/>
    <w:rsid w:val="00D27871"/>
    <w:rsid w:val="00D36CE9"/>
    <w:rsid w:val="00D36DE0"/>
    <w:rsid w:val="00D41F40"/>
    <w:rsid w:val="00D47B25"/>
    <w:rsid w:val="00D50683"/>
    <w:rsid w:val="00D50B4D"/>
    <w:rsid w:val="00D56BFA"/>
    <w:rsid w:val="00D62F00"/>
    <w:rsid w:val="00D642AC"/>
    <w:rsid w:val="00D67EF5"/>
    <w:rsid w:val="00D72911"/>
    <w:rsid w:val="00D72DD5"/>
    <w:rsid w:val="00D75804"/>
    <w:rsid w:val="00D767F6"/>
    <w:rsid w:val="00D76817"/>
    <w:rsid w:val="00D800F5"/>
    <w:rsid w:val="00D83003"/>
    <w:rsid w:val="00D9173F"/>
    <w:rsid w:val="00D92229"/>
    <w:rsid w:val="00D92343"/>
    <w:rsid w:val="00D9561D"/>
    <w:rsid w:val="00DA457C"/>
    <w:rsid w:val="00DA4BA4"/>
    <w:rsid w:val="00DA6744"/>
    <w:rsid w:val="00DA7F5F"/>
    <w:rsid w:val="00DB0AEA"/>
    <w:rsid w:val="00DB1CC6"/>
    <w:rsid w:val="00DB6C45"/>
    <w:rsid w:val="00DC223F"/>
    <w:rsid w:val="00DC3FEE"/>
    <w:rsid w:val="00DC7C3E"/>
    <w:rsid w:val="00DD0E06"/>
    <w:rsid w:val="00DE419B"/>
    <w:rsid w:val="00DF28BE"/>
    <w:rsid w:val="00DF330B"/>
    <w:rsid w:val="00DF5E63"/>
    <w:rsid w:val="00E031DE"/>
    <w:rsid w:val="00E04726"/>
    <w:rsid w:val="00E05761"/>
    <w:rsid w:val="00E077FB"/>
    <w:rsid w:val="00E135CA"/>
    <w:rsid w:val="00E14EFE"/>
    <w:rsid w:val="00E170F1"/>
    <w:rsid w:val="00E17375"/>
    <w:rsid w:val="00E17C1A"/>
    <w:rsid w:val="00E2412D"/>
    <w:rsid w:val="00E258DF"/>
    <w:rsid w:val="00E336AB"/>
    <w:rsid w:val="00E351BC"/>
    <w:rsid w:val="00E37281"/>
    <w:rsid w:val="00E4055A"/>
    <w:rsid w:val="00E44F44"/>
    <w:rsid w:val="00E52BF7"/>
    <w:rsid w:val="00E54759"/>
    <w:rsid w:val="00E6266B"/>
    <w:rsid w:val="00E62ADC"/>
    <w:rsid w:val="00E62DB7"/>
    <w:rsid w:val="00E646AD"/>
    <w:rsid w:val="00E648D3"/>
    <w:rsid w:val="00E65CF8"/>
    <w:rsid w:val="00E675AF"/>
    <w:rsid w:val="00E67FC4"/>
    <w:rsid w:val="00E717E5"/>
    <w:rsid w:val="00E73358"/>
    <w:rsid w:val="00E821C3"/>
    <w:rsid w:val="00E834DB"/>
    <w:rsid w:val="00E85183"/>
    <w:rsid w:val="00E977E0"/>
    <w:rsid w:val="00EA3623"/>
    <w:rsid w:val="00EA3B08"/>
    <w:rsid w:val="00EA4191"/>
    <w:rsid w:val="00EB0288"/>
    <w:rsid w:val="00EC6BF0"/>
    <w:rsid w:val="00EC73C9"/>
    <w:rsid w:val="00EC7ABF"/>
    <w:rsid w:val="00ED1939"/>
    <w:rsid w:val="00ED4804"/>
    <w:rsid w:val="00ED5263"/>
    <w:rsid w:val="00ED5B03"/>
    <w:rsid w:val="00ED7E3B"/>
    <w:rsid w:val="00EE1465"/>
    <w:rsid w:val="00EE1B59"/>
    <w:rsid w:val="00EE7BF4"/>
    <w:rsid w:val="00EF0C73"/>
    <w:rsid w:val="00EF1D46"/>
    <w:rsid w:val="00EF32AB"/>
    <w:rsid w:val="00EF6C29"/>
    <w:rsid w:val="00F0119C"/>
    <w:rsid w:val="00F030F8"/>
    <w:rsid w:val="00F04869"/>
    <w:rsid w:val="00F05EA2"/>
    <w:rsid w:val="00F161B9"/>
    <w:rsid w:val="00F1774D"/>
    <w:rsid w:val="00F2031A"/>
    <w:rsid w:val="00F215FD"/>
    <w:rsid w:val="00F24587"/>
    <w:rsid w:val="00F256FD"/>
    <w:rsid w:val="00F33BCD"/>
    <w:rsid w:val="00F35C94"/>
    <w:rsid w:val="00F37626"/>
    <w:rsid w:val="00F40994"/>
    <w:rsid w:val="00F417B1"/>
    <w:rsid w:val="00F46C5A"/>
    <w:rsid w:val="00F676BA"/>
    <w:rsid w:val="00F67977"/>
    <w:rsid w:val="00F708B5"/>
    <w:rsid w:val="00F70BAC"/>
    <w:rsid w:val="00F72CFE"/>
    <w:rsid w:val="00F73E42"/>
    <w:rsid w:val="00F74E08"/>
    <w:rsid w:val="00F77DE9"/>
    <w:rsid w:val="00F907BF"/>
    <w:rsid w:val="00F94907"/>
    <w:rsid w:val="00F9570A"/>
    <w:rsid w:val="00F96226"/>
    <w:rsid w:val="00FB7CF4"/>
    <w:rsid w:val="00FC68A4"/>
    <w:rsid w:val="00FD4553"/>
    <w:rsid w:val="00FE0839"/>
    <w:rsid w:val="00FE3B0B"/>
    <w:rsid w:val="00FE5610"/>
    <w:rsid w:val="00FF2296"/>
    <w:rsid w:val="00FF2B7B"/>
    <w:rsid w:val="00FF30B0"/>
    <w:rsid w:val="00FF3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FB433"/>
  <w15:chartTrackingRefBased/>
  <w15:docId w15:val="{D5C4BCEF-A150-4F27-91B8-C550705BF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C6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760A7"/>
    <w:pPr>
      <w:spacing w:line="480" w:lineRule="auto"/>
      <w:jc w:val="center"/>
      <w:outlineLvl w:val="0"/>
    </w:pPr>
  </w:style>
  <w:style w:type="paragraph" w:styleId="Heading2">
    <w:name w:val="heading 2"/>
    <w:basedOn w:val="Normal"/>
    <w:next w:val="Normal"/>
    <w:link w:val="Heading2Char"/>
    <w:uiPriority w:val="9"/>
    <w:unhideWhenUsed/>
    <w:qFormat/>
    <w:rsid w:val="006760A7"/>
    <w:pPr>
      <w:spacing w:line="480" w:lineRule="auto"/>
      <w:jc w:val="both"/>
      <w:outlineLvl w:val="1"/>
    </w:pPr>
  </w:style>
  <w:style w:type="paragraph" w:styleId="Heading3">
    <w:name w:val="heading 3"/>
    <w:basedOn w:val="Normal"/>
    <w:next w:val="Normal"/>
    <w:link w:val="Heading3Char"/>
    <w:uiPriority w:val="9"/>
    <w:unhideWhenUsed/>
    <w:qFormat/>
    <w:rsid w:val="006760A7"/>
    <w:pPr>
      <w:spacing w:line="480" w:lineRule="auto"/>
      <w:outlineLvl w:val="2"/>
    </w:pPr>
    <w:rPr>
      <w:i/>
      <w:iCs/>
    </w:rPr>
  </w:style>
  <w:style w:type="paragraph" w:styleId="Heading4">
    <w:name w:val="heading 4"/>
    <w:basedOn w:val="Normal"/>
    <w:next w:val="Normal"/>
    <w:link w:val="Heading4Char"/>
    <w:uiPriority w:val="9"/>
    <w:unhideWhenUsed/>
    <w:qFormat/>
    <w:rsid w:val="006760A7"/>
    <w:pPr>
      <w:spacing w:line="480" w:lineRule="auto"/>
      <w:ind w:left="720"/>
      <w:outlineLvl w:val="3"/>
    </w:pPr>
  </w:style>
  <w:style w:type="paragraph" w:styleId="Heading5">
    <w:name w:val="heading 5"/>
    <w:basedOn w:val="Normal"/>
    <w:next w:val="Normal"/>
    <w:link w:val="Heading5Char"/>
    <w:uiPriority w:val="9"/>
    <w:semiHidden/>
    <w:unhideWhenUsed/>
    <w:qFormat/>
    <w:rsid w:val="00A14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1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1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1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1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0A7"/>
    <w:rPr>
      <w:rFonts w:ascii="Times New Roman" w:eastAsia="Times New Roman" w:hAnsi="Times New Roman" w:cs="Times New Roman"/>
      <w:kern w:val="0"/>
      <w14:ligatures w14:val="none"/>
    </w:rPr>
  </w:style>
  <w:style w:type="character" w:customStyle="1" w:styleId="Heading2Char">
    <w:name w:val="Heading 2 Char"/>
    <w:basedOn w:val="DefaultParagraphFont"/>
    <w:link w:val="Heading2"/>
    <w:uiPriority w:val="9"/>
    <w:rsid w:val="006760A7"/>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6760A7"/>
    <w:rPr>
      <w:rFonts w:ascii="Times New Roman" w:eastAsia="Times New Roman" w:hAnsi="Times New Roman" w:cs="Times New Roman"/>
      <w:i/>
      <w:iCs/>
      <w:kern w:val="0"/>
      <w14:ligatures w14:val="none"/>
    </w:rPr>
  </w:style>
  <w:style w:type="character" w:customStyle="1" w:styleId="Heading4Char">
    <w:name w:val="Heading 4 Char"/>
    <w:basedOn w:val="DefaultParagraphFont"/>
    <w:link w:val="Heading4"/>
    <w:uiPriority w:val="9"/>
    <w:rsid w:val="006760A7"/>
    <w:rPr>
      <w:rFonts w:ascii="Times New Roman" w:eastAsia="Times New Roman" w:hAnsi="Times New Roman" w:cs="Times New Roman"/>
      <w:kern w:val="0"/>
      <w14:ligatures w14:val="none"/>
    </w:rPr>
  </w:style>
  <w:style w:type="character" w:customStyle="1" w:styleId="Heading5Char">
    <w:name w:val="Heading 5 Char"/>
    <w:basedOn w:val="DefaultParagraphFont"/>
    <w:link w:val="Heading5"/>
    <w:uiPriority w:val="9"/>
    <w:semiHidden/>
    <w:rsid w:val="00A14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154"/>
    <w:rPr>
      <w:rFonts w:eastAsiaTheme="majorEastAsia" w:cstheme="majorBidi"/>
      <w:color w:val="272727" w:themeColor="text1" w:themeTint="D8"/>
    </w:rPr>
  </w:style>
  <w:style w:type="paragraph" w:styleId="Title">
    <w:name w:val="Title"/>
    <w:basedOn w:val="Normal"/>
    <w:next w:val="Normal"/>
    <w:link w:val="TitleChar"/>
    <w:uiPriority w:val="10"/>
    <w:qFormat/>
    <w:rsid w:val="00A141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154"/>
    <w:pPr>
      <w:spacing w:before="160"/>
      <w:jc w:val="center"/>
    </w:pPr>
    <w:rPr>
      <w:i/>
      <w:iCs/>
      <w:color w:val="404040" w:themeColor="text1" w:themeTint="BF"/>
    </w:rPr>
  </w:style>
  <w:style w:type="character" w:customStyle="1" w:styleId="QuoteChar">
    <w:name w:val="Quote Char"/>
    <w:basedOn w:val="DefaultParagraphFont"/>
    <w:link w:val="Quote"/>
    <w:uiPriority w:val="29"/>
    <w:rsid w:val="00A14154"/>
    <w:rPr>
      <w:i/>
      <w:iCs/>
      <w:color w:val="404040" w:themeColor="text1" w:themeTint="BF"/>
    </w:rPr>
  </w:style>
  <w:style w:type="paragraph" w:styleId="ListParagraph">
    <w:name w:val="List Paragraph"/>
    <w:basedOn w:val="Normal"/>
    <w:uiPriority w:val="34"/>
    <w:qFormat/>
    <w:rsid w:val="00A14154"/>
    <w:pPr>
      <w:ind w:left="720"/>
      <w:contextualSpacing/>
    </w:pPr>
  </w:style>
  <w:style w:type="character" w:styleId="IntenseEmphasis">
    <w:name w:val="Intense Emphasis"/>
    <w:basedOn w:val="DefaultParagraphFont"/>
    <w:uiPriority w:val="21"/>
    <w:qFormat/>
    <w:rsid w:val="00A14154"/>
    <w:rPr>
      <w:i/>
      <w:iCs/>
      <w:color w:val="0F4761" w:themeColor="accent1" w:themeShade="BF"/>
    </w:rPr>
  </w:style>
  <w:style w:type="paragraph" w:styleId="IntenseQuote">
    <w:name w:val="Intense Quote"/>
    <w:basedOn w:val="Normal"/>
    <w:next w:val="Normal"/>
    <w:link w:val="IntenseQuoteChar"/>
    <w:uiPriority w:val="30"/>
    <w:qFormat/>
    <w:rsid w:val="00A14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154"/>
    <w:rPr>
      <w:i/>
      <w:iCs/>
      <w:color w:val="0F4761" w:themeColor="accent1" w:themeShade="BF"/>
    </w:rPr>
  </w:style>
  <w:style w:type="character" w:styleId="IntenseReference">
    <w:name w:val="Intense Reference"/>
    <w:basedOn w:val="DefaultParagraphFont"/>
    <w:uiPriority w:val="32"/>
    <w:qFormat/>
    <w:rsid w:val="00A14154"/>
    <w:rPr>
      <w:b/>
      <w:bCs/>
      <w:smallCaps/>
      <w:color w:val="0F4761" w:themeColor="accent1" w:themeShade="BF"/>
      <w:spacing w:val="5"/>
    </w:rPr>
  </w:style>
  <w:style w:type="character" w:styleId="Hyperlink">
    <w:name w:val="Hyperlink"/>
    <w:basedOn w:val="DefaultParagraphFont"/>
    <w:uiPriority w:val="99"/>
    <w:unhideWhenUsed/>
    <w:rsid w:val="00A14154"/>
    <w:rPr>
      <w:color w:val="467886" w:themeColor="hyperlink"/>
      <w:u w:val="single"/>
    </w:rPr>
  </w:style>
  <w:style w:type="character" w:styleId="CommentReference">
    <w:name w:val="annotation reference"/>
    <w:basedOn w:val="DefaultParagraphFont"/>
    <w:uiPriority w:val="99"/>
    <w:semiHidden/>
    <w:unhideWhenUsed/>
    <w:rsid w:val="00A14154"/>
    <w:rPr>
      <w:sz w:val="16"/>
      <w:szCs w:val="16"/>
    </w:rPr>
  </w:style>
  <w:style w:type="paragraph" w:styleId="CommentText">
    <w:name w:val="annotation text"/>
    <w:basedOn w:val="Normal"/>
    <w:link w:val="CommentTextChar"/>
    <w:uiPriority w:val="99"/>
    <w:unhideWhenUsed/>
    <w:rsid w:val="00A14154"/>
    <w:rPr>
      <w:sz w:val="20"/>
      <w:szCs w:val="20"/>
    </w:rPr>
  </w:style>
  <w:style w:type="character" w:customStyle="1" w:styleId="CommentTextChar">
    <w:name w:val="Comment Text Char"/>
    <w:basedOn w:val="DefaultParagraphFont"/>
    <w:link w:val="CommentText"/>
    <w:uiPriority w:val="99"/>
    <w:rsid w:val="00A14154"/>
    <w:rPr>
      <w:rFonts w:ascii="Times New Roman" w:eastAsia="Times New Roman" w:hAnsi="Times New Roman" w:cs="Times New Roman"/>
      <w:kern w:val="0"/>
      <w:sz w:val="20"/>
      <w:szCs w:val="20"/>
      <w14:ligatures w14:val="none"/>
    </w:rPr>
  </w:style>
  <w:style w:type="paragraph" w:styleId="NormalWeb">
    <w:name w:val="Normal (Web)"/>
    <w:basedOn w:val="Normal"/>
    <w:uiPriority w:val="99"/>
    <w:unhideWhenUsed/>
    <w:rsid w:val="00A14154"/>
    <w:pPr>
      <w:spacing w:before="100" w:beforeAutospacing="1" w:after="100" w:afterAutospacing="1"/>
    </w:pPr>
  </w:style>
  <w:style w:type="character" w:styleId="UnresolvedMention">
    <w:name w:val="Unresolved Mention"/>
    <w:basedOn w:val="DefaultParagraphFont"/>
    <w:uiPriority w:val="99"/>
    <w:semiHidden/>
    <w:unhideWhenUsed/>
    <w:rsid w:val="00F2031A"/>
    <w:rPr>
      <w:color w:val="605E5C"/>
      <w:shd w:val="clear" w:color="auto" w:fill="E1DFDD"/>
    </w:rPr>
  </w:style>
  <w:style w:type="table" w:styleId="TableGrid">
    <w:name w:val="Table Grid"/>
    <w:basedOn w:val="TableNormal"/>
    <w:uiPriority w:val="59"/>
    <w:rsid w:val="005A78BE"/>
    <w:pPr>
      <w:spacing w:after="0" w:line="240" w:lineRule="auto"/>
    </w:pPr>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5A78BE"/>
    <w:pPr>
      <w:spacing w:after="200"/>
    </w:pPr>
    <w:rPr>
      <w:rFonts w:asciiTheme="minorHAnsi" w:eastAsiaTheme="minorHAnsi" w:hAnsiTheme="minorHAnsi" w:cstheme="minorBidi"/>
      <w:i/>
      <w:iCs/>
      <w:color w:val="0E2841" w:themeColor="text2"/>
      <w:kern w:val="2"/>
      <w:sz w:val="18"/>
      <w:szCs w:val="18"/>
      <w14:ligatures w14:val="standardContextual"/>
    </w:rPr>
  </w:style>
  <w:style w:type="character" w:styleId="Strong">
    <w:name w:val="Strong"/>
    <w:basedOn w:val="DefaultParagraphFont"/>
    <w:uiPriority w:val="22"/>
    <w:qFormat/>
    <w:rsid w:val="005A78BE"/>
    <w:rPr>
      <w:b/>
      <w:bCs/>
    </w:rPr>
  </w:style>
  <w:style w:type="paragraph" w:styleId="CommentSubject">
    <w:name w:val="annotation subject"/>
    <w:basedOn w:val="CommentText"/>
    <w:next w:val="CommentText"/>
    <w:link w:val="CommentSubjectChar"/>
    <w:uiPriority w:val="99"/>
    <w:semiHidden/>
    <w:unhideWhenUsed/>
    <w:rsid w:val="000479D8"/>
    <w:rPr>
      <w:b/>
      <w:bCs/>
    </w:rPr>
  </w:style>
  <w:style w:type="character" w:customStyle="1" w:styleId="CommentSubjectChar">
    <w:name w:val="Comment Subject Char"/>
    <w:basedOn w:val="CommentTextChar"/>
    <w:link w:val="CommentSubject"/>
    <w:uiPriority w:val="99"/>
    <w:semiHidden/>
    <w:rsid w:val="000479D8"/>
    <w:rPr>
      <w:rFonts w:ascii="Times New Roman" w:eastAsia="Times New Roman" w:hAnsi="Times New Roman" w:cs="Times New Roman"/>
      <w:b/>
      <w:bCs/>
      <w:kern w:val="0"/>
      <w:sz w:val="20"/>
      <w:szCs w:val="20"/>
      <w14:ligatures w14:val="none"/>
    </w:rPr>
  </w:style>
  <w:style w:type="paragraph" w:styleId="TOCHeading">
    <w:name w:val="TOC Heading"/>
    <w:basedOn w:val="Heading1"/>
    <w:next w:val="Normal"/>
    <w:uiPriority w:val="39"/>
    <w:unhideWhenUsed/>
    <w:qFormat/>
    <w:rsid w:val="009349FA"/>
    <w:pPr>
      <w:keepNext/>
      <w:keepLines/>
      <w:spacing w:before="240" w:line="259" w:lineRule="auto"/>
      <w:jc w:val="left"/>
      <w:outlineLvl w:val="9"/>
    </w:pPr>
    <w:rPr>
      <w:rFonts w:asciiTheme="majorHAnsi" w:eastAsiaTheme="majorEastAsia" w:hAnsiTheme="majorHAnsi" w:cstheme="majorBidi"/>
      <w:b/>
      <w:bCs/>
      <w:color w:val="0F4761" w:themeColor="accent1" w:themeShade="BF"/>
      <w:sz w:val="32"/>
      <w:szCs w:val="32"/>
    </w:rPr>
  </w:style>
  <w:style w:type="paragraph" w:styleId="TOC1">
    <w:name w:val="toc 1"/>
    <w:basedOn w:val="Normal"/>
    <w:next w:val="Normal"/>
    <w:autoRedefine/>
    <w:uiPriority w:val="39"/>
    <w:unhideWhenUsed/>
    <w:rsid w:val="00063811"/>
    <w:pPr>
      <w:numPr>
        <w:numId w:val="16"/>
      </w:numPr>
      <w:tabs>
        <w:tab w:val="right" w:leader="dot" w:pos="9350"/>
      </w:tabs>
      <w:ind w:left="1080" w:hanging="540"/>
      <w:jc w:val="center"/>
    </w:pPr>
    <w:rPr>
      <w:bCs/>
      <w:szCs w:val="20"/>
    </w:rPr>
  </w:style>
  <w:style w:type="paragraph" w:styleId="TOC2">
    <w:name w:val="toc 2"/>
    <w:basedOn w:val="Normal"/>
    <w:next w:val="Normal"/>
    <w:autoRedefine/>
    <w:uiPriority w:val="39"/>
    <w:unhideWhenUsed/>
    <w:rsid w:val="00FC68A4"/>
    <w:pPr>
      <w:tabs>
        <w:tab w:val="right" w:leader="dot" w:pos="9350"/>
      </w:tabs>
      <w:ind w:left="1440"/>
    </w:pPr>
    <w:rPr>
      <w:szCs w:val="20"/>
    </w:rPr>
  </w:style>
  <w:style w:type="paragraph" w:styleId="TOC3">
    <w:name w:val="toc 3"/>
    <w:basedOn w:val="Normal"/>
    <w:next w:val="Normal"/>
    <w:autoRedefine/>
    <w:uiPriority w:val="39"/>
    <w:unhideWhenUsed/>
    <w:rsid w:val="00730571"/>
    <w:pPr>
      <w:ind w:left="864"/>
    </w:pPr>
    <w:rPr>
      <w:rFonts w:asciiTheme="minorHAnsi" w:hAnsiTheme="minorHAnsi"/>
      <w:i/>
      <w:iCs/>
      <w:sz w:val="20"/>
      <w:szCs w:val="20"/>
    </w:rPr>
  </w:style>
  <w:style w:type="paragraph" w:styleId="NoSpacing">
    <w:name w:val="No Spacing"/>
    <w:uiPriority w:val="1"/>
    <w:qFormat/>
    <w:rsid w:val="009349FA"/>
    <w:pPr>
      <w:spacing w:after="0"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134356"/>
    <w:rPr>
      <w:color w:val="666666"/>
    </w:rPr>
  </w:style>
  <w:style w:type="table" w:styleId="PlainTable5">
    <w:name w:val="Plain Table 5"/>
    <w:basedOn w:val="TableNormal"/>
    <w:uiPriority w:val="45"/>
    <w:rsid w:val="000A699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B63862"/>
    <w:pPr>
      <w:tabs>
        <w:tab w:val="center" w:pos="4680"/>
        <w:tab w:val="right" w:pos="9360"/>
      </w:tabs>
    </w:pPr>
  </w:style>
  <w:style w:type="character" w:customStyle="1" w:styleId="HeaderChar">
    <w:name w:val="Header Char"/>
    <w:basedOn w:val="DefaultParagraphFont"/>
    <w:link w:val="Header"/>
    <w:uiPriority w:val="99"/>
    <w:rsid w:val="00B6386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63862"/>
    <w:pPr>
      <w:tabs>
        <w:tab w:val="center" w:pos="4680"/>
        <w:tab w:val="right" w:pos="9360"/>
      </w:tabs>
    </w:pPr>
  </w:style>
  <w:style w:type="character" w:customStyle="1" w:styleId="FooterChar">
    <w:name w:val="Footer Char"/>
    <w:basedOn w:val="DefaultParagraphFont"/>
    <w:link w:val="Footer"/>
    <w:uiPriority w:val="99"/>
    <w:rsid w:val="00B63862"/>
    <w:rPr>
      <w:rFonts w:ascii="Times New Roman" w:eastAsia="Times New Roman" w:hAnsi="Times New Roman" w:cs="Times New Roman"/>
      <w:kern w:val="0"/>
      <w14:ligatures w14:val="none"/>
    </w:rPr>
  </w:style>
  <w:style w:type="table" w:styleId="PlainTable2">
    <w:name w:val="Plain Table 2"/>
    <w:basedOn w:val="TableNormal"/>
    <w:uiPriority w:val="42"/>
    <w:rsid w:val="003606AC"/>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shd w:val="clear" w:color="auto" w:fill="D1D1D1" w:themeFill="background2" w:themeFillShade="E6"/>
      </w:tcPr>
    </w:tblStylePr>
    <w:tblStylePr w:type="band2Horz">
      <w:tblPr/>
      <w:tcPr>
        <w:shd w:val="clear" w:color="auto" w:fill="FFFFFF" w:themeFill="background1"/>
      </w:tcPr>
    </w:tblStylePr>
  </w:style>
  <w:style w:type="table" w:styleId="PlainTable3">
    <w:name w:val="Plain Table 3"/>
    <w:basedOn w:val="TableNormal"/>
    <w:uiPriority w:val="43"/>
    <w:rsid w:val="00BA3A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024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A45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4B373E"/>
    <w:pPr>
      <w:spacing w:line="480" w:lineRule="auto"/>
      <w:ind w:left="720" w:hanging="720"/>
    </w:pPr>
  </w:style>
  <w:style w:type="paragraph" w:styleId="TOC4">
    <w:name w:val="toc 4"/>
    <w:basedOn w:val="Normal"/>
    <w:next w:val="Normal"/>
    <w:autoRedefine/>
    <w:uiPriority w:val="39"/>
    <w:unhideWhenUsed/>
    <w:rsid w:val="00183449"/>
    <w:pPr>
      <w:ind w:left="720"/>
    </w:pPr>
    <w:rPr>
      <w:rFonts w:asciiTheme="minorHAnsi" w:hAnsiTheme="minorHAnsi"/>
      <w:sz w:val="18"/>
      <w:szCs w:val="18"/>
    </w:rPr>
  </w:style>
  <w:style w:type="paragraph" w:styleId="TOC5">
    <w:name w:val="toc 5"/>
    <w:basedOn w:val="Normal"/>
    <w:next w:val="Normal"/>
    <w:autoRedefine/>
    <w:uiPriority w:val="39"/>
    <w:unhideWhenUsed/>
    <w:rsid w:val="00183449"/>
    <w:pPr>
      <w:ind w:left="960"/>
    </w:pPr>
    <w:rPr>
      <w:rFonts w:asciiTheme="minorHAnsi" w:hAnsiTheme="minorHAnsi"/>
      <w:sz w:val="18"/>
      <w:szCs w:val="18"/>
    </w:rPr>
  </w:style>
  <w:style w:type="paragraph" w:styleId="TOC6">
    <w:name w:val="toc 6"/>
    <w:basedOn w:val="Normal"/>
    <w:next w:val="Normal"/>
    <w:autoRedefine/>
    <w:uiPriority w:val="39"/>
    <w:unhideWhenUsed/>
    <w:rsid w:val="00183449"/>
    <w:pPr>
      <w:ind w:left="1200"/>
    </w:pPr>
    <w:rPr>
      <w:rFonts w:asciiTheme="minorHAnsi" w:hAnsiTheme="minorHAnsi"/>
      <w:sz w:val="18"/>
      <w:szCs w:val="18"/>
    </w:rPr>
  </w:style>
  <w:style w:type="paragraph" w:styleId="TOC7">
    <w:name w:val="toc 7"/>
    <w:basedOn w:val="Normal"/>
    <w:next w:val="Normal"/>
    <w:autoRedefine/>
    <w:uiPriority w:val="39"/>
    <w:unhideWhenUsed/>
    <w:rsid w:val="00183449"/>
    <w:pPr>
      <w:ind w:left="1440"/>
    </w:pPr>
    <w:rPr>
      <w:rFonts w:asciiTheme="minorHAnsi" w:hAnsiTheme="minorHAnsi"/>
      <w:sz w:val="18"/>
      <w:szCs w:val="18"/>
    </w:rPr>
  </w:style>
  <w:style w:type="paragraph" w:styleId="TOC8">
    <w:name w:val="toc 8"/>
    <w:basedOn w:val="Normal"/>
    <w:next w:val="Normal"/>
    <w:autoRedefine/>
    <w:uiPriority w:val="39"/>
    <w:unhideWhenUsed/>
    <w:rsid w:val="00183449"/>
    <w:pPr>
      <w:ind w:left="1680"/>
    </w:pPr>
    <w:rPr>
      <w:rFonts w:asciiTheme="minorHAnsi" w:hAnsiTheme="minorHAnsi"/>
      <w:sz w:val="18"/>
      <w:szCs w:val="18"/>
    </w:rPr>
  </w:style>
  <w:style w:type="paragraph" w:styleId="TOC9">
    <w:name w:val="toc 9"/>
    <w:basedOn w:val="Normal"/>
    <w:next w:val="Normal"/>
    <w:autoRedefine/>
    <w:uiPriority w:val="39"/>
    <w:unhideWhenUsed/>
    <w:rsid w:val="00183449"/>
    <w:pPr>
      <w:ind w:left="1920"/>
    </w:pPr>
    <w:rPr>
      <w:rFonts w:asciiTheme="minorHAnsi" w:hAnsiTheme="minorHAnsi"/>
      <w:sz w:val="18"/>
      <w:szCs w:val="18"/>
    </w:rPr>
  </w:style>
  <w:style w:type="paragraph" w:styleId="TableofFigures">
    <w:name w:val="table of figures"/>
    <w:basedOn w:val="Normal"/>
    <w:next w:val="Normal"/>
    <w:uiPriority w:val="99"/>
    <w:unhideWhenUsed/>
    <w:rsid w:val="0083142A"/>
    <w:pPr>
      <w:numPr>
        <w:numId w:val="17"/>
      </w:numPr>
    </w:pPr>
    <w:rPr>
      <w:szCs w:val="20"/>
    </w:rPr>
  </w:style>
  <w:style w:type="paragraph" w:styleId="Revision">
    <w:name w:val="Revision"/>
    <w:hidden/>
    <w:uiPriority w:val="99"/>
    <w:semiHidden/>
    <w:rsid w:val="006760A7"/>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5595">
      <w:bodyDiv w:val="1"/>
      <w:marLeft w:val="0"/>
      <w:marRight w:val="0"/>
      <w:marTop w:val="0"/>
      <w:marBottom w:val="0"/>
      <w:divBdr>
        <w:top w:val="none" w:sz="0" w:space="0" w:color="auto"/>
        <w:left w:val="none" w:sz="0" w:space="0" w:color="auto"/>
        <w:bottom w:val="none" w:sz="0" w:space="0" w:color="auto"/>
        <w:right w:val="none" w:sz="0" w:space="0" w:color="auto"/>
      </w:divBdr>
    </w:div>
    <w:div w:id="13000724">
      <w:bodyDiv w:val="1"/>
      <w:marLeft w:val="0"/>
      <w:marRight w:val="0"/>
      <w:marTop w:val="0"/>
      <w:marBottom w:val="0"/>
      <w:divBdr>
        <w:top w:val="none" w:sz="0" w:space="0" w:color="auto"/>
        <w:left w:val="none" w:sz="0" w:space="0" w:color="auto"/>
        <w:bottom w:val="none" w:sz="0" w:space="0" w:color="auto"/>
        <w:right w:val="none" w:sz="0" w:space="0" w:color="auto"/>
      </w:divBdr>
    </w:div>
    <w:div w:id="13776532">
      <w:bodyDiv w:val="1"/>
      <w:marLeft w:val="0"/>
      <w:marRight w:val="0"/>
      <w:marTop w:val="0"/>
      <w:marBottom w:val="0"/>
      <w:divBdr>
        <w:top w:val="none" w:sz="0" w:space="0" w:color="auto"/>
        <w:left w:val="none" w:sz="0" w:space="0" w:color="auto"/>
        <w:bottom w:val="none" w:sz="0" w:space="0" w:color="auto"/>
        <w:right w:val="none" w:sz="0" w:space="0" w:color="auto"/>
      </w:divBdr>
    </w:div>
    <w:div w:id="15735758">
      <w:bodyDiv w:val="1"/>
      <w:marLeft w:val="0"/>
      <w:marRight w:val="0"/>
      <w:marTop w:val="0"/>
      <w:marBottom w:val="0"/>
      <w:divBdr>
        <w:top w:val="none" w:sz="0" w:space="0" w:color="auto"/>
        <w:left w:val="none" w:sz="0" w:space="0" w:color="auto"/>
        <w:bottom w:val="none" w:sz="0" w:space="0" w:color="auto"/>
        <w:right w:val="none" w:sz="0" w:space="0" w:color="auto"/>
      </w:divBdr>
    </w:div>
    <w:div w:id="17851643">
      <w:bodyDiv w:val="1"/>
      <w:marLeft w:val="0"/>
      <w:marRight w:val="0"/>
      <w:marTop w:val="0"/>
      <w:marBottom w:val="0"/>
      <w:divBdr>
        <w:top w:val="none" w:sz="0" w:space="0" w:color="auto"/>
        <w:left w:val="none" w:sz="0" w:space="0" w:color="auto"/>
        <w:bottom w:val="none" w:sz="0" w:space="0" w:color="auto"/>
        <w:right w:val="none" w:sz="0" w:space="0" w:color="auto"/>
      </w:divBdr>
    </w:div>
    <w:div w:id="18360865">
      <w:bodyDiv w:val="1"/>
      <w:marLeft w:val="0"/>
      <w:marRight w:val="0"/>
      <w:marTop w:val="0"/>
      <w:marBottom w:val="0"/>
      <w:divBdr>
        <w:top w:val="none" w:sz="0" w:space="0" w:color="auto"/>
        <w:left w:val="none" w:sz="0" w:space="0" w:color="auto"/>
        <w:bottom w:val="none" w:sz="0" w:space="0" w:color="auto"/>
        <w:right w:val="none" w:sz="0" w:space="0" w:color="auto"/>
      </w:divBdr>
      <w:divsChild>
        <w:div w:id="1460951757">
          <w:marLeft w:val="480"/>
          <w:marRight w:val="0"/>
          <w:marTop w:val="0"/>
          <w:marBottom w:val="0"/>
          <w:divBdr>
            <w:top w:val="none" w:sz="0" w:space="0" w:color="auto"/>
            <w:left w:val="none" w:sz="0" w:space="0" w:color="auto"/>
            <w:bottom w:val="none" w:sz="0" w:space="0" w:color="auto"/>
            <w:right w:val="none" w:sz="0" w:space="0" w:color="auto"/>
          </w:divBdr>
          <w:divsChild>
            <w:div w:id="19913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2195">
      <w:bodyDiv w:val="1"/>
      <w:marLeft w:val="0"/>
      <w:marRight w:val="0"/>
      <w:marTop w:val="0"/>
      <w:marBottom w:val="0"/>
      <w:divBdr>
        <w:top w:val="none" w:sz="0" w:space="0" w:color="auto"/>
        <w:left w:val="none" w:sz="0" w:space="0" w:color="auto"/>
        <w:bottom w:val="none" w:sz="0" w:space="0" w:color="auto"/>
        <w:right w:val="none" w:sz="0" w:space="0" w:color="auto"/>
      </w:divBdr>
      <w:divsChild>
        <w:div w:id="1124807450">
          <w:marLeft w:val="0"/>
          <w:marRight w:val="0"/>
          <w:marTop w:val="0"/>
          <w:marBottom w:val="0"/>
          <w:divBdr>
            <w:top w:val="none" w:sz="0" w:space="0" w:color="auto"/>
            <w:left w:val="none" w:sz="0" w:space="0" w:color="auto"/>
            <w:bottom w:val="none" w:sz="0" w:space="0" w:color="auto"/>
            <w:right w:val="none" w:sz="0" w:space="0" w:color="auto"/>
          </w:divBdr>
          <w:divsChild>
            <w:div w:id="399133052">
              <w:marLeft w:val="0"/>
              <w:marRight w:val="0"/>
              <w:marTop w:val="0"/>
              <w:marBottom w:val="0"/>
              <w:divBdr>
                <w:top w:val="none" w:sz="0" w:space="0" w:color="auto"/>
                <w:left w:val="none" w:sz="0" w:space="0" w:color="auto"/>
                <w:bottom w:val="none" w:sz="0" w:space="0" w:color="auto"/>
                <w:right w:val="none" w:sz="0" w:space="0" w:color="auto"/>
              </w:divBdr>
              <w:divsChild>
                <w:div w:id="2001150842">
                  <w:marLeft w:val="0"/>
                  <w:marRight w:val="0"/>
                  <w:marTop w:val="0"/>
                  <w:marBottom w:val="0"/>
                  <w:divBdr>
                    <w:top w:val="none" w:sz="0" w:space="0" w:color="auto"/>
                    <w:left w:val="none" w:sz="0" w:space="0" w:color="auto"/>
                    <w:bottom w:val="none" w:sz="0" w:space="0" w:color="auto"/>
                    <w:right w:val="none" w:sz="0" w:space="0" w:color="auto"/>
                  </w:divBdr>
                  <w:divsChild>
                    <w:div w:id="3716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80151">
      <w:bodyDiv w:val="1"/>
      <w:marLeft w:val="0"/>
      <w:marRight w:val="0"/>
      <w:marTop w:val="0"/>
      <w:marBottom w:val="0"/>
      <w:divBdr>
        <w:top w:val="none" w:sz="0" w:space="0" w:color="auto"/>
        <w:left w:val="none" w:sz="0" w:space="0" w:color="auto"/>
        <w:bottom w:val="none" w:sz="0" w:space="0" w:color="auto"/>
        <w:right w:val="none" w:sz="0" w:space="0" w:color="auto"/>
      </w:divBdr>
    </w:div>
    <w:div w:id="46800482">
      <w:bodyDiv w:val="1"/>
      <w:marLeft w:val="0"/>
      <w:marRight w:val="0"/>
      <w:marTop w:val="0"/>
      <w:marBottom w:val="0"/>
      <w:divBdr>
        <w:top w:val="none" w:sz="0" w:space="0" w:color="auto"/>
        <w:left w:val="none" w:sz="0" w:space="0" w:color="auto"/>
        <w:bottom w:val="none" w:sz="0" w:space="0" w:color="auto"/>
        <w:right w:val="none" w:sz="0" w:space="0" w:color="auto"/>
      </w:divBdr>
    </w:div>
    <w:div w:id="48188644">
      <w:bodyDiv w:val="1"/>
      <w:marLeft w:val="0"/>
      <w:marRight w:val="0"/>
      <w:marTop w:val="0"/>
      <w:marBottom w:val="0"/>
      <w:divBdr>
        <w:top w:val="none" w:sz="0" w:space="0" w:color="auto"/>
        <w:left w:val="none" w:sz="0" w:space="0" w:color="auto"/>
        <w:bottom w:val="none" w:sz="0" w:space="0" w:color="auto"/>
        <w:right w:val="none" w:sz="0" w:space="0" w:color="auto"/>
      </w:divBdr>
    </w:div>
    <w:div w:id="49114384">
      <w:bodyDiv w:val="1"/>
      <w:marLeft w:val="0"/>
      <w:marRight w:val="0"/>
      <w:marTop w:val="0"/>
      <w:marBottom w:val="0"/>
      <w:divBdr>
        <w:top w:val="none" w:sz="0" w:space="0" w:color="auto"/>
        <w:left w:val="none" w:sz="0" w:space="0" w:color="auto"/>
        <w:bottom w:val="none" w:sz="0" w:space="0" w:color="auto"/>
        <w:right w:val="none" w:sz="0" w:space="0" w:color="auto"/>
      </w:divBdr>
    </w:div>
    <w:div w:id="57821518">
      <w:bodyDiv w:val="1"/>
      <w:marLeft w:val="0"/>
      <w:marRight w:val="0"/>
      <w:marTop w:val="0"/>
      <w:marBottom w:val="0"/>
      <w:divBdr>
        <w:top w:val="none" w:sz="0" w:space="0" w:color="auto"/>
        <w:left w:val="none" w:sz="0" w:space="0" w:color="auto"/>
        <w:bottom w:val="none" w:sz="0" w:space="0" w:color="auto"/>
        <w:right w:val="none" w:sz="0" w:space="0" w:color="auto"/>
      </w:divBdr>
    </w:div>
    <w:div w:id="62531636">
      <w:bodyDiv w:val="1"/>
      <w:marLeft w:val="0"/>
      <w:marRight w:val="0"/>
      <w:marTop w:val="0"/>
      <w:marBottom w:val="0"/>
      <w:divBdr>
        <w:top w:val="none" w:sz="0" w:space="0" w:color="auto"/>
        <w:left w:val="none" w:sz="0" w:space="0" w:color="auto"/>
        <w:bottom w:val="none" w:sz="0" w:space="0" w:color="auto"/>
        <w:right w:val="none" w:sz="0" w:space="0" w:color="auto"/>
      </w:divBdr>
    </w:div>
    <w:div w:id="91125479">
      <w:bodyDiv w:val="1"/>
      <w:marLeft w:val="0"/>
      <w:marRight w:val="0"/>
      <w:marTop w:val="0"/>
      <w:marBottom w:val="0"/>
      <w:divBdr>
        <w:top w:val="none" w:sz="0" w:space="0" w:color="auto"/>
        <w:left w:val="none" w:sz="0" w:space="0" w:color="auto"/>
        <w:bottom w:val="none" w:sz="0" w:space="0" w:color="auto"/>
        <w:right w:val="none" w:sz="0" w:space="0" w:color="auto"/>
      </w:divBdr>
    </w:div>
    <w:div w:id="104429920">
      <w:bodyDiv w:val="1"/>
      <w:marLeft w:val="0"/>
      <w:marRight w:val="0"/>
      <w:marTop w:val="0"/>
      <w:marBottom w:val="0"/>
      <w:divBdr>
        <w:top w:val="none" w:sz="0" w:space="0" w:color="auto"/>
        <w:left w:val="none" w:sz="0" w:space="0" w:color="auto"/>
        <w:bottom w:val="none" w:sz="0" w:space="0" w:color="auto"/>
        <w:right w:val="none" w:sz="0" w:space="0" w:color="auto"/>
      </w:divBdr>
      <w:divsChild>
        <w:div w:id="2001885921">
          <w:marLeft w:val="480"/>
          <w:marRight w:val="0"/>
          <w:marTop w:val="0"/>
          <w:marBottom w:val="0"/>
          <w:divBdr>
            <w:top w:val="none" w:sz="0" w:space="0" w:color="auto"/>
            <w:left w:val="none" w:sz="0" w:space="0" w:color="auto"/>
            <w:bottom w:val="none" w:sz="0" w:space="0" w:color="auto"/>
            <w:right w:val="none" w:sz="0" w:space="0" w:color="auto"/>
          </w:divBdr>
          <w:divsChild>
            <w:div w:id="105115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79500">
      <w:bodyDiv w:val="1"/>
      <w:marLeft w:val="0"/>
      <w:marRight w:val="0"/>
      <w:marTop w:val="0"/>
      <w:marBottom w:val="0"/>
      <w:divBdr>
        <w:top w:val="none" w:sz="0" w:space="0" w:color="auto"/>
        <w:left w:val="none" w:sz="0" w:space="0" w:color="auto"/>
        <w:bottom w:val="none" w:sz="0" w:space="0" w:color="auto"/>
        <w:right w:val="none" w:sz="0" w:space="0" w:color="auto"/>
      </w:divBdr>
    </w:div>
    <w:div w:id="128548363">
      <w:bodyDiv w:val="1"/>
      <w:marLeft w:val="0"/>
      <w:marRight w:val="0"/>
      <w:marTop w:val="0"/>
      <w:marBottom w:val="0"/>
      <w:divBdr>
        <w:top w:val="none" w:sz="0" w:space="0" w:color="auto"/>
        <w:left w:val="none" w:sz="0" w:space="0" w:color="auto"/>
        <w:bottom w:val="none" w:sz="0" w:space="0" w:color="auto"/>
        <w:right w:val="none" w:sz="0" w:space="0" w:color="auto"/>
      </w:divBdr>
    </w:div>
    <w:div w:id="142427453">
      <w:bodyDiv w:val="1"/>
      <w:marLeft w:val="0"/>
      <w:marRight w:val="0"/>
      <w:marTop w:val="0"/>
      <w:marBottom w:val="0"/>
      <w:divBdr>
        <w:top w:val="none" w:sz="0" w:space="0" w:color="auto"/>
        <w:left w:val="none" w:sz="0" w:space="0" w:color="auto"/>
        <w:bottom w:val="none" w:sz="0" w:space="0" w:color="auto"/>
        <w:right w:val="none" w:sz="0" w:space="0" w:color="auto"/>
      </w:divBdr>
      <w:divsChild>
        <w:div w:id="2017994601">
          <w:marLeft w:val="0"/>
          <w:marRight w:val="0"/>
          <w:marTop w:val="0"/>
          <w:marBottom w:val="0"/>
          <w:divBdr>
            <w:top w:val="none" w:sz="0" w:space="0" w:color="auto"/>
            <w:left w:val="none" w:sz="0" w:space="0" w:color="auto"/>
            <w:bottom w:val="none" w:sz="0" w:space="0" w:color="auto"/>
            <w:right w:val="none" w:sz="0" w:space="0" w:color="auto"/>
          </w:divBdr>
        </w:div>
      </w:divsChild>
    </w:div>
    <w:div w:id="145512609">
      <w:bodyDiv w:val="1"/>
      <w:marLeft w:val="0"/>
      <w:marRight w:val="0"/>
      <w:marTop w:val="0"/>
      <w:marBottom w:val="0"/>
      <w:divBdr>
        <w:top w:val="none" w:sz="0" w:space="0" w:color="auto"/>
        <w:left w:val="none" w:sz="0" w:space="0" w:color="auto"/>
        <w:bottom w:val="none" w:sz="0" w:space="0" w:color="auto"/>
        <w:right w:val="none" w:sz="0" w:space="0" w:color="auto"/>
      </w:divBdr>
    </w:div>
    <w:div w:id="148788879">
      <w:bodyDiv w:val="1"/>
      <w:marLeft w:val="0"/>
      <w:marRight w:val="0"/>
      <w:marTop w:val="0"/>
      <w:marBottom w:val="0"/>
      <w:divBdr>
        <w:top w:val="none" w:sz="0" w:space="0" w:color="auto"/>
        <w:left w:val="none" w:sz="0" w:space="0" w:color="auto"/>
        <w:bottom w:val="none" w:sz="0" w:space="0" w:color="auto"/>
        <w:right w:val="none" w:sz="0" w:space="0" w:color="auto"/>
      </w:divBdr>
    </w:div>
    <w:div w:id="157578683">
      <w:bodyDiv w:val="1"/>
      <w:marLeft w:val="0"/>
      <w:marRight w:val="0"/>
      <w:marTop w:val="0"/>
      <w:marBottom w:val="0"/>
      <w:divBdr>
        <w:top w:val="none" w:sz="0" w:space="0" w:color="auto"/>
        <w:left w:val="none" w:sz="0" w:space="0" w:color="auto"/>
        <w:bottom w:val="none" w:sz="0" w:space="0" w:color="auto"/>
        <w:right w:val="none" w:sz="0" w:space="0" w:color="auto"/>
      </w:divBdr>
    </w:div>
    <w:div w:id="194587844">
      <w:bodyDiv w:val="1"/>
      <w:marLeft w:val="0"/>
      <w:marRight w:val="0"/>
      <w:marTop w:val="0"/>
      <w:marBottom w:val="0"/>
      <w:divBdr>
        <w:top w:val="none" w:sz="0" w:space="0" w:color="auto"/>
        <w:left w:val="none" w:sz="0" w:space="0" w:color="auto"/>
        <w:bottom w:val="none" w:sz="0" w:space="0" w:color="auto"/>
        <w:right w:val="none" w:sz="0" w:space="0" w:color="auto"/>
      </w:divBdr>
    </w:div>
    <w:div w:id="202718997">
      <w:bodyDiv w:val="1"/>
      <w:marLeft w:val="0"/>
      <w:marRight w:val="0"/>
      <w:marTop w:val="0"/>
      <w:marBottom w:val="0"/>
      <w:divBdr>
        <w:top w:val="none" w:sz="0" w:space="0" w:color="auto"/>
        <w:left w:val="none" w:sz="0" w:space="0" w:color="auto"/>
        <w:bottom w:val="none" w:sz="0" w:space="0" w:color="auto"/>
        <w:right w:val="none" w:sz="0" w:space="0" w:color="auto"/>
      </w:divBdr>
    </w:div>
    <w:div w:id="206798620">
      <w:bodyDiv w:val="1"/>
      <w:marLeft w:val="0"/>
      <w:marRight w:val="0"/>
      <w:marTop w:val="0"/>
      <w:marBottom w:val="0"/>
      <w:divBdr>
        <w:top w:val="none" w:sz="0" w:space="0" w:color="auto"/>
        <w:left w:val="none" w:sz="0" w:space="0" w:color="auto"/>
        <w:bottom w:val="none" w:sz="0" w:space="0" w:color="auto"/>
        <w:right w:val="none" w:sz="0" w:space="0" w:color="auto"/>
      </w:divBdr>
    </w:div>
    <w:div w:id="214202517">
      <w:bodyDiv w:val="1"/>
      <w:marLeft w:val="0"/>
      <w:marRight w:val="0"/>
      <w:marTop w:val="0"/>
      <w:marBottom w:val="0"/>
      <w:divBdr>
        <w:top w:val="none" w:sz="0" w:space="0" w:color="auto"/>
        <w:left w:val="none" w:sz="0" w:space="0" w:color="auto"/>
        <w:bottom w:val="none" w:sz="0" w:space="0" w:color="auto"/>
        <w:right w:val="none" w:sz="0" w:space="0" w:color="auto"/>
      </w:divBdr>
    </w:div>
    <w:div w:id="214439199">
      <w:bodyDiv w:val="1"/>
      <w:marLeft w:val="0"/>
      <w:marRight w:val="0"/>
      <w:marTop w:val="0"/>
      <w:marBottom w:val="0"/>
      <w:divBdr>
        <w:top w:val="none" w:sz="0" w:space="0" w:color="auto"/>
        <w:left w:val="none" w:sz="0" w:space="0" w:color="auto"/>
        <w:bottom w:val="none" w:sz="0" w:space="0" w:color="auto"/>
        <w:right w:val="none" w:sz="0" w:space="0" w:color="auto"/>
      </w:divBdr>
    </w:div>
    <w:div w:id="215044756">
      <w:bodyDiv w:val="1"/>
      <w:marLeft w:val="0"/>
      <w:marRight w:val="0"/>
      <w:marTop w:val="0"/>
      <w:marBottom w:val="0"/>
      <w:divBdr>
        <w:top w:val="none" w:sz="0" w:space="0" w:color="auto"/>
        <w:left w:val="none" w:sz="0" w:space="0" w:color="auto"/>
        <w:bottom w:val="none" w:sz="0" w:space="0" w:color="auto"/>
        <w:right w:val="none" w:sz="0" w:space="0" w:color="auto"/>
      </w:divBdr>
    </w:div>
    <w:div w:id="217056863">
      <w:bodyDiv w:val="1"/>
      <w:marLeft w:val="0"/>
      <w:marRight w:val="0"/>
      <w:marTop w:val="0"/>
      <w:marBottom w:val="0"/>
      <w:divBdr>
        <w:top w:val="none" w:sz="0" w:space="0" w:color="auto"/>
        <w:left w:val="none" w:sz="0" w:space="0" w:color="auto"/>
        <w:bottom w:val="none" w:sz="0" w:space="0" w:color="auto"/>
        <w:right w:val="none" w:sz="0" w:space="0" w:color="auto"/>
      </w:divBdr>
    </w:div>
    <w:div w:id="222982590">
      <w:bodyDiv w:val="1"/>
      <w:marLeft w:val="0"/>
      <w:marRight w:val="0"/>
      <w:marTop w:val="0"/>
      <w:marBottom w:val="0"/>
      <w:divBdr>
        <w:top w:val="none" w:sz="0" w:space="0" w:color="auto"/>
        <w:left w:val="none" w:sz="0" w:space="0" w:color="auto"/>
        <w:bottom w:val="none" w:sz="0" w:space="0" w:color="auto"/>
        <w:right w:val="none" w:sz="0" w:space="0" w:color="auto"/>
      </w:divBdr>
      <w:divsChild>
        <w:div w:id="1280917072">
          <w:marLeft w:val="480"/>
          <w:marRight w:val="0"/>
          <w:marTop w:val="0"/>
          <w:marBottom w:val="0"/>
          <w:divBdr>
            <w:top w:val="none" w:sz="0" w:space="0" w:color="auto"/>
            <w:left w:val="none" w:sz="0" w:space="0" w:color="auto"/>
            <w:bottom w:val="none" w:sz="0" w:space="0" w:color="auto"/>
            <w:right w:val="none" w:sz="0" w:space="0" w:color="auto"/>
          </w:divBdr>
          <w:divsChild>
            <w:div w:id="193805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9584">
      <w:bodyDiv w:val="1"/>
      <w:marLeft w:val="0"/>
      <w:marRight w:val="0"/>
      <w:marTop w:val="0"/>
      <w:marBottom w:val="0"/>
      <w:divBdr>
        <w:top w:val="none" w:sz="0" w:space="0" w:color="auto"/>
        <w:left w:val="none" w:sz="0" w:space="0" w:color="auto"/>
        <w:bottom w:val="none" w:sz="0" w:space="0" w:color="auto"/>
        <w:right w:val="none" w:sz="0" w:space="0" w:color="auto"/>
      </w:divBdr>
    </w:div>
    <w:div w:id="250555504">
      <w:bodyDiv w:val="1"/>
      <w:marLeft w:val="0"/>
      <w:marRight w:val="0"/>
      <w:marTop w:val="0"/>
      <w:marBottom w:val="0"/>
      <w:divBdr>
        <w:top w:val="none" w:sz="0" w:space="0" w:color="auto"/>
        <w:left w:val="none" w:sz="0" w:space="0" w:color="auto"/>
        <w:bottom w:val="none" w:sz="0" w:space="0" w:color="auto"/>
        <w:right w:val="none" w:sz="0" w:space="0" w:color="auto"/>
      </w:divBdr>
    </w:div>
    <w:div w:id="259265850">
      <w:bodyDiv w:val="1"/>
      <w:marLeft w:val="0"/>
      <w:marRight w:val="0"/>
      <w:marTop w:val="0"/>
      <w:marBottom w:val="0"/>
      <w:divBdr>
        <w:top w:val="none" w:sz="0" w:space="0" w:color="auto"/>
        <w:left w:val="none" w:sz="0" w:space="0" w:color="auto"/>
        <w:bottom w:val="none" w:sz="0" w:space="0" w:color="auto"/>
        <w:right w:val="none" w:sz="0" w:space="0" w:color="auto"/>
      </w:divBdr>
    </w:div>
    <w:div w:id="297414429">
      <w:bodyDiv w:val="1"/>
      <w:marLeft w:val="0"/>
      <w:marRight w:val="0"/>
      <w:marTop w:val="0"/>
      <w:marBottom w:val="0"/>
      <w:divBdr>
        <w:top w:val="none" w:sz="0" w:space="0" w:color="auto"/>
        <w:left w:val="none" w:sz="0" w:space="0" w:color="auto"/>
        <w:bottom w:val="none" w:sz="0" w:space="0" w:color="auto"/>
        <w:right w:val="none" w:sz="0" w:space="0" w:color="auto"/>
      </w:divBdr>
    </w:div>
    <w:div w:id="299696340">
      <w:bodyDiv w:val="1"/>
      <w:marLeft w:val="0"/>
      <w:marRight w:val="0"/>
      <w:marTop w:val="0"/>
      <w:marBottom w:val="0"/>
      <w:divBdr>
        <w:top w:val="none" w:sz="0" w:space="0" w:color="auto"/>
        <w:left w:val="none" w:sz="0" w:space="0" w:color="auto"/>
        <w:bottom w:val="none" w:sz="0" w:space="0" w:color="auto"/>
        <w:right w:val="none" w:sz="0" w:space="0" w:color="auto"/>
      </w:divBdr>
    </w:div>
    <w:div w:id="318971726">
      <w:bodyDiv w:val="1"/>
      <w:marLeft w:val="0"/>
      <w:marRight w:val="0"/>
      <w:marTop w:val="0"/>
      <w:marBottom w:val="0"/>
      <w:divBdr>
        <w:top w:val="none" w:sz="0" w:space="0" w:color="auto"/>
        <w:left w:val="none" w:sz="0" w:space="0" w:color="auto"/>
        <w:bottom w:val="none" w:sz="0" w:space="0" w:color="auto"/>
        <w:right w:val="none" w:sz="0" w:space="0" w:color="auto"/>
      </w:divBdr>
    </w:div>
    <w:div w:id="319114205">
      <w:bodyDiv w:val="1"/>
      <w:marLeft w:val="0"/>
      <w:marRight w:val="0"/>
      <w:marTop w:val="0"/>
      <w:marBottom w:val="0"/>
      <w:divBdr>
        <w:top w:val="none" w:sz="0" w:space="0" w:color="auto"/>
        <w:left w:val="none" w:sz="0" w:space="0" w:color="auto"/>
        <w:bottom w:val="none" w:sz="0" w:space="0" w:color="auto"/>
        <w:right w:val="none" w:sz="0" w:space="0" w:color="auto"/>
      </w:divBdr>
    </w:div>
    <w:div w:id="324819333">
      <w:bodyDiv w:val="1"/>
      <w:marLeft w:val="0"/>
      <w:marRight w:val="0"/>
      <w:marTop w:val="0"/>
      <w:marBottom w:val="0"/>
      <w:divBdr>
        <w:top w:val="none" w:sz="0" w:space="0" w:color="auto"/>
        <w:left w:val="none" w:sz="0" w:space="0" w:color="auto"/>
        <w:bottom w:val="none" w:sz="0" w:space="0" w:color="auto"/>
        <w:right w:val="none" w:sz="0" w:space="0" w:color="auto"/>
      </w:divBdr>
    </w:div>
    <w:div w:id="325284459">
      <w:bodyDiv w:val="1"/>
      <w:marLeft w:val="0"/>
      <w:marRight w:val="0"/>
      <w:marTop w:val="0"/>
      <w:marBottom w:val="0"/>
      <w:divBdr>
        <w:top w:val="none" w:sz="0" w:space="0" w:color="auto"/>
        <w:left w:val="none" w:sz="0" w:space="0" w:color="auto"/>
        <w:bottom w:val="none" w:sz="0" w:space="0" w:color="auto"/>
        <w:right w:val="none" w:sz="0" w:space="0" w:color="auto"/>
      </w:divBdr>
      <w:divsChild>
        <w:div w:id="1298147782">
          <w:marLeft w:val="0"/>
          <w:marRight w:val="0"/>
          <w:marTop w:val="0"/>
          <w:marBottom w:val="0"/>
          <w:divBdr>
            <w:top w:val="none" w:sz="0" w:space="0" w:color="auto"/>
            <w:left w:val="none" w:sz="0" w:space="0" w:color="auto"/>
            <w:bottom w:val="none" w:sz="0" w:space="0" w:color="auto"/>
            <w:right w:val="none" w:sz="0" w:space="0" w:color="auto"/>
          </w:divBdr>
          <w:divsChild>
            <w:div w:id="85533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5448">
      <w:bodyDiv w:val="1"/>
      <w:marLeft w:val="0"/>
      <w:marRight w:val="0"/>
      <w:marTop w:val="0"/>
      <w:marBottom w:val="0"/>
      <w:divBdr>
        <w:top w:val="none" w:sz="0" w:space="0" w:color="auto"/>
        <w:left w:val="none" w:sz="0" w:space="0" w:color="auto"/>
        <w:bottom w:val="none" w:sz="0" w:space="0" w:color="auto"/>
        <w:right w:val="none" w:sz="0" w:space="0" w:color="auto"/>
      </w:divBdr>
    </w:div>
    <w:div w:id="337125221">
      <w:bodyDiv w:val="1"/>
      <w:marLeft w:val="0"/>
      <w:marRight w:val="0"/>
      <w:marTop w:val="0"/>
      <w:marBottom w:val="0"/>
      <w:divBdr>
        <w:top w:val="none" w:sz="0" w:space="0" w:color="auto"/>
        <w:left w:val="none" w:sz="0" w:space="0" w:color="auto"/>
        <w:bottom w:val="none" w:sz="0" w:space="0" w:color="auto"/>
        <w:right w:val="none" w:sz="0" w:space="0" w:color="auto"/>
      </w:divBdr>
    </w:div>
    <w:div w:id="342976792">
      <w:bodyDiv w:val="1"/>
      <w:marLeft w:val="0"/>
      <w:marRight w:val="0"/>
      <w:marTop w:val="0"/>
      <w:marBottom w:val="0"/>
      <w:divBdr>
        <w:top w:val="none" w:sz="0" w:space="0" w:color="auto"/>
        <w:left w:val="none" w:sz="0" w:space="0" w:color="auto"/>
        <w:bottom w:val="none" w:sz="0" w:space="0" w:color="auto"/>
        <w:right w:val="none" w:sz="0" w:space="0" w:color="auto"/>
      </w:divBdr>
    </w:div>
    <w:div w:id="344135729">
      <w:bodyDiv w:val="1"/>
      <w:marLeft w:val="0"/>
      <w:marRight w:val="0"/>
      <w:marTop w:val="0"/>
      <w:marBottom w:val="0"/>
      <w:divBdr>
        <w:top w:val="none" w:sz="0" w:space="0" w:color="auto"/>
        <w:left w:val="none" w:sz="0" w:space="0" w:color="auto"/>
        <w:bottom w:val="none" w:sz="0" w:space="0" w:color="auto"/>
        <w:right w:val="none" w:sz="0" w:space="0" w:color="auto"/>
      </w:divBdr>
    </w:div>
    <w:div w:id="344720793">
      <w:bodyDiv w:val="1"/>
      <w:marLeft w:val="0"/>
      <w:marRight w:val="0"/>
      <w:marTop w:val="0"/>
      <w:marBottom w:val="0"/>
      <w:divBdr>
        <w:top w:val="none" w:sz="0" w:space="0" w:color="auto"/>
        <w:left w:val="none" w:sz="0" w:space="0" w:color="auto"/>
        <w:bottom w:val="none" w:sz="0" w:space="0" w:color="auto"/>
        <w:right w:val="none" w:sz="0" w:space="0" w:color="auto"/>
      </w:divBdr>
    </w:div>
    <w:div w:id="402334971">
      <w:bodyDiv w:val="1"/>
      <w:marLeft w:val="0"/>
      <w:marRight w:val="0"/>
      <w:marTop w:val="0"/>
      <w:marBottom w:val="0"/>
      <w:divBdr>
        <w:top w:val="none" w:sz="0" w:space="0" w:color="auto"/>
        <w:left w:val="none" w:sz="0" w:space="0" w:color="auto"/>
        <w:bottom w:val="none" w:sz="0" w:space="0" w:color="auto"/>
        <w:right w:val="none" w:sz="0" w:space="0" w:color="auto"/>
      </w:divBdr>
    </w:div>
    <w:div w:id="404881827">
      <w:bodyDiv w:val="1"/>
      <w:marLeft w:val="0"/>
      <w:marRight w:val="0"/>
      <w:marTop w:val="0"/>
      <w:marBottom w:val="0"/>
      <w:divBdr>
        <w:top w:val="none" w:sz="0" w:space="0" w:color="auto"/>
        <w:left w:val="none" w:sz="0" w:space="0" w:color="auto"/>
        <w:bottom w:val="none" w:sz="0" w:space="0" w:color="auto"/>
        <w:right w:val="none" w:sz="0" w:space="0" w:color="auto"/>
      </w:divBdr>
    </w:div>
    <w:div w:id="407311203">
      <w:bodyDiv w:val="1"/>
      <w:marLeft w:val="0"/>
      <w:marRight w:val="0"/>
      <w:marTop w:val="0"/>
      <w:marBottom w:val="0"/>
      <w:divBdr>
        <w:top w:val="none" w:sz="0" w:space="0" w:color="auto"/>
        <w:left w:val="none" w:sz="0" w:space="0" w:color="auto"/>
        <w:bottom w:val="none" w:sz="0" w:space="0" w:color="auto"/>
        <w:right w:val="none" w:sz="0" w:space="0" w:color="auto"/>
      </w:divBdr>
      <w:divsChild>
        <w:div w:id="1540706120">
          <w:marLeft w:val="0"/>
          <w:marRight w:val="0"/>
          <w:marTop w:val="0"/>
          <w:marBottom w:val="0"/>
          <w:divBdr>
            <w:top w:val="none" w:sz="0" w:space="0" w:color="auto"/>
            <w:left w:val="none" w:sz="0" w:space="0" w:color="auto"/>
            <w:bottom w:val="none" w:sz="0" w:space="0" w:color="auto"/>
            <w:right w:val="none" w:sz="0" w:space="0" w:color="auto"/>
          </w:divBdr>
        </w:div>
      </w:divsChild>
    </w:div>
    <w:div w:id="413938651">
      <w:bodyDiv w:val="1"/>
      <w:marLeft w:val="0"/>
      <w:marRight w:val="0"/>
      <w:marTop w:val="0"/>
      <w:marBottom w:val="0"/>
      <w:divBdr>
        <w:top w:val="none" w:sz="0" w:space="0" w:color="auto"/>
        <w:left w:val="none" w:sz="0" w:space="0" w:color="auto"/>
        <w:bottom w:val="none" w:sz="0" w:space="0" w:color="auto"/>
        <w:right w:val="none" w:sz="0" w:space="0" w:color="auto"/>
      </w:divBdr>
    </w:div>
    <w:div w:id="427503672">
      <w:bodyDiv w:val="1"/>
      <w:marLeft w:val="0"/>
      <w:marRight w:val="0"/>
      <w:marTop w:val="0"/>
      <w:marBottom w:val="0"/>
      <w:divBdr>
        <w:top w:val="none" w:sz="0" w:space="0" w:color="auto"/>
        <w:left w:val="none" w:sz="0" w:space="0" w:color="auto"/>
        <w:bottom w:val="none" w:sz="0" w:space="0" w:color="auto"/>
        <w:right w:val="none" w:sz="0" w:space="0" w:color="auto"/>
      </w:divBdr>
    </w:div>
    <w:div w:id="443430191">
      <w:bodyDiv w:val="1"/>
      <w:marLeft w:val="0"/>
      <w:marRight w:val="0"/>
      <w:marTop w:val="0"/>
      <w:marBottom w:val="0"/>
      <w:divBdr>
        <w:top w:val="none" w:sz="0" w:space="0" w:color="auto"/>
        <w:left w:val="none" w:sz="0" w:space="0" w:color="auto"/>
        <w:bottom w:val="none" w:sz="0" w:space="0" w:color="auto"/>
        <w:right w:val="none" w:sz="0" w:space="0" w:color="auto"/>
      </w:divBdr>
    </w:div>
    <w:div w:id="453713944">
      <w:bodyDiv w:val="1"/>
      <w:marLeft w:val="0"/>
      <w:marRight w:val="0"/>
      <w:marTop w:val="0"/>
      <w:marBottom w:val="0"/>
      <w:divBdr>
        <w:top w:val="none" w:sz="0" w:space="0" w:color="auto"/>
        <w:left w:val="none" w:sz="0" w:space="0" w:color="auto"/>
        <w:bottom w:val="none" w:sz="0" w:space="0" w:color="auto"/>
        <w:right w:val="none" w:sz="0" w:space="0" w:color="auto"/>
      </w:divBdr>
    </w:div>
    <w:div w:id="457915498">
      <w:bodyDiv w:val="1"/>
      <w:marLeft w:val="0"/>
      <w:marRight w:val="0"/>
      <w:marTop w:val="0"/>
      <w:marBottom w:val="0"/>
      <w:divBdr>
        <w:top w:val="none" w:sz="0" w:space="0" w:color="auto"/>
        <w:left w:val="none" w:sz="0" w:space="0" w:color="auto"/>
        <w:bottom w:val="none" w:sz="0" w:space="0" w:color="auto"/>
        <w:right w:val="none" w:sz="0" w:space="0" w:color="auto"/>
      </w:divBdr>
    </w:div>
    <w:div w:id="460880910">
      <w:bodyDiv w:val="1"/>
      <w:marLeft w:val="0"/>
      <w:marRight w:val="0"/>
      <w:marTop w:val="0"/>
      <w:marBottom w:val="0"/>
      <w:divBdr>
        <w:top w:val="none" w:sz="0" w:space="0" w:color="auto"/>
        <w:left w:val="none" w:sz="0" w:space="0" w:color="auto"/>
        <w:bottom w:val="none" w:sz="0" w:space="0" w:color="auto"/>
        <w:right w:val="none" w:sz="0" w:space="0" w:color="auto"/>
      </w:divBdr>
    </w:div>
    <w:div w:id="463352546">
      <w:bodyDiv w:val="1"/>
      <w:marLeft w:val="0"/>
      <w:marRight w:val="0"/>
      <w:marTop w:val="0"/>
      <w:marBottom w:val="0"/>
      <w:divBdr>
        <w:top w:val="none" w:sz="0" w:space="0" w:color="auto"/>
        <w:left w:val="none" w:sz="0" w:space="0" w:color="auto"/>
        <w:bottom w:val="none" w:sz="0" w:space="0" w:color="auto"/>
        <w:right w:val="none" w:sz="0" w:space="0" w:color="auto"/>
      </w:divBdr>
    </w:div>
    <w:div w:id="464545907">
      <w:bodyDiv w:val="1"/>
      <w:marLeft w:val="0"/>
      <w:marRight w:val="0"/>
      <w:marTop w:val="0"/>
      <w:marBottom w:val="0"/>
      <w:divBdr>
        <w:top w:val="none" w:sz="0" w:space="0" w:color="auto"/>
        <w:left w:val="none" w:sz="0" w:space="0" w:color="auto"/>
        <w:bottom w:val="none" w:sz="0" w:space="0" w:color="auto"/>
        <w:right w:val="none" w:sz="0" w:space="0" w:color="auto"/>
      </w:divBdr>
      <w:divsChild>
        <w:div w:id="2032100340">
          <w:marLeft w:val="480"/>
          <w:marRight w:val="0"/>
          <w:marTop w:val="0"/>
          <w:marBottom w:val="0"/>
          <w:divBdr>
            <w:top w:val="none" w:sz="0" w:space="0" w:color="auto"/>
            <w:left w:val="none" w:sz="0" w:space="0" w:color="auto"/>
            <w:bottom w:val="none" w:sz="0" w:space="0" w:color="auto"/>
            <w:right w:val="none" w:sz="0" w:space="0" w:color="auto"/>
          </w:divBdr>
          <w:divsChild>
            <w:div w:id="58943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039486">
      <w:bodyDiv w:val="1"/>
      <w:marLeft w:val="0"/>
      <w:marRight w:val="0"/>
      <w:marTop w:val="0"/>
      <w:marBottom w:val="0"/>
      <w:divBdr>
        <w:top w:val="none" w:sz="0" w:space="0" w:color="auto"/>
        <w:left w:val="none" w:sz="0" w:space="0" w:color="auto"/>
        <w:bottom w:val="none" w:sz="0" w:space="0" w:color="auto"/>
        <w:right w:val="none" w:sz="0" w:space="0" w:color="auto"/>
      </w:divBdr>
    </w:div>
    <w:div w:id="497384513">
      <w:bodyDiv w:val="1"/>
      <w:marLeft w:val="0"/>
      <w:marRight w:val="0"/>
      <w:marTop w:val="0"/>
      <w:marBottom w:val="0"/>
      <w:divBdr>
        <w:top w:val="none" w:sz="0" w:space="0" w:color="auto"/>
        <w:left w:val="none" w:sz="0" w:space="0" w:color="auto"/>
        <w:bottom w:val="none" w:sz="0" w:space="0" w:color="auto"/>
        <w:right w:val="none" w:sz="0" w:space="0" w:color="auto"/>
      </w:divBdr>
    </w:div>
    <w:div w:id="507334772">
      <w:bodyDiv w:val="1"/>
      <w:marLeft w:val="0"/>
      <w:marRight w:val="0"/>
      <w:marTop w:val="0"/>
      <w:marBottom w:val="0"/>
      <w:divBdr>
        <w:top w:val="none" w:sz="0" w:space="0" w:color="auto"/>
        <w:left w:val="none" w:sz="0" w:space="0" w:color="auto"/>
        <w:bottom w:val="none" w:sz="0" w:space="0" w:color="auto"/>
        <w:right w:val="none" w:sz="0" w:space="0" w:color="auto"/>
      </w:divBdr>
    </w:div>
    <w:div w:id="516192698">
      <w:bodyDiv w:val="1"/>
      <w:marLeft w:val="0"/>
      <w:marRight w:val="0"/>
      <w:marTop w:val="0"/>
      <w:marBottom w:val="0"/>
      <w:divBdr>
        <w:top w:val="none" w:sz="0" w:space="0" w:color="auto"/>
        <w:left w:val="none" w:sz="0" w:space="0" w:color="auto"/>
        <w:bottom w:val="none" w:sz="0" w:space="0" w:color="auto"/>
        <w:right w:val="none" w:sz="0" w:space="0" w:color="auto"/>
      </w:divBdr>
    </w:div>
    <w:div w:id="527523433">
      <w:bodyDiv w:val="1"/>
      <w:marLeft w:val="0"/>
      <w:marRight w:val="0"/>
      <w:marTop w:val="0"/>
      <w:marBottom w:val="0"/>
      <w:divBdr>
        <w:top w:val="none" w:sz="0" w:space="0" w:color="auto"/>
        <w:left w:val="none" w:sz="0" w:space="0" w:color="auto"/>
        <w:bottom w:val="none" w:sz="0" w:space="0" w:color="auto"/>
        <w:right w:val="none" w:sz="0" w:space="0" w:color="auto"/>
      </w:divBdr>
    </w:div>
    <w:div w:id="533537284">
      <w:bodyDiv w:val="1"/>
      <w:marLeft w:val="0"/>
      <w:marRight w:val="0"/>
      <w:marTop w:val="0"/>
      <w:marBottom w:val="0"/>
      <w:divBdr>
        <w:top w:val="none" w:sz="0" w:space="0" w:color="auto"/>
        <w:left w:val="none" w:sz="0" w:space="0" w:color="auto"/>
        <w:bottom w:val="none" w:sz="0" w:space="0" w:color="auto"/>
        <w:right w:val="none" w:sz="0" w:space="0" w:color="auto"/>
      </w:divBdr>
      <w:divsChild>
        <w:div w:id="1699236316">
          <w:marLeft w:val="0"/>
          <w:marRight w:val="0"/>
          <w:marTop w:val="0"/>
          <w:marBottom w:val="0"/>
          <w:divBdr>
            <w:top w:val="none" w:sz="0" w:space="0" w:color="auto"/>
            <w:left w:val="none" w:sz="0" w:space="0" w:color="auto"/>
            <w:bottom w:val="none" w:sz="0" w:space="0" w:color="auto"/>
            <w:right w:val="none" w:sz="0" w:space="0" w:color="auto"/>
          </w:divBdr>
        </w:div>
      </w:divsChild>
    </w:div>
    <w:div w:id="539168363">
      <w:bodyDiv w:val="1"/>
      <w:marLeft w:val="0"/>
      <w:marRight w:val="0"/>
      <w:marTop w:val="0"/>
      <w:marBottom w:val="0"/>
      <w:divBdr>
        <w:top w:val="none" w:sz="0" w:space="0" w:color="auto"/>
        <w:left w:val="none" w:sz="0" w:space="0" w:color="auto"/>
        <w:bottom w:val="none" w:sz="0" w:space="0" w:color="auto"/>
        <w:right w:val="none" w:sz="0" w:space="0" w:color="auto"/>
      </w:divBdr>
      <w:divsChild>
        <w:div w:id="1949652348">
          <w:marLeft w:val="0"/>
          <w:marRight w:val="0"/>
          <w:marTop w:val="0"/>
          <w:marBottom w:val="0"/>
          <w:divBdr>
            <w:top w:val="none" w:sz="0" w:space="0" w:color="auto"/>
            <w:left w:val="none" w:sz="0" w:space="0" w:color="auto"/>
            <w:bottom w:val="none" w:sz="0" w:space="0" w:color="auto"/>
            <w:right w:val="none" w:sz="0" w:space="0" w:color="auto"/>
          </w:divBdr>
        </w:div>
      </w:divsChild>
    </w:div>
    <w:div w:id="542521939">
      <w:bodyDiv w:val="1"/>
      <w:marLeft w:val="0"/>
      <w:marRight w:val="0"/>
      <w:marTop w:val="0"/>
      <w:marBottom w:val="0"/>
      <w:divBdr>
        <w:top w:val="none" w:sz="0" w:space="0" w:color="auto"/>
        <w:left w:val="none" w:sz="0" w:space="0" w:color="auto"/>
        <w:bottom w:val="none" w:sz="0" w:space="0" w:color="auto"/>
        <w:right w:val="none" w:sz="0" w:space="0" w:color="auto"/>
      </w:divBdr>
    </w:div>
    <w:div w:id="543256278">
      <w:bodyDiv w:val="1"/>
      <w:marLeft w:val="0"/>
      <w:marRight w:val="0"/>
      <w:marTop w:val="0"/>
      <w:marBottom w:val="0"/>
      <w:divBdr>
        <w:top w:val="none" w:sz="0" w:space="0" w:color="auto"/>
        <w:left w:val="none" w:sz="0" w:space="0" w:color="auto"/>
        <w:bottom w:val="none" w:sz="0" w:space="0" w:color="auto"/>
        <w:right w:val="none" w:sz="0" w:space="0" w:color="auto"/>
      </w:divBdr>
    </w:div>
    <w:div w:id="547644221">
      <w:bodyDiv w:val="1"/>
      <w:marLeft w:val="0"/>
      <w:marRight w:val="0"/>
      <w:marTop w:val="0"/>
      <w:marBottom w:val="0"/>
      <w:divBdr>
        <w:top w:val="none" w:sz="0" w:space="0" w:color="auto"/>
        <w:left w:val="none" w:sz="0" w:space="0" w:color="auto"/>
        <w:bottom w:val="none" w:sz="0" w:space="0" w:color="auto"/>
        <w:right w:val="none" w:sz="0" w:space="0" w:color="auto"/>
      </w:divBdr>
    </w:div>
    <w:div w:id="554658319">
      <w:bodyDiv w:val="1"/>
      <w:marLeft w:val="0"/>
      <w:marRight w:val="0"/>
      <w:marTop w:val="0"/>
      <w:marBottom w:val="0"/>
      <w:divBdr>
        <w:top w:val="none" w:sz="0" w:space="0" w:color="auto"/>
        <w:left w:val="none" w:sz="0" w:space="0" w:color="auto"/>
        <w:bottom w:val="none" w:sz="0" w:space="0" w:color="auto"/>
        <w:right w:val="none" w:sz="0" w:space="0" w:color="auto"/>
      </w:divBdr>
    </w:div>
    <w:div w:id="566380063">
      <w:bodyDiv w:val="1"/>
      <w:marLeft w:val="0"/>
      <w:marRight w:val="0"/>
      <w:marTop w:val="0"/>
      <w:marBottom w:val="0"/>
      <w:divBdr>
        <w:top w:val="none" w:sz="0" w:space="0" w:color="auto"/>
        <w:left w:val="none" w:sz="0" w:space="0" w:color="auto"/>
        <w:bottom w:val="none" w:sz="0" w:space="0" w:color="auto"/>
        <w:right w:val="none" w:sz="0" w:space="0" w:color="auto"/>
      </w:divBdr>
    </w:div>
    <w:div w:id="567425795">
      <w:bodyDiv w:val="1"/>
      <w:marLeft w:val="0"/>
      <w:marRight w:val="0"/>
      <w:marTop w:val="0"/>
      <w:marBottom w:val="0"/>
      <w:divBdr>
        <w:top w:val="none" w:sz="0" w:space="0" w:color="auto"/>
        <w:left w:val="none" w:sz="0" w:space="0" w:color="auto"/>
        <w:bottom w:val="none" w:sz="0" w:space="0" w:color="auto"/>
        <w:right w:val="none" w:sz="0" w:space="0" w:color="auto"/>
      </w:divBdr>
    </w:div>
    <w:div w:id="576525457">
      <w:bodyDiv w:val="1"/>
      <w:marLeft w:val="0"/>
      <w:marRight w:val="0"/>
      <w:marTop w:val="0"/>
      <w:marBottom w:val="0"/>
      <w:divBdr>
        <w:top w:val="none" w:sz="0" w:space="0" w:color="auto"/>
        <w:left w:val="none" w:sz="0" w:space="0" w:color="auto"/>
        <w:bottom w:val="none" w:sz="0" w:space="0" w:color="auto"/>
        <w:right w:val="none" w:sz="0" w:space="0" w:color="auto"/>
      </w:divBdr>
      <w:divsChild>
        <w:div w:id="992295971">
          <w:marLeft w:val="0"/>
          <w:marRight w:val="0"/>
          <w:marTop w:val="0"/>
          <w:marBottom w:val="0"/>
          <w:divBdr>
            <w:top w:val="none" w:sz="0" w:space="0" w:color="auto"/>
            <w:left w:val="none" w:sz="0" w:space="0" w:color="auto"/>
            <w:bottom w:val="none" w:sz="0" w:space="0" w:color="auto"/>
            <w:right w:val="none" w:sz="0" w:space="0" w:color="auto"/>
          </w:divBdr>
          <w:divsChild>
            <w:div w:id="1032075730">
              <w:marLeft w:val="0"/>
              <w:marRight w:val="0"/>
              <w:marTop w:val="0"/>
              <w:marBottom w:val="0"/>
              <w:divBdr>
                <w:top w:val="none" w:sz="0" w:space="0" w:color="auto"/>
                <w:left w:val="none" w:sz="0" w:space="0" w:color="auto"/>
                <w:bottom w:val="none" w:sz="0" w:space="0" w:color="auto"/>
                <w:right w:val="none" w:sz="0" w:space="0" w:color="auto"/>
              </w:divBdr>
              <w:divsChild>
                <w:div w:id="134751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878739">
      <w:bodyDiv w:val="1"/>
      <w:marLeft w:val="0"/>
      <w:marRight w:val="0"/>
      <w:marTop w:val="0"/>
      <w:marBottom w:val="0"/>
      <w:divBdr>
        <w:top w:val="none" w:sz="0" w:space="0" w:color="auto"/>
        <w:left w:val="none" w:sz="0" w:space="0" w:color="auto"/>
        <w:bottom w:val="none" w:sz="0" w:space="0" w:color="auto"/>
        <w:right w:val="none" w:sz="0" w:space="0" w:color="auto"/>
      </w:divBdr>
    </w:div>
    <w:div w:id="586767443">
      <w:bodyDiv w:val="1"/>
      <w:marLeft w:val="0"/>
      <w:marRight w:val="0"/>
      <w:marTop w:val="0"/>
      <w:marBottom w:val="0"/>
      <w:divBdr>
        <w:top w:val="none" w:sz="0" w:space="0" w:color="auto"/>
        <w:left w:val="none" w:sz="0" w:space="0" w:color="auto"/>
        <w:bottom w:val="none" w:sz="0" w:space="0" w:color="auto"/>
        <w:right w:val="none" w:sz="0" w:space="0" w:color="auto"/>
      </w:divBdr>
    </w:div>
    <w:div w:id="589193307">
      <w:bodyDiv w:val="1"/>
      <w:marLeft w:val="0"/>
      <w:marRight w:val="0"/>
      <w:marTop w:val="0"/>
      <w:marBottom w:val="0"/>
      <w:divBdr>
        <w:top w:val="none" w:sz="0" w:space="0" w:color="auto"/>
        <w:left w:val="none" w:sz="0" w:space="0" w:color="auto"/>
        <w:bottom w:val="none" w:sz="0" w:space="0" w:color="auto"/>
        <w:right w:val="none" w:sz="0" w:space="0" w:color="auto"/>
      </w:divBdr>
    </w:div>
    <w:div w:id="590623744">
      <w:bodyDiv w:val="1"/>
      <w:marLeft w:val="0"/>
      <w:marRight w:val="0"/>
      <w:marTop w:val="0"/>
      <w:marBottom w:val="0"/>
      <w:divBdr>
        <w:top w:val="none" w:sz="0" w:space="0" w:color="auto"/>
        <w:left w:val="none" w:sz="0" w:space="0" w:color="auto"/>
        <w:bottom w:val="none" w:sz="0" w:space="0" w:color="auto"/>
        <w:right w:val="none" w:sz="0" w:space="0" w:color="auto"/>
      </w:divBdr>
    </w:div>
    <w:div w:id="617100647">
      <w:bodyDiv w:val="1"/>
      <w:marLeft w:val="0"/>
      <w:marRight w:val="0"/>
      <w:marTop w:val="0"/>
      <w:marBottom w:val="0"/>
      <w:divBdr>
        <w:top w:val="none" w:sz="0" w:space="0" w:color="auto"/>
        <w:left w:val="none" w:sz="0" w:space="0" w:color="auto"/>
        <w:bottom w:val="none" w:sz="0" w:space="0" w:color="auto"/>
        <w:right w:val="none" w:sz="0" w:space="0" w:color="auto"/>
      </w:divBdr>
    </w:div>
    <w:div w:id="624195078">
      <w:bodyDiv w:val="1"/>
      <w:marLeft w:val="0"/>
      <w:marRight w:val="0"/>
      <w:marTop w:val="0"/>
      <w:marBottom w:val="0"/>
      <w:divBdr>
        <w:top w:val="none" w:sz="0" w:space="0" w:color="auto"/>
        <w:left w:val="none" w:sz="0" w:space="0" w:color="auto"/>
        <w:bottom w:val="none" w:sz="0" w:space="0" w:color="auto"/>
        <w:right w:val="none" w:sz="0" w:space="0" w:color="auto"/>
      </w:divBdr>
    </w:div>
    <w:div w:id="626158033">
      <w:bodyDiv w:val="1"/>
      <w:marLeft w:val="0"/>
      <w:marRight w:val="0"/>
      <w:marTop w:val="0"/>
      <w:marBottom w:val="0"/>
      <w:divBdr>
        <w:top w:val="none" w:sz="0" w:space="0" w:color="auto"/>
        <w:left w:val="none" w:sz="0" w:space="0" w:color="auto"/>
        <w:bottom w:val="none" w:sz="0" w:space="0" w:color="auto"/>
        <w:right w:val="none" w:sz="0" w:space="0" w:color="auto"/>
      </w:divBdr>
    </w:div>
    <w:div w:id="628558326">
      <w:bodyDiv w:val="1"/>
      <w:marLeft w:val="0"/>
      <w:marRight w:val="0"/>
      <w:marTop w:val="0"/>
      <w:marBottom w:val="0"/>
      <w:divBdr>
        <w:top w:val="none" w:sz="0" w:space="0" w:color="auto"/>
        <w:left w:val="none" w:sz="0" w:space="0" w:color="auto"/>
        <w:bottom w:val="none" w:sz="0" w:space="0" w:color="auto"/>
        <w:right w:val="none" w:sz="0" w:space="0" w:color="auto"/>
      </w:divBdr>
    </w:div>
    <w:div w:id="640841658">
      <w:bodyDiv w:val="1"/>
      <w:marLeft w:val="0"/>
      <w:marRight w:val="0"/>
      <w:marTop w:val="0"/>
      <w:marBottom w:val="0"/>
      <w:divBdr>
        <w:top w:val="none" w:sz="0" w:space="0" w:color="auto"/>
        <w:left w:val="none" w:sz="0" w:space="0" w:color="auto"/>
        <w:bottom w:val="none" w:sz="0" w:space="0" w:color="auto"/>
        <w:right w:val="none" w:sz="0" w:space="0" w:color="auto"/>
      </w:divBdr>
    </w:div>
    <w:div w:id="643700552">
      <w:bodyDiv w:val="1"/>
      <w:marLeft w:val="0"/>
      <w:marRight w:val="0"/>
      <w:marTop w:val="0"/>
      <w:marBottom w:val="0"/>
      <w:divBdr>
        <w:top w:val="none" w:sz="0" w:space="0" w:color="auto"/>
        <w:left w:val="none" w:sz="0" w:space="0" w:color="auto"/>
        <w:bottom w:val="none" w:sz="0" w:space="0" w:color="auto"/>
        <w:right w:val="none" w:sz="0" w:space="0" w:color="auto"/>
      </w:divBdr>
    </w:div>
    <w:div w:id="652031690">
      <w:bodyDiv w:val="1"/>
      <w:marLeft w:val="0"/>
      <w:marRight w:val="0"/>
      <w:marTop w:val="0"/>
      <w:marBottom w:val="0"/>
      <w:divBdr>
        <w:top w:val="none" w:sz="0" w:space="0" w:color="auto"/>
        <w:left w:val="none" w:sz="0" w:space="0" w:color="auto"/>
        <w:bottom w:val="none" w:sz="0" w:space="0" w:color="auto"/>
        <w:right w:val="none" w:sz="0" w:space="0" w:color="auto"/>
      </w:divBdr>
    </w:div>
    <w:div w:id="656998671">
      <w:bodyDiv w:val="1"/>
      <w:marLeft w:val="0"/>
      <w:marRight w:val="0"/>
      <w:marTop w:val="0"/>
      <w:marBottom w:val="0"/>
      <w:divBdr>
        <w:top w:val="none" w:sz="0" w:space="0" w:color="auto"/>
        <w:left w:val="none" w:sz="0" w:space="0" w:color="auto"/>
        <w:bottom w:val="none" w:sz="0" w:space="0" w:color="auto"/>
        <w:right w:val="none" w:sz="0" w:space="0" w:color="auto"/>
      </w:divBdr>
    </w:div>
    <w:div w:id="672605091">
      <w:bodyDiv w:val="1"/>
      <w:marLeft w:val="0"/>
      <w:marRight w:val="0"/>
      <w:marTop w:val="0"/>
      <w:marBottom w:val="0"/>
      <w:divBdr>
        <w:top w:val="none" w:sz="0" w:space="0" w:color="auto"/>
        <w:left w:val="none" w:sz="0" w:space="0" w:color="auto"/>
        <w:bottom w:val="none" w:sz="0" w:space="0" w:color="auto"/>
        <w:right w:val="none" w:sz="0" w:space="0" w:color="auto"/>
      </w:divBdr>
    </w:div>
    <w:div w:id="721908134">
      <w:bodyDiv w:val="1"/>
      <w:marLeft w:val="0"/>
      <w:marRight w:val="0"/>
      <w:marTop w:val="0"/>
      <w:marBottom w:val="0"/>
      <w:divBdr>
        <w:top w:val="none" w:sz="0" w:space="0" w:color="auto"/>
        <w:left w:val="none" w:sz="0" w:space="0" w:color="auto"/>
        <w:bottom w:val="none" w:sz="0" w:space="0" w:color="auto"/>
        <w:right w:val="none" w:sz="0" w:space="0" w:color="auto"/>
      </w:divBdr>
    </w:div>
    <w:div w:id="733355846">
      <w:bodyDiv w:val="1"/>
      <w:marLeft w:val="0"/>
      <w:marRight w:val="0"/>
      <w:marTop w:val="0"/>
      <w:marBottom w:val="0"/>
      <w:divBdr>
        <w:top w:val="none" w:sz="0" w:space="0" w:color="auto"/>
        <w:left w:val="none" w:sz="0" w:space="0" w:color="auto"/>
        <w:bottom w:val="none" w:sz="0" w:space="0" w:color="auto"/>
        <w:right w:val="none" w:sz="0" w:space="0" w:color="auto"/>
      </w:divBdr>
    </w:div>
    <w:div w:id="738284262">
      <w:bodyDiv w:val="1"/>
      <w:marLeft w:val="0"/>
      <w:marRight w:val="0"/>
      <w:marTop w:val="0"/>
      <w:marBottom w:val="0"/>
      <w:divBdr>
        <w:top w:val="none" w:sz="0" w:space="0" w:color="auto"/>
        <w:left w:val="none" w:sz="0" w:space="0" w:color="auto"/>
        <w:bottom w:val="none" w:sz="0" w:space="0" w:color="auto"/>
        <w:right w:val="none" w:sz="0" w:space="0" w:color="auto"/>
      </w:divBdr>
    </w:div>
    <w:div w:id="741566492">
      <w:bodyDiv w:val="1"/>
      <w:marLeft w:val="0"/>
      <w:marRight w:val="0"/>
      <w:marTop w:val="0"/>
      <w:marBottom w:val="0"/>
      <w:divBdr>
        <w:top w:val="none" w:sz="0" w:space="0" w:color="auto"/>
        <w:left w:val="none" w:sz="0" w:space="0" w:color="auto"/>
        <w:bottom w:val="none" w:sz="0" w:space="0" w:color="auto"/>
        <w:right w:val="none" w:sz="0" w:space="0" w:color="auto"/>
      </w:divBdr>
      <w:divsChild>
        <w:div w:id="1452242660">
          <w:marLeft w:val="0"/>
          <w:marRight w:val="0"/>
          <w:marTop w:val="0"/>
          <w:marBottom w:val="0"/>
          <w:divBdr>
            <w:top w:val="none" w:sz="0" w:space="0" w:color="auto"/>
            <w:left w:val="none" w:sz="0" w:space="0" w:color="auto"/>
            <w:bottom w:val="none" w:sz="0" w:space="0" w:color="auto"/>
            <w:right w:val="none" w:sz="0" w:space="0" w:color="auto"/>
          </w:divBdr>
          <w:divsChild>
            <w:div w:id="181568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05132">
      <w:bodyDiv w:val="1"/>
      <w:marLeft w:val="0"/>
      <w:marRight w:val="0"/>
      <w:marTop w:val="0"/>
      <w:marBottom w:val="0"/>
      <w:divBdr>
        <w:top w:val="none" w:sz="0" w:space="0" w:color="auto"/>
        <w:left w:val="none" w:sz="0" w:space="0" w:color="auto"/>
        <w:bottom w:val="none" w:sz="0" w:space="0" w:color="auto"/>
        <w:right w:val="none" w:sz="0" w:space="0" w:color="auto"/>
      </w:divBdr>
    </w:div>
    <w:div w:id="758794767">
      <w:bodyDiv w:val="1"/>
      <w:marLeft w:val="0"/>
      <w:marRight w:val="0"/>
      <w:marTop w:val="0"/>
      <w:marBottom w:val="0"/>
      <w:divBdr>
        <w:top w:val="none" w:sz="0" w:space="0" w:color="auto"/>
        <w:left w:val="none" w:sz="0" w:space="0" w:color="auto"/>
        <w:bottom w:val="none" w:sz="0" w:space="0" w:color="auto"/>
        <w:right w:val="none" w:sz="0" w:space="0" w:color="auto"/>
      </w:divBdr>
    </w:div>
    <w:div w:id="790787256">
      <w:bodyDiv w:val="1"/>
      <w:marLeft w:val="0"/>
      <w:marRight w:val="0"/>
      <w:marTop w:val="0"/>
      <w:marBottom w:val="0"/>
      <w:divBdr>
        <w:top w:val="none" w:sz="0" w:space="0" w:color="auto"/>
        <w:left w:val="none" w:sz="0" w:space="0" w:color="auto"/>
        <w:bottom w:val="none" w:sz="0" w:space="0" w:color="auto"/>
        <w:right w:val="none" w:sz="0" w:space="0" w:color="auto"/>
      </w:divBdr>
    </w:div>
    <w:div w:id="794568373">
      <w:bodyDiv w:val="1"/>
      <w:marLeft w:val="0"/>
      <w:marRight w:val="0"/>
      <w:marTop w:val="0"/>
      <w:marBottom w:val="0"/>
      <w:divBdr>
        <w:top w:val="none" w:sz="0" w:space="0" w:color="auto"/>
        <w:left w:val="none" w:sz="0" w:space="0" w:color="auto"/>
        <w:bottom w:val="none" w:sz="0" w:space="0" w:color="auto"/>
        <w:right w:val="none" w:sz="0" w:space="0" w:color="auto"/>
      </w:divBdr>
    </w:div>
    <w:div w:id="819924657">
      <w:bodyDiv w:val="1"/>
      <w:marLeft w:val="0"/>
      <w:marRight w:val="0"/>
      <w:marTop w:val="0"/>
      <w:marBottom w:val="0"/>
      <w:divBdr>
        <w:top w:val="none" w:sz="0" w:space="0" w:color="auto"/>
        <w:left w:val="none" w:sz="0" w:space="0" w:color="auto"/>
        <w:bottom w:val="none" w:sz="0" w:space="0" w:color="auto"/>
        <w:right w:val="none" w:sz="0" w:space="0" w:color="auto"/>
      </w:divBdr>
    </w:div>
    <w:div w:id="831340139">
      <w:bodyDiv w:val="1"/>
      <w:marLeft w:val="0"/>
      <w:marRight w:val="0"/>
      <w:marTop w:val="0"/>
      <w:marBottom w:val="0"/>
      <w:divBdr>
        <w:top w:val="none" w:sz="0" w:space="0" w:color="auto"/>
        <w:left w:val="none" w:sz="0" w:space="0" w:color="auto"/>
        <w:bottom w:val="none" w:sz="0" w:space="0" w:color="auto"/>
        <w:right w:val="none" w:sz="0" w:space="0" w:color="auto"/>
      </w:divBdr>
      <w:divsChild>
        <w:div w:id="1710032417">
          <w:marLeft w:val="0"/>
          <w:marRight w:val="0"/>
          <w:marTop w:val="0"/>
          <w:marBottom w:val="0"/>
          <w:divBdr>
            <w:top w:val="none" w:sz="0" w:space="0" w:color="auto"/>
            <w:left w:val="none" w:sz="0" w:space="0" w:color="auto"/>
            <w:bottom w:val="none" w:sz="0" w:space="0" w:color="auto"/>
            <w:right w:val="none" w:sz="0" w:space="0" w:color="auto"/>
          </w:divBdr>
          <w:divsChild>
            <w:div w:id="35488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40148">
      <w:bodyDiv w:val="1"/>
      <w:marLeft w:val="0"/>
      <w:marRight w:val="0"/>
      <w:marTop w:val="0"/>
      <w:marBottom w:val="0"/>
      <w:divBdr>
        <w:top w:val="none" w:sz="0" w:space="0" w:color="auto"/>
        <w:left w:val="none" w:sz="0" w:space="0" w:color="auto"/>
        <w:bottom w:val="none" w:sz="0" w:space="0" w:color="auto"/>
        <w:right w:val="none" w:sz="0" w:space="0" w:color="auto"/>
      </w:divBdr>
    </w:div>
    <w:div w:id="834223643">
      <w:bodyDiv w:val="1"/>
      <w:marLeft w:val="0"/>
      <w:marRight w:val="0"/>
      <w:marTop w:val="0"/>
      <w:marBottom w:val="0"/>
      <w:divBdr>
        <w:top w:val="none" w:sz="0" w:space="0" w:color="auto"/>
        <w:left w:val="none" w:sz="0" w:space="0" w:color="auto"/>
        <w:bottom w:val="none" w:sz="0" w:space="0" w:color="auto"/>
        <w:right w:val="none" w:sz="0" w:space="0" w:color="auto"/>
      </w:divBdr>
    </w:div>
    <w:div w:id="841748241">
      <w:bodyDiv w:val="1"/>
      <w:marLeft w:val="0"/>
      <w:marRight w:val="0"/>
      <w:marTop w:val="0"/>
      <w:marBottom w:val="0"/>
      <w:divBdr>
        <w:top w:val="none" w:sz="0" w:space="0" w:color="auto"/>
        <w:left w:val="none" w:sz="0" w:space="0" w:color="auto"/>
        <w:bottom w:val="none" w:sz="0" w:space="0" w:color="auto"/>
        <w:right w:val="none" w:sz="0" w:space="0" w:color="auto"/>
      </w:divBdr>
    </w:div>
    <w:div w:id="843476220">
      <w:bodyDiv w:val="1"/>
      <w:marLeft w:val="0"/>
      <w:marRight w:val="0"/>
      <w:marTop w:val="0"/>
      <w:marBottom w:val="0"/>
      <w:divBdr>
        <w:top w:val="none" w:sz="0" w:space="0" w:color="auto"/>
        <w:left w:val="none" w:sz="0" w:space="0" w:color="auto"/>
        <w:bottom w:val="none" w:sz="0" w:space="0" w:color="auto"/>
        <w:right w:val="none" w:sz="0" w:space="0" w:color="auto"/>
      </w:divBdr>
    </w:div>
    <w:div w:id="859126332">
      <w:bodyDiv w:val="1"/>
      <w:marLeft w:val="0"/>
      <w:marRight w:val="0"/>
      <w:marTop w:val="0"/>
      <w:marBottom w:val="0"/>
      <w:divBdr>
        <w:top w:val="none" w:sz="0" w:space="0" w:color="auto"/>
        <w:left w:val="none" w:sz="0" w:space="0" w:color="auto"/>
        <w:bottom w:val="none" w:sz="0" w:space="0" w:color="auto"/>
        <w:right w:val="none" w:sz="0" w:space="0" w:color="auto"/>
      </w:divBdr>
    </w:div>
    <w:div w:id="861167756">
      <w:bodyDiv w:val="1"/>
      <w:marLeft w:val="0"/>
      <w:marRight w:val="0"/>
      <w:marTop w:val="0"/>
      <w:marBottom w:val="0"/>
      <w:divBdr>
        <w:top w:val="none" w:sz="0" w:space="0" w:color="auto"/>
        <w:left w:val="none" w:sz="0" w:space="0" w:color="auto"/>
        <w:bottom w:val="none" w:sz="0" w:space="0" w:color="auto"/>
        <w:right w:val="none" w:sz="0" w:space="0" w:color="auto"/>
      </w:divBdr>
    </w:div>
    <w:div w:id="871697511">
      <w:bodyDiv w:val="1"/>
      <w:marLeft w:val="0"/>
      <w:marRight w:val="0"/>
      <w:marTop w:val="0"/>
      <w:marBottom w:val="0"/>
      <w:divBdr>
        <w:top w:val="none" w:sz="0" w:space="0" w:color="auto"/>
        <w:left w:val="none" w:sz="0" w:space="0" w:color="auto"/>
        <w:bottom w:val="none" w:sz="0" w:space="0" w:color="auto"/>
        <w:right w:val="none" w:sz="0" w:space="0" w:color="auto"/>
      </w:divBdr>
    </w:div>
    <w:div w:id="872379053">
      <w:bodyDiv w:val="1"/>
      <w:marLeft w:val="0"/>
      <w:marRight w:val="0"/>
      <w:marTop w:val="0"/>
      <w:marBottom w:val="0"/>
      <w:divBdr>
        <w:top w:val="none" w:sz="0" w:space="0" w:color="auto"/>
        <w:left w:val="none" w:sz="0" w:space="0" w:color="auto"/>
        <w:bottom w:val="none" w:sz="0" w:space="0" w:color="auto"/>
        <w:right w:val="none" w:sz="0" w:space="0" w:color="auto"/>
      </w:divBdr>
    </w:div>
    <w:div w:id="887843739">
      <w:bodyDiv w:val="1"/>
      <w:marLeft w:val="0"/>
      <w:marRight w:val="0"/>
      <w:marTop w:val="0"/>
      <w:marBottom w:val="0"/>
      <w:divBdr>
        <w:top w:val="none" w:sz="0" w:space="0" w:color="auto"/>
        <w:left w:val="none" w:sz="0" w:space="0" w:color="auto"/>
        <w:bottom w:val="none" w:sz="0" w:space="0" w:color="auto"/>
        <w:right w:val="none" w:sz="0" w:space="0" w:color="auto"/>
      </w:divBdr>
    </w:div>
    <w:div w:id="902956483">
      <w:bodyDiv w:val="1"/>
      <w:marLeft w:val="0"/>
      <w:marRight w:val="0"/>
      <w:marTop w:val="0"/>
      <w:marBottom w:val="0"/>
      <w:divBdr>
        <w:top w:val="none" w:sz="0" w:space="0" w:color="auto"/>
        <w:left w:val="none" w:sz="0" w:space="0" w:color="auto"/>
        <w:bottom w:val="none" w:sz="0" w:space="0" w:color="auto"/>
        <w:right w:val="none" w:sz="0" w:space="0" w:color="auto"/>
      </w:divBdr>
    </w:div>
    <w:div w:id="903491093">
      <w:bodyDiv w:val="1"/>
      <w:marLeft w:val="0"/>
      <w:marRight w:val="0"/>
      <w:marTop w:val="0"/>
      <w:marBottom w:val="0"/>
      <w:divBdr>
        <w:top w:val="none" w:sz="0" w:space="0" w:color="auto"/>
        <w:left w:val="none" w:sz="0" w:space="0" w:color="auto"/>
        <w:bottom w:val="none" w:sz="0" w:space="0" w:color="auto"/>
        <w:right w:val="none" w:sz="0" w:space="0" w:color="auto"/>
      </w:divBdr>
    </w:div>
    <w:div w:id="916936171">
      <w:bodyDiv w:val="1"/>
      <w:marLeft w:val="0"/>
      <w:marRight w:val="0"/>
      <w:marTop w:val="0"/>
      <w:marBottom w:val="0"/>
      <w:divBdr>
        <w:top w:val="none" w:sz="0" w:space="0" w:color="auto"/>
        <w:left w:val="none" w:sz="0" w:space="0" w:color="auto"/>
        <w:bottom w:val="none" w:sz="0" w:space="0" w:color="auto"/>
        <w:right w:val="none" w:sz="0" w:space="0" w:color="auto"/>
      </w:divBdr>
    </w:div>
    <w:div w:id="938803230">
      <w:bodyDiv w:val="1"/>
      <w:marLeft w:val="0"/>
      <w:marRight w:val="0"/>
      <w:marTop w:val="0"/>
      <w:marBottom w:val="0"/>
      <w:divBdr>
        <w:top w:val="none" w:sz="0" w:space="0" w:color="auto"/>
        <w:left w:val="none" w:sz="0" w:space="0" w:color="auto"/>
        <w:bottom w:val="none" w:sz="0" w:space="0" w:color="auto"/>
        <w:right w:val="none" w:sz="0" w:space="0" w:color="auto"/>
      </w:divBdr>
      <w:divsChild>
        <w:div w:id="1840190270">
          <w:marLeft w:val="0"/>
          <w:marRight w:val="0"/>
          <w:marTop w:val="0"/>
          <w:marBottom w:val="0"/>
          <w:divBdr>
            <w:top w:val="none" w:sz="0" w:space="0" w:color="auto"/>
            <w:left w:val="none" w:sz="0" w:space="0" w:color="auto"/>
            <w:bottom w:val="none" w:sz="0" w:space="0" w:color="auto"/>
            <w:right w:val="none" w:sz="0" w:space="0" w:color="auto"/>
          </w:divBdr>
          <w:divsChild>
            <w:div w:id="115240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22660">
      <w:bodyDiv w:val="1"/>
      <w:marLeft w:val="0"/>
      <w:marRight w:val="0"/>
      <w:marTop w:val="0"/>
      <w:marBottom w:val="0"/>
      <w:divBdr>
        <w:top w:val="none" w:sz="0" w:space="0" w:color="auto"/>
        <w:left w:val="none" w:sz="0" w:space="0" w:color="auto"/>
        <w:bottom w:val="none" w:sz="0" w:space="0" w:color="auto"/>
        <w:right w:val="none" w:sz="0" w:space="0" w:color="auto"/>
      </w:divBdr>
    </w:div>
    <w:div w:id="943539724">
      <w:bodyDiv w:val="1"/>
      <w:marLeft w:val="0"/>
      <w:marRight w:val="0"/>
      <w:marTop w:val="0"/>
      <w:marBottom w:val="0"/>
      <w:divBdr>
        <w:top w:val="none" w:sz="0" w:space="0" w:color="auto"/>
        <w:left w:val="none" w:sz="0" w:space="0" w:color="auto"/>
        <w:bottom w:val="none" w:sz="0" w:space="0" w:color="auto"/>
        <w:right w:val="none" w:sz="0" w:space="0" w:color="auto"/>
      </w:divBdr>
    </w:div>
    <w:div w:id="944003778">
      <w:bodyDiv w:val="1"/>
      <w:marLeft w:val="0"/>
      <w:marRight w:val="0"/>
      <w:marTop w:val="0"/>
      <w:marBottom w:val="0"/>
      <w:divBdr>
        <w:top w:val="none" w:sz="0" w:space="0" w:color="auto"/>
        <w:left w:val="none" w:sz="0" w:space="0" w:color="auto"/>
        <w:bottom w:val="none" w:sz="0" w:space="0" w:color="auto"/>
        <w:right w:val="none" w:sz="0" w:space="0" w:color="auto"/>
      </w:divBdr>
    </w:div>
    <w:div w:id="989940797">
      <w:bodyDiv w:val="1"/>
      <w:marLeft w:val="0"/>
      <w:marRight w:val="0"/>
      <w:marTop w:val="0"/>
      <w:marBottom w:val="0"/>
      <w:divBdr>
        <w:top w:val="none" w:sz="0" w:space="0" w:color="auto"/>
        <w:left w:val="none" w:sz="0" w:space="0" w:color="auto"/>
        <w:bottom w:val="none" w:sz="0" w:space="0" w:color="auto"/>
        <w:right w:val="none" w:sz="0" w:space="0" w:color="auto"/>
      </w:divBdr>
    </w:div>
    <w:div w:id="1021399150">
      <w:bodyDiv w:val="1"/>
      <w:marLeft w:val="0"/>
      <w:marRight w:val="0"/>
      <w:marTop w:val="0"/>
      <w:marBottom w:val="0"/>
      <w:divBdr>
        <w:top w:val="none" w:sz="0" w:space="0" w:color="auto"/>
        <w:left w:val="none" w:sz="0" w:space="0" w:color="auto"/>
        <w:bottom w:val="none" w:sz="0" w:space="0" w:color="auto"/>
        <w:right w:val="none" w:sz="0" w:space="0" w:color="auto"/>
      </w:divBdr>
    </w:div>
    <w:div w:id="1048840483">
      <w:bodyDiv w:val="1"/>
      <w:marLeft w:val="0"/>
      <w:marRight w:val="0"/>
      <w:marTop w:val="0"/>
      <w:marBottom w:val="0"/>
      <w:divBdr>
        <w:top w:val="none" w:sz="0" w:space="0" w:color="auto"/>
        <w:left w:val="none" w:sz="0" w:space="0" w:color="auto"/>
        <w:bottom w:val="none" w:sz="0" w:space="0" w:color="auto"/>
        <w:right w:val="none" w:sz="0" w:space="0" w:color="auto"/>
      </w:divBdr>
    </w:div>
    <w:div w:id="1049379218">
      <w:bodyDiv w:val="1"/>
      <w:marLeft w:val="0"/>
      <w:marRight w:val="0"/>
      <w:marTop w:val="0"/>
      <w:marBottom w:val="0"/>
      <w:divBdr>
        <w:top w:val="none" w:sz="0" w:space="0" w:color="auto"/>
        <w:left w:val="none" w:sz="0" w:space="0" w:color="auto"/>
        <w:bottom w:val="none" w:sz="0" w:space="0" w:color="auto"/>
        <w:right w:val="none" w:sz="0" w:space="0" w:color="auto"/>
      </w:divBdr>
    </w:div>
    <w:div w:id="1058936417">
      <w:bodyDiv w:val="1"/>
      <w:marLeft w:val="0"/>
      <w:marRight w:val="0"/>
      <w:marTop w:val="0"/>
      <w:marBottom w:val="0"/>
      <w:divBdr>
        <w:top w:val="none" w:sz="0" w:space="0" w:color="auto"/>
        <w:left w:val="none" w:sz="0" w:space="0" w:color="auto"/>
        <w:bottom w:val="none" w:sz="0" w:space="0" w:color="auto"/>
        <w:right w:val="none" w:sz="0" w:space="0" w:color="auto"/>
      </w:divBdr>
    </w:div>
    <w:div w:id="1061051733">
      <w:bodyDiv w:val="1"/>
      <w:marLeft w:val="0"/>
      <w:marRight w:val="0"/>
      <w:marTop w:val="0"/>
      <w:marBottom w:val="0"/>
      <w:divBdr>
        <w:top w:val="none" w:sz="0" w:space="0" w:color="auto"/>
        <w:left w:val="none" w:sz="0" w:space="0" w:color="auto"/>
        <w:bottom w:val="none" w:sz="0" w:space="0" w:color="auto"/>
        <w:right w:val="none" w:sz="0" w:space="0" w:color="auto"/>
      </w:divBdr>
    </w:div>
    <w:div w:id="1064568837">
      <w:bodyDiv w:val="1"/>
      <w:marLeft w:val="0"/>
      <w:marRight w:val="0"/>
      <w:marTop w:val="0"/>
      <w:marBottom w:val="0"/>
      <w:divBdr>
        <w:top w:val="none" w:sz="0" w:space="0" w:color="auto"/>
        <w:left w:val="none" w:sz="0" w:space="0" w:color="auto"/>
        <w:bottom w:val="none" w:sz="0" w:space="0" w:color="auto"/>
        <w:right w:val="none" w:sz="0" w:space="0" w:color="auto"/>
      </w:divBdr>
    </w:div>
    <w:div w:id="1071927291">
      <w:bodyDiv w:val="1"/>
      <w:marLeft w:val="0"/>
      <w:marRight w:val="0"/>
      <w:marTop w:val="0"/>
      <w:marBottom w:val="0"/>
      <w:divBdr>
        <w:top w:val="none" w:sz="0" w:space="0" w:color="auto"/>
        <w:left w:val="none" w:sz="0" w:space="0" w:color="auto"/>
        <w:bottom w:val="none" w:sz="0" w:space="0" w:color="auto"/>
        <w:right w:val="none" w:sz="0" w:space="0" w:color="auto"/>
      </w:divBdr>
    </w:div>
    <w:div w:id="1090740706">
      <w:bodyDiv w:val="1"/>
      <w:marLeft w:val="0"/>
      <w:marRight w:val="0"/>
      <w:marTop w:val="0"/>
      <w:marBottom w:val="0"/>
      <w:divBdr>
        <w:top w:val="none" w:sz="0" w:space="0" w:color="auto"/>
        <w:left w:val="none" w:sz="0" w:space="0" w:color="auto"/>
        <w:bottom w:val="none" w:sz="0" w:space="0" w:color="auto"/>
        <w:right w:val="none" w:sz="0" w:space="0" w:color="auto"/>
      </w:divBdr>
    </w:div>
    <w:div w:id="1096906928">
      <w:bodyDiv w:val="1"/>
      <w:marLeft w:val="0"/>
      <w:marRight w:val="0"/>
      <w:marTop w:val="0"/>
      <w:marBottom w:val="0"/>
      <w:divBdr>
        <w:top w:val="none" w:sz="0" w:space="0" w:color="auto"/>
        <w:left w:val="none" w:sz="0" w:space="0" w:color="auto"/>
        <w:bottom w:val="none" w:sz="0" w:space="0" w:color="auto"/>
        <w:right w:val="none" w:sz="0" w:space="0" w:color="auto"/>
      </w:divBdr>
    </w:div>
    <w:div w:id="1098209977">
      <w:bodyDiv w:val="1"/>
      <w:marLeft w:val="0"/>
      <w:marRight w:val="0"/>
      <w:marTop w:val="0"/>
      <w:marBottom w:val="0"/>
      <w:divBdr>
        <w:top w:val="none" w:sz="0" w:space="0" w:color="auto"/>
        <w:left w:val="none" w:sz="0" w:space="0" w:color="auto"/>
        <w:bottom w:val="none" w:sz="0" w:space="0" w:color="auto"/>
        <w:right w:val="none" w:sz="0" w:space="0" w:color="auto"/>
      </w:divBdr>
    </w:div>
    <w:div w:id="1114786119">
      <w:bodyDiv w:val="1"/>
      <w:marLeft w:val="0"/>
      <w:marRight w:val="0"/>
      <w:marTop w:val="0"/>
      <w:marBottom w:val="0"/>
      <w:divBdr>
        <w:top w:val="none" w:sz="0" w:space="0" w:color="auto"/>
        <w:left w:val="none" w:sz="0" w:space="0" w:color="auto"/>
        <w:bottom w:val="none" w:sz="0" w:space="0" w:color="auto"/>
        <w:right w:val="none" w:sz="0" w:space="0" w:color="auto"/>
      </w:divBdr>
    </w:div>
    <w:div w:id="1120301029">
      <w:bodyDiv w:val="1"/>
      <w:marLeft w:val="0"/>
      <w:marRight w:val="0"/>
      <w:marTop w:val="0"/>
      <w:marBottom w:val="0"/>
      <w:divBdr>
        <w:top w:val="none" w:sz="0" w:space="0" w:color="auto"/>
        <w:left w:val="none" w:sz="0" w:space="0" w:color="auto"/>
        <w:bottom w:val="none" w:sz="0" w:space="0" w:color="auto"/>
        <w:right w:val="none" w:sz="0" w:space="0" w:color="auto"/>
      </w:divBdr>
    </w:div>
    <w:div w:id="1122112274">
      <w:bodyDiv w:val="1"/>
      <w:marLeft w:val="0"/>
      <w:marRight w:val="0"/>
      <w:marTop w:val="0"/>
      <w:marBottom w:val="0"/>
      <w:divBdr>
        <w:top w:val="none" w:sz="0" w:space="0" w:color="auto"/>
        <w:left w:val="none" w:sz="0" w:space="0" w:color="auto"/>
        <w:bottom w:val="none" w:sz="0" w:space="0" w:color="auto"/>
        <w:right w:val="none" w:sz="0" w:space="0" w:color="auto"/>
      </w:divBdr>
    </w:div>
    <w:div w:id="1123692131">
      <w:bodyDiv w:val="1"/>
      <w:marLeft w:val="0"/>
      <w:marRight w:val="0"/>
      <w:marTop w:val="0"/>
      <w:marBottom w:val="0"/>
      <w:divBdr>
        <w:top w:val="none" w:sz="0" w:space="0" w:color="auto"/>
        <w:left w:val="none" w:sz="0" w:space="0" w:color="auto"/>
        <w:bottom w:val="none" w:sz="0" w:space="0" w:color="auto"/>
        <w:right w:val="none" w:sz="0" w:space="0" w:color="auto"/>
      </w:divBdr>
    </w:div>
    <w:div w:id="1124691408">
      <w:bodyDiv w:val="1"/>
      <w:marLeft w:val="0"/>
      <w:marRight w:val="0"/>
      <w:marTop w:val="0"/>
      <w:marBottom w:val="0"/>
      <w:divBdr>
        <w:top w:val="none" w:sz="0" w:space="0" w:color="auto"/>
        <w:left w:val="none" w:sz="0" w:space="0" w:color="auto"/>
        <w:bottom w:val="none" w:sz="0" w:space="0" w:color="auto"/>
        <w:right w:val="none" w:sz="0" w:space="0" w:color="auto"/>
      </w:divBdr>
    </w:div>
    <w:div w:id="1130392755">
      <w:bodyDiv w:val="1"/>
      <w:marLeft w:val="0"/>
      <w:marRight w:val="0"/>
      <w:marTop w:val="0"/>
      <w:marBottom w:val="0"/>
      <w:divBdr>
        <w:top w:val="none" w:sz="0" w:space="0" w:color="auto"/>
        <w:left w:val="none" w:sz="0" w:space="0" w:color="auto"/>
        <w:bottom w:val="none" w:sz="0" w:space="0" w:color="auto"/>
        <w:right w:val="none" w:sz="0" w:space="0" w:color="auto"/>
      </w:divBdr>
    </w:div>
    <w:div w:id="1136794317">
      <w:bodyDiv w:val="1"/>
      <w:marLeft w:val="0"/>
      <w:marRight w:val="0"/>
      <w:marTop w:val="0"/>
      <w:marBottom w:val="0"/>
      <w:divBdr>
        <w:top w:val="none" w:sz="0" w:space="0" w:color="auto"/>
        <w:left w:val="none" w:sz="0" w:space="0" w:color="auto"/>
        <w:bottom w:val="none" w:sz="0" w:space="0" w:color="auto"/>
        <w:right w:val="none" w:sz="0" w:space="0" w:color="auto"/>
      </w:divBdr>
      <w:divsChild>
        <w:div w:id="1864706800">
          <w:marLeft w:val="480"/>
          <w:marRight w:val="0"/>
          <w:marTop w:val="0"/>
          <w:marBottom w:val="0"/>
          <w:divBdr>
            <w:top w:val="none" w:sz="0" w:space="0" w:color="auto"/>
            <w:left w:val="none" w:sz="0" w:space="0" w:color="auto"/>
            <w:bottom w:val="none" w:sz="0" w:space="0" w:color="auto"/>
            <w:right w:val="none" w:sz="0" w:space="0" w:color="auto"/>
          </w:divBdr>
          <w:divsChild>
            <w:div w:id="15630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91050">
      <w:bodyDiv w:val="1"/>
      <w:marLeft w:val="0"/>
      <w:marRight w:val="0"/>
      <w:marTop w:val="0"/>
      <w:marBottom w:val="0"/>
      <w:divBdr>
        <w:top w:val="none" w:sz="0" w:space="0" w:color="auto"/>
        <w:left w:val="none" w:sz="0" w:space="0" w:color="auto"/>
        <w:bottom w:val="none" w:sz="0" w:space="0" w:color="auto"/>
        <w:right w:val="none" w:sz="0" w:space="0" w:color="auto"/>
      </w:divBdr>
    </w:div>
    <w:div w:id="1155411744">
      <w:bodyDiv w:val="1"/>
      <w:marLeft w:val="0"/>
      <w:marRight w:val="0"/>
      <w:marTop w:val="0"/>
      <w:marBottom w:val="0"/>
      <w:divBdr>
        <w:top w:val="none" w:sz="0" w:space="0" w:color="auto"/>
        <w:left w:val="none" w:sz="0" w:space="0" w:color="auto"/>
        <w:bottom w:val="none" w:sz="0" w:space="0" w:color="auto"/>
        <w:right w:val="none" w:sz="0" w:space="0" w:color="auto"/>
      </w:divBdr>
    </w:div>
    <w:div w:id="1185636034">
      <w:bodyDiv w:val="1"/>
      <w:marLeft w:val="0"/>
      <w:marRight w:val="0"/>
      <w:marTop w:val="0"/>
      <w:marBottom w:val="0"/>
      <w:divBdr>
        <w:top w:val="none" w:sz="0" w:space="0" w:color="auto"/>
        <w:left w:val="none" w:sz="0" w:space="0" w:color="auto"/>
        <w:bottom w:val="none" w:sz="0" w:space="0" w:color="auto"/>
        <w:right w:val="none" w:sz="0" w:space="0" w:color="auto"/>
      </w:divBdr>
      <w:divsChild>
        <w:div w:id="1466310169">
          <w:marLeft w:val="480"/>
          <w:marRight w:val="0"/>
          <w:marTop w:val="0"/>
          <w:marBottom w:val="0"/>
          <w:divBdr>
            <w:top w:val="none" w:sz="0" w:space="0" w:color="auto"/>
            <w:left w:val="none" w:sz="0" w:space="0" w:color="auto"/>
            <w:bottom w:val="none" w:sz="0" w:space="0" w:color="auto"/>
            <w:right w:val="none" w:sz="0" w:space="0" w:color="auto"/>
          </w:divBdr>
          <w:divsChild>
            <w:div w:id="212874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64811">
      <w:bodyDiv w:val="1"/>
      <w:marLeft w:val="0"/>
      <w:marRight w:val="0"/>
      <w:marTop w:val="0"/>
      <w:marBottom w:val="0"/>
      <w:divBdr>
        <w:top w:val="none" w:sz="0" w:space="0" w:color="auto"/>
        <w:left w:val="none" w:sz="0" w:space="0" w:color="auto"/>
        <w:bottom w:val="none" w:sz="0" w:space="0" w:color="auto"/>
        <w:right w:val="none" w:sz="0" w:space="0" w:color="auto"/>
      </w:divBdr>
      <w:divsChild>
        <w:div w:id="207184594">
          <w:marLeft w:val="480"/>
          <w:marRight w:val="0"/>
          <w:marTop w:val="0"/>
          <w:marBottom w:val="0"/>
          <w:divBdr>
            <w:top w:val="none" w:sz="0" w:space="0" w:color="auto"/>
            <w:left w:val="none" w:sz="0" w:space="0" w:color="auto"/>
            <w:bottom w:val="none" w:sz="0" w:space="0" w:color="auto"/>
            <w:right w:val="none" w:sz="0" w:space="0" w:color="auto"/>
          </w:divBdr>
          <w:divsChild>
            <w:div w:id="40294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81163">
      <w:bodyDiv w:val="1"/>
      <w:marLeft w:val="0"/>
      <w:marRight w:val="0"/>
      <w:marTop w:val="0"/>
      <w:marBottom w:val="0"/>
      <w:divBdr>
        <w:top w:val="none" w:sz="0" w:space="0" w:color="auto"/>
        <w:left w:val="none" w:sz="0" w:space="0" w:color="auto"/>
        <w:bottom w:val="none" w:sz="0" w:space="0" w:color="auto"/>
        <w:right w:val="none" w:sz="0" w:space="0" w:color="auto"/>
      </w:divBdr>
      <w:divsChild>
        <w:div w:id="315569771">
          <w:marLeft w:val="0"/>
          <w:marRight w:val="0"/>
          <w:marTop w:val="0"/>
          <w:marBottom w:val="0"/>
          <w:divBdr>
            <w:top w:val="none" w:sz="0" w:space="0" w:color="auto"/>
            <w:left w:val="none" w:sz="0" w:space="0" w:color="auto"/>
            <w:bottom w:val="none" w:sz="0" w:space="0" w:color="auto"/>
            <w:right w:val="none" w:sz="0" w:space="0" w:color="auto"/>
          </w:divBdr>
          <w:divsChild>
            <w:div w:id="848904971">
              <w:marLeft w:val="0"/>
              <w:marRight w:val="0"/>
              <w:marTop w:val="0"/>
              <w:marBottom w:val="0"/>
              <w:divBdr>
                <w:top w:val="none" w:sz="0" w:space="0" w:color="auto"/>
                <w:left w:val="none" w:sz="0" w:space="0" w:color="auto"/>
                <w:bottom w:val="none" w:sz="0" w:space="0" w:color="auto"/>
                <w:right w:val="none" w:sz="0" w:space="0" w:color="auto"/>
              </w:divBdr>
              <w:divsChild>
                <w:div w:id="98300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673250">
      <w:bodyDiv w:val="1"/>
      <w:marLeft w:val="0"/>
      <w:marRight w:val="0"/>
      <w:marTop w:val="0"/>
      <w:marBottom w:val="0"/>
      <w:divBdr>
        <w:top w:val="none" w:sz="0" w:space="0" w:color="auto"/>
        <w:left w:val="none" w:sz="0" w:space="0" w:color="auto"/>
        <w:bottom w:val="none" w:sz="0" w:space="0" w:color="auto"/>
        <w:right w:val="none" w:sz="0" w:space="0" w:color="auto"/>
      </w:divBdr>
    </w:div>
    <w:div w:id="1199468846">
      <w:bodyDiv w:val="1"/>
      <w:marLeft w:val="0"/>
      <w:marRight w:val="0"/>
      <w:marTop w:val="0"/>
      <w:marBottom w:val="0"/>
      <w:divBdr>
        <w:top w:val="none" w:sz="0" w:space="0" w:color="auto"/>
        <w:left w:val="none" w:sz="0" w:space="0" w:color="auto"/>
        <w:bottom w:val="none" w:sz="0" w:space="0" w:color="auto"/>
        <w:right w:val="none" w:sz="0" w:space="0" w:color="auto"/>
      </w:divBdr>
      <w:divsChild>
        <w:div w:id="233197809">
          <w:marLeft w:val="480"/>
          <w:marRight w:val="0"/>
          <w:marTop w:val="0"/>
          <w:marBottom w:val="0"/>
          <w:divBdr>
            <w:top w:val="none" w:sz="0" w:space="0" w:color="auto"/>
            <w:left w:val="none" w:sz="0" w:space="0" w:color="auto"/>
            <w:bottom w:val="none" w:sz="0" w:space="0" w:color="auto"/>
            <w:right w:val="none" w:sz="0" w:space="0" w:color="auto"/>
          </w:divBdr>
          <w:divsChild>
            <w:div w:id="207331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24906">
      <w:bodyDiv w:val="1"/>
      <w:marLeft w:val="0"/>
      <w:marRight w:val="0"/>
      <w:marTop w:val="0"/>
      <w:marBottom w:val="0"/>
      <w:divBdr>
        <w:top w:val="none" w:sz="0" w:space="0" w:color="auto"/>
        <w:left w:val="none" w:sz="0" w:space="0" w:color="auto"/>
        <w:bottom w:val="none" w:sz="0" w:space="0" w:color="auto"/>
        <w:right w:val="none" w:sz="0" w:space="0" w:color="auto"/>
      </w:divBdr>
    </w:div>
    <w:div w:id="1218857265">
      <w:bodyDiv w:val="1"/>
      <w:marLeft w:val="0"/>
      <w:marRight w:val="0"/>
      <w:marTop w:val="0"/>
      <w:marBottom w:val="0"/>
      <w:divBdr>
        <w:top w:val="none" w:sz="0" w:space="0" w:color="auto"/>
        <w:left w:val="none" w:sz="0" w:space="0" w:color="auto"/>
        <w:bottom w:val="none" w:sz="0" w:space="0" w:color="auto"/>
        <w:right w:val="none" w:sz="0" w:space="0" w:color="auto"/>
      </w:divBdr>
      <w:divsChild>
        <w:div w:id="1734279593">
          <w:marLeft w:val="480"/>
          <w:marRight w:val="0"/>
          <w:marTop w:val="0"/>
          <w:marBottom w:val="0"/>
          <w:divBdr>
            <w:top w:val="none" w:sz="0" w:space="0" w:color="auto"/>
            <w:left w:val="none" w:sz="0" w:space="0" w:color="auto"/>
            <w:bottom w:val="none" w:sz="0" w:space="0" w:color="auto"/>
            <w:right w:val="none" w:sz="0" w:space="0" w:color="auto"/>
          </w:divBdr>
          <w:divsChild>
            <w:div w:id="14270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00833">
      <w:bodyDiv w:val="1"/>
      <w:marLeft w:val="0"/>
      <w:marRight w:val="0"/>
      <w:marTop w:val="0"/>
      <w:marBottom w:val="0"/>
      <w:divBdr>
        <w:top w:val="none" w:sz="0" w:space="0" w:color="auto"/>
        <w:left w:val="none" w:sz="0" w:space="0" w:color="auto"/>
        <w:bottom w:val="none" w:sz="0" w:space="0" w:color="auto"/>
        <w:right w:val="none" w:sz="0" w:space="0" w:color="auto"/>
      </w:divBdr>
      <w:divsChild>
        <w:div w:id="697123059">
          <w:marLeft w:val="0"/>
          <w:marRight w:val="0"/>
          <w:marTop w:val="0"/>
          <w:marBottom w:val="0"/>
          <w:divBdr>
            <w:top w:val="none" w:sz="0" w:space="0" w:color="auto"/>
            <w:left w:val="none" w:sz="0" w:space="0" w:color="auto"/>
            <w:bottom w:val="none" w:sz="0" w:space="0" w:color="auto"/>
            <w:right w:val="none" w:sz="0" w:space="0" w:color="auto"/>
          </w:divBdr>
          <w:divsChild>
            <w:div w:id="1592813142">
              <w:marLeft w:val="0"/>
              <w:marRight w:val="0"/>
              <w:marTop w:val="0"/>
              <w:marBottom w:val="0"/>
              <w:divBdr>
                <w:top w:val="none" w:sz="0" w:space="0" w:color="auto"/>
                <w:left w:val="none" w:sz="0" w:space="0" w:color="auto"/>
                <w:bottom w:val="none" w:sz="0" w:space="0" w:color="auto"/>
                <w:right w:val="none" w:sz="0" w:space="0" w:color="auto"/>
              </w:divBdr>
              <w:divsChild>
                <w:div w:id="123072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505942">
      <w:bodyDiv w:val="1"/>
      <w:marLeft w:val="0"/>
      <w:marRight w:val="0"/>
      <w:marTop w:val="0"/>
      <w:marBottom w:val="0"/>
      <w:divBdr>
        <w:top w:val="none" w:sz="0" w:space="0" w:color="auto"/>
        <w:left w:val="none" w:sz="0" w:space="0" w:color="auto"/>
        <w:bottom w:val="none" w:sz="0" w:space="0" w:color="auto"/>
        <w:right w:val="none" w:sz="0" w:space="0" w:color="auto"/>
      </w:divBdr>
    </w:div>
    <w:div w:id="1239287323">
      <w:bodyDiv w:val="1"/>
      <w:marLeft w:val="0"/>
      <w:marRight w:val="0"/>
      <w:marTop w:val="0"/>
      <w:marBottom w:val="0"/>
      <w:divBdr>
        <w:top w:val="none" w:sz="0" w:space="0" w:color="auto"/>
        <w:left w:val="none" w:sz="0" w:space="0" w:color="auto"/>
        <w:bottom w:val="none" w:sz="0" w:space="0" w:color="auto"/>
        <w:right w:val="none" w:sz="0" w:space="0" w:color="auto"/>
      </w:divBdr>
    </w:div>
    <w:div w:id="1244604998">
      <w:bodyDiv w:val="1"/>
      <w:marLeft w:val="0"/>
      <w:marRight w:val="0"/>
      <w:marTop w:val="0"/>
      <w:marBottom w:val="0"/>
      <w:divBdr>
        <w:top w:val="none" w:sz="0" w:space="0" w:color="auto"/>
        <w:left w:val="none" w:sz="0" w:space="0" w:color="auto"/>
        <w:bottom w:val="none" w:sz="0" w:space="0" w:color="auto"/>
        <w:right w:val="none" w:sz="0" w:space="0" w:color="auto"/>
      </w:divBdr>
    </w:div>
    <w:div w:id="1247811115">
      <w:bodyDiv w:val="1"/>
      <w:marLeft w:val="0"/>
      <w:marRight w:val="0"/>
      <w:marTop w:val="0"/>
      <w:marBottom w:val="0"/>
      <w:divBdr>
        <w:top w:val="none" w:sz="0" w:space="0" w:color="auto"/>
        <w:left w:val="none" w:sz="0" w:space="0" w:color="auto"/>
        <w:bottom w:val="none" w:sz="0" w:space="0" w:color="auto"/>
        <w:right w:val="none" w:sz="0" w:space="0" w:color="auto"/>
      </w:divBdr>
    </w:div>
    <w:div w:id="1248806272">
      <w:bodyDiv w:val="1"/>
      <w:marLeft w:val="0"/>
      <w:marRight w:val="0"/>
      <w:marTop w:val="0"/>
      <w:marBottom w:val="0"/>
      <w:divBdr>
        <w:top w:val="none" w:sz="0" w:space="0" w:color="auto"/>
        <w:left w:val="none" w:sz="0" w:space="0" w:color="auto"/>
        <w:bottom w:val="none" w:sz="0" w:space="0" w:color="auto"/>
        <w:right w:val="none" w:sz="0" w:space="0" w:color="auto"/>
      </w:divBdr>
      <w:divsChild>
        <w:div w:id="1875996628">
          <w:marLeft w:val="0"/>
          <w:marRight w:val="0"/>
          <w:marTop w:val="0"/>
          <w:marBottom w:val="0"/>
          <w:divBdr>
            <w:top w:val="none" w:sz="0" w:space="0" w:color="auto"/>
            <w:left w:val="none" w:sz="0" w:space="0" w:color="auto"/>
            <w:bottom w:val="none" w:sz="0" w:space="0" w:color="auto"/>
            <w:right w:val="none" w:sz="0" w:space="0" w:color="auto"/>
          </w:divBdr>
          <w:divsChild>
            <w:div w:id="172840448">
              <w:marLeft w:val="0"/>
              <w:marRight w:val="0"/>
              <w:marTop w:val="0"/>
              <w:marBottom w:val="0"/>
              <w:divBdr>
                <w:top w:val="none" w:sz="0" w:space="0" w:color="auto"/>
                <w:left w:val="none" w:sz="0" w:space="0" w:color="auto"/>
                <w:bottom w:val="none" w:sz="0" w:space="0" w:color="auto"/>
                <w:right w:val="none" w:sz="0" w:space="0" w:color="auto"/>
              </w:divBdr>
              <w:divsChild>
                <w:div w:id="2067681139">
                  <w:marLeft w:val="0"/>
                  <w:marRight w:val="0"/>
                  <w:marTop w:val="0"/>
                  <w:marBottom w:val="0"/>
                  <w:divBdr>
                    <w:top w:val="none" w:sz="0" w:space="0" w:color="auto"/>
                    <w:left w:val="none" w:sz="0" w:space="0" w:color="auto"/>
                    <w:bottom w:val="none" w:sz="0" w:space="0" w:color="auto"/>
                    <w:right w:val="none" w:sz="0" w:space="0" w:color="auto"/>
                  </w:divBdr>
                  <w:divsChild>
                    <w:div w:id="62137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112608">
      <w:bodyDiv w:val="1"/>
      <w:marLeft w:val="0"/>
      <w:marRight w:val="0"/>
      <w:marTop w:val="0"/>
      <w:marBottom w:val="0"/>
      <w:divBdr>
        <w:top w:val="none" w:sz="0" w:space="0" w:color="auto"/>
        <w:left w:val="none" w:sz="0" w:space="0" w:color="auto"/>
        <w:bottom w:val="none" w:sz="0" w:space="0" w:color="auto"/>
        <w:right w:val="none" w:sz="0" w:space="0" w:color="auto"/>
      </w:divBdr>
    </w:div>
    <w:div w:id="1256135865">
      <w:bodyDiv w:val="1"/>
      <w:marLeft w:val="0"/>
      <w:marRight w:val="0"/>
      <w:marTop w:val="0"/>
      <w:marBottom w:val="0"/>
      <w:divBdr>
        <w:top w:val="none" w:sz="0" w:space="0" w:color="auto"/>
        <w:left w:val="none" w:sz="0" w:space="0" w:color="auto"/>
        <w:bottom w:val="none" w:sz="0" w:space="0" w:color="auto"/>
        <w:right w:val="none" w:sz="0" w:space="0" w:color="auto"/>
      </w:divBdr>
    </w:div>
    <w:div w:id="1278368744">
      <w:bodyDiv w:val="1"/>
      <w:marLeft w:val="0"/>
      <w:marRight w:val="0"/>
      <w:marTop w:val="0"/>
      <w:marBottom w:val="0"/>
      <w:divBdr>
        <w:top w:val="none" w:sz="0" w:space="0" w:color="auto"/>
        <w:left w:val="none" w:sz="0" w:space="0" w:color="auto"/>
        <w:bottom w:val="none" w:sz="0" w:space="0" w:color="auto"/>
        <w:right w:val="none" w:sz="0" w:space="0" w:color="auto"/>
      </w:divBdr>
    </w:div>
    <w:div w:id="1283195245">
      <w:bodyDiv w:val="1"/>
      <w:marLeft w:val="0"/>
      <w:marRight w:val="0"/>
      <w:marTop w:val="0"/>
      <w:marBottom w:val="0"/>
      <w:divBdr>
        <w:top w:val="none" w:sz="0" w:space="0" w:color="auto"/>
        <w:left w:val="none" w:sz="0" w:space="0" w:color="auto"/>
        <w:bottom w:val="none" w:sz="0" w:space="0" w:color="auto"/>
        <w:right w:val="none" w:sz="0" w:space="0" w:color="auto"/>
      </w:divBdr>
    </w:div>
    <w:div w:id="1284310289">
      <w:bodyDiv w:val="1"/>
      <w:marLeft w:val="0"/>
      <w:marRight w:val="0"/>
      <w:marTop w:val="0"/>
      <w:marBottom w:val="0"/>
      <w:divBdr>
        <w:top w:val="none" w:sz="0" w:space="0" w:color="auto"/>
        <w:left w:val="none" w:sz="0" w:space="0" w:color="auto"/>
        <w:bottom w:val="none" w:sz="0" w:space="0" w:color="auto"/>
        <w:right w:val="none" w:sz="0" w:space="0" w:color="auto"/>
      </w:divBdr>
    </w:div>
    <w:div w:id="1313831900">
      <w:bodyDiv w:val="1"/>
      <w:marLeft w:val="0"/>
      <w:marRight w:val="0"/>
      <w:marTop w:val="0"/>
      <w:marBottom w:val="0"/>
      <w:divBdr>
        <w:top w:val="none" w:sz="0" w:space="0" w:color="auto"/>
        <w:left w:val="none" w:sz="0" w:space="0" w:color="auto"/>
        <w:bottom w:val="none" w:sz="0" w:space="0" w:color="auto"/>
        <w:right w:val="none" w:sz="0" w:space="0" w:color="auto"/>
      </w:divBdr>
    </w:div>
    <w:div w:id="1317882781">
      <w:bodyDiv w:val="1"/>
      <w:marLeft w:val="0"/>
      <w:marRight w:val="0"/>
      <w:marTop w:val="0"/>
      <w:marBottom w:val="0"/>
      <w:divBdr>
        <w:top w:val="none" w:sz="0" w:space="0" w:color="auto"/>
        <w:left w:val="none" w:sz="0" w:space="0" w:color="auto"/>
        <w:bottom w:val="none" w:sz="0" w:space="0" w:color="auto"/>
        <w:right w:val="none" w:sz="0" w:space="0" w:color="auto"/>
      </w:divBdr>
    </w:div>
    <w:div w:id="1320308671">
      <w:bodyDiv w:val="1"/>
      <w:marLeft w:val="0"/>
      <w:marRight w:val="0"/>
      <w:marTop w:val="0"/>
      <w:marBottom w:val="0"/>
      <w:divBdr>
        <w:top w:val="none" w:sz="0" w:space="0" w:color="auto"/>
        <w:left w:val="none" w:sz="0" w:space="0" w:color="auto"/>
        <w:bottom w:val="none" w:sz="0" w:space="0" w:color="auto"/>
        <w:right w:val="none" w:sz="0" w:space="0" w:color="auto"/>
      </w:divBdr>
    </w:div>
    <w:div w:id="1334143216">
      <w:bodyDiv w:val="1"/>
      <w:marLeft w:val="0"/>
      <w:marRight w:val="0"/>
      <w:marTop w:val="0"/>
      <w:marBottom w:val="0"/>
      <w:divBdr>
        <w:top w:val="none" w:sz="0" w:space="0" w:color="auto"/>
        <w:left w:val="none" w:sz="0" w:space="0" w:color="auto"/>
        <w:bottom w:val="none" w:sz="0" w:space="0" w:color="auto"/>
        <w:right w:val="none" w:sz="0" w:space="0" w:color="auto"/>
      </w:divBdr>
    </w:div>
    <w:div w:id="1356275894">
      <w:bodyDiv w:val="1"/>
      <w:marLeft w:val="0"/>
      <w:marRight w:val="0"/>
      <w:marTop w:val="0"/>
      <w:marBottom w:val="0"/>
      <w:divBdr>
        <w:top w:val="none" w:sz="0" w:space="0" w:color="auto"/>
        <w:left w:val="none" w:sz="0" w:space="0" w:color="auto"/>
        <w:bottom w:val="none" w:sz="0" w:space="0" w:color="auto"/>
        <w:right w:val="none" w:sz="0" w:space="0" w:color="auto"/>
      </w:divBdr>
    </w:div>
    <w:div w:id="1359891405">
      <w:bodyDiv w:val="1"/>
      <w:marLeft w:val="0"/>
      <w:marRight w:val="0"/>
      <w:marTop w:val="0"/>
      <w:marBottom w:val="0"/>
      <w:divBdr>
        <w:top w:val="none" w:sz="0" w:space="0" w:color="auto"/>
        <w:left w:val="none" w:sz="0" w:space="0" w:color="auto"/>
        <w:bottom w:val="none" w:sz="0" w:space="0" w:color="auto"/>
        <w:right w:val="none" w:sz="0" w:space="0" w:color="auto"/>
      </w:divBdr>
      <w:divsChild>
        <w:div w:id="1405638694">
          <w:marLeft w:val="480"/>
          <w:marRight w:val="0"/>
          <w:marTop w:val="0"/>
          <w:marBottom w:val="0"/>
          <w:divBdr>
            <w:top w:val="none" w:sz="0" w:space="0" w:color="auto"/>
            <w:left w:val="none" w:sz="0" w:space="0" w:color="auto"/>
            <w:bottom w:val="none" w:sz="0" w:space="0" w:color="auto"/>
            <w:right w:val="none" w:sz="0" w:space="0" w:color="auto"/>
          </w:divBdr>
          <w:divsChild>
            <w:div w:id="126002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1549">
      <w:bodyDiv w:val="1"/>
      <w:marLeft w:val="0"/>
      <w:marRight w:val="0"/>
      <w:marTop w:val="0"/>
      <w:marBottom w:val="0"/>
      <w:divBdr>
        <w:top w:val="none" w:sz="0" w:space="0" w:color="auto"/>
        <w:left w:val="none" w:sz="0" w:space="0" w:color="auto"/>
        <w:bottom w:val="none" w:sz="0" w:space="0" w:color="auto"/>
        <w:right w:val="none" w:sz="0" w:space="0" w:color="auto"/>
      </w:divBdr>
    </w:div>
    <w:div w:id="1395540591">
      <w:bodyDiv w:val="1"/>
      <w:marLeft w:val="0"/>
      <w:marRight w:val="0"/>
      <w:marTop w:val="0"/>
      <w:marBottom w:val="0"/>
      <w:divBdr>
        <w:top w:val="none" w:sz="0" w:space="0" w:color="auto"/>
        <w:left w:val="none" w:sz="0" w:space="0" w:color="auto"/>
        <w:bottom w:val="none" w:sz="0" w:space="0" w:color="auto"/>
        <w:right w:val="none" w:sz="0" w:space="0" w:color="auto"/>
      </w:divBdr>
    </w:div>
    <w:div w:id="1403715615">
      <w:bodyDiv w:val="1"/>
      <w:marLeft w:val="0"/>
      <w:marRight w:val="0"/>
      <w:marTop w:val="0"/>
      <w:marBottom w:val="0"/>
      <w:divBdr>
        <w:top w:val="none" w:sz="0" w:space="0" w:color="auto"/>
        <w:left w:val="none" w:sz="0" w:space="0" w:color="auto"/>
        <w:bottom w:val="none" w:sz="0" w:space="0" w:color="auto"/>
        <w:right w:val="none" w:sz="0" w:space="0" w:color="auto"/>
      </w:divBdr>
    </w:div>
    <w:div w:id="1408382023">
      <w:bodyDiv w:val="1"/>
      <w:marLeft w:val="0"/>
      <w:marRight w:val="0"/>
      <w:marTop w:val="0"/>
      <w:marBottom w:val="0"/>
      <w:divBdr>
        <w:top w:val="none" w:sz="0" w:space="0" w:color="auto"/>
        <w:left w:val="none" w:sz="0" w:space="0" w:color="auto"/>
        <w:bottom w:val="none" w:sz="0" w:space="0" w:color="auto"/>
        <w:right w:val="none" w:sz="0" w:space="0" w:color="auto"/>
      </w:divBdr>
    </w:div>
    <w:div w:id="1419444692">
      <w:bodyDiv w:val="1"/>
      <w:marLeft w:val="0"/>
      <w:marRight w:val="0"/>
      <w:marTop w:val="0"/>
      <w:marBottom w:val="0"/>
      <w:divBdr>
        <w:top w:val="none" w:sz="0" w:space="0" w:color="auto"/>
        <w:left w:val="none" w:sz="0" w:space="0" w:color="auto"/>
        <w:bottom w:val="none" w:sz="0" w:space="0" w:color="auto"/>
        <w:right w:val="none" w:sz="0" w:space="0" w:color="auto"/>
      </w:divBdr>
    </w:div>
    <w:div w:id="1431076553">
      <w:bodyDiv w:val="1"/>
      <w:marLeft w:val="0"/>
      <w:marRight w:val="0"/>
      <w:marTop w:val="0"/>
      <w:marBottom w:val="0"/>
      <w:divBdr>
        <w:top w:val="none" w:sz="0" w:space="0" w:color="auto"/>
        <w:left w:val="none" w:sz="0" w:space="0" w:color="auto"/>
        <w:bottom w:val="none" w:sz="0" w:space="0" w:color="auto"/>
        <w:right w:val="none" w:sz="0" w:space="0" w:color="auto"/>
      </w:divBdr>
    </w:div>
    <w:div w:id="1434397875">
      <w:bodyDiv w:val="1"/>
      <w:marLeft w:val="0"/>
      <w:marRight w:val="0"/>
      <w:marTop w:val="0"/>
      <w:marBottom w:val="0"/>
      <w:divBdr>
        <w:top w:val="none" w:sz="0" w:space="0" w:color="auto"/>
        <w:left w:val="none" w:sz="0" w:space="0" w:color="auto"/>
        <w:bottom w:val="none" w:sz="0" w:space="0" w:color="auto"/>
        <w:right w:val="none" w:sz="0" w:space="0" w:color="auto"/>
      </w:divBdr>
    </w:div>
    <w:div w:id="1437867938">
      <w:bodyDiv w:val="1"/>
      <w:marLeft w:val="0"/>
      <w:marRight w:val="0"/>
      <w:marTop w:val="0"/>
      <w:marBottom w:val="0"/>
      <w:divBdr>
        <w:top w:val="none" w:sz="0" w:space="0" w:color="auto"/>
        <w:left w:val="none" w:sz="0" w:space="0" w:color="auto"/>
        <w:bottom w:val="none" w:sz="0" w:space="0" w:color="auto"/>
        <w:right w:val="none" w:sz="0" w:space="0" w:color="auto"/>
      </w:divBdr>
    </w:div>
    <w:div w:id="1437948589">
      <w:bodyDiv w:val="1"/>
      <w:marLeft w:val="0"/>
      <w:marRight w:val="0"/>
      <w:marTop w:val="0"/>
      <w:marBottom w:val="0"/>
      <w:divBdr>
        <w:top w:val="none" w:sz="0" w:space="0" w:color="auto"/>
        <w:left w:val="none" w:sz="0" w:space="0" w:color="auto"/>
        <w:bottom w:val="none" w:sz="0" w:space="0" w:color="auto"/>
        <w:right w:val="none" w:sz="0" w:space="0" w:color="auto"/>
      </w:divBdr>
    </w:div>
    <w:div w:id="1455489681">
      <w:bodyDiv w:val="1"/>
      <w:marLeft w:val="0"/>
      <w:marRight w:val="0"/>
      <w:marTop w:val="0"/>
      <w:marBottom w:val="0"/>
      <w:divBdr>
        <w:top w:val="none" w:sz="0" w:space="0" w:color="auto"/>
        <w:left w:val="none" w:sz="0" w:space="0" w:color="auto"/>
        <w:bottom w:val="none" w:sz="0" w:space="0" w:color="auto"/>
        <w:right w:val="none" w:sz="0" w:space="0" w:color="auto"/>
      </w:divBdr>
    </w:div>
    <w:div w:id="1456830487">
      <w:bodyDiv w:val="1"/>
      <w:marLeft w:val="0"/>
      <w:marRight w:val="0"/>
      <w:marTop w:val="0"/>
      <w:marBottom w:val="0"/>
      <w:divBdr>
        <w:top w:val="none" w:sz="0" w:space="0" w:color="auto"/>
        <w:left w:val="none" w:sz="0" w:space="0" w:color="auto"/>
        <w:bottom w:val="none" w:sz="0" w:space="0" w:color="auto"/>
        <w:right w:val="none" w:sz="0" w:space="0" w:color="auto"/>
      </w:divBdr>
    </w:div>
    <w:div w:id="1465270151">
      <w:bodyDiv w:val="1"/>
      <w:marLeft w:val="0"/>
      <w:marRight w:val="0"/>
      <w:marTop w:val="0"/>
      <w:marBottom w:val="0"/>
      <w:divBdr>
        <w:top w:val="none" w:sz="0" w:space="0" w:color="auto"/>
        <w:left w:val="none" w:sz="0" w:space="0" w:color="auto"/>
        <w:bottom w:val="none" w:sz="0" w:space="0" w:color="auto"/>
        <w:right w:val="none" w:sz="0" w:space="0" w:color="auto"/>
      </w:divBdr>
      <w:divsChild>
        <w:div w:id="1939869686">
          <w:marLeft w:val="480"/>
          <w:marRight w:val="0"/>
          <w:marTop w:val="0"/>
          <w:marBottom w:val="0"/>
          <w:divBdr>
            <w:top w:val="none" w:sz="0" w:space="0" w:color="auto"/>
            <w:left w:val="none" w:sz="0" w:space="0" w:color="auto"/>
            <w:bottom w:val="none" w:sz="0" w:space="0" w:color="auto"/>
            <w:right w:val="none" w:sz="0" w:space="0" w:color="auto"/>
          </w:divBdr>
          <w:divsChild>
            <w:div w:id="115927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75154">
      <w:bodyDiv w:val="1"/>
      <w:marLeft w:val="0"/>
      <w:marRight w:val="0"/>
      <w:marTop w:val="0"/>
      <w:marBottom w:val="0"/>
      <w:divBdr>
        <w:top w:val="none" w:sz="0" w:space="0" w:color="auto"/>
        <w:left w:val="none" w:sz="0" w:space="0" w:color="auto"/>
        <w:bottom w:val="none" w:sz="0" w:space="0" w:color="auto"/>
        <w:right w:val="none" w:sz="0" w:space="0" w:color="auto"/>
      </w:divBdr>
      <w:divsChild>
        <w:div w:id="1115949029">
          <w:marLeft w:val="480"/>
          <w:marRight w:val="0"/>
          <w:marTop w:val="0"/>
          <w:marBottom w:val="0"/>
          <w:divBdr>
            <w:top w:val="none" w:sz="0" w:space="0" w:color="auto"/>
            <w:left w:val="none" w:sz="0" w:space="0" w:color="auto"/>
            <w:bottom w:val="none" w:sz="0" w:space="0" w:color="auto"/>
            <w:right w:val="none" w:sz="0" w:space="0" w:color="auto"/>
          </w:divBdr>
          <w:divsChild>
            <w:div w:id="7237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31604">
      <w:bodyDiv w:val="1"/>
      <w:marLeft w:val="0"/>
      <w:marRight w:val="0"/>
      <w:marTop w:val="0"/>
      <w:marBottom w:val="0"/>
      <w:divBdr>
        <w:top w:val="none" w:sz="0" w:space="0" w:color="auto"/>
        <w:left w:val="none" w:sz="0" w:space="0" w:color="auto"/>
        <w:bottom w:val="none" w:sz="0" w:space="0" w:color="auto"/>
        <w:right w:val="none" w:sz="0" w:space="0" w:color="auto"/>
      </w:divBdr>
    </w:div>
    <w:div w:id="1485471197">
      <w:bodyDiv w:val="1"/>
      <w:marLeft w:val="0"/>
      <w:marRight w:val="0"/>
      <w:marTop w:val="0"/>
      <w:marBottom w:val="0"/>
      <w:divBdr>
        <w:top w:val="none" w:sz="0" w:space="0" w:color="auto"/>
        <w:left w:val="none" w:sz="0" w:space="0" w:color="auto"/>
        <w:bottom w:val="none" w:sz="0" w:space="0" w:color="auto"/>
        <w:right w:val="none" w:sz="0" w:space="0" w:color="auto"/>
      </w:divBdr>
    </w:div>
    <w:div w:id="1505049122">
      <w:bodyDiv w:val="1"/>
      <w:marLeft w:val="0"/>
      <w:marRight w:val="0"/>
      <w:marTop w:val="0"/>
      <w:marBottom w:val="0"/>
      <w:divBdr>
        <w:top w:val="none" w:sz="0" w:space="0" w:color="auto"/>
        <w:left w:val="none" w:sz="0" w:space="0" w:color="auto"/>
        <w:bottom w:val="none" w:sz="0" w:space="0" w:color="auto"/>
        <w:right w:val="none" w:sz="0" w:space="0" w:color="auto"/>
      </w:divBdr>
    </w:div>
    <w:div w:id="1517958324">
      <w:bodyDiv w:val="1"/>
      <w:marLeft w:val="0"/>
      <w:marRight w:val="0"/>
      <w:marTop w:val="0"/>
      <w:marBottom w:val="0"/>
      <w:divBdr>
        <w:top w:val="none" w:sz="0" w:space="0" w:color="auto"/>
        <w:left w:val="none" w:sz="0" w:space="0" w:color="auto"/>
        <w:bottom w:val="none" w:sz="0" w:space="0" w:color="auto"/>
        <w:right w:val="none" w:sz="0" w:space="0" w:color="auto"/>
      </w:divBdr>
    </w:div>
    <w:div w:id="1520002404">
      <w:bodyDiv w:val="1"/>
      <w:marLeft w:val="0"/>
      <w:marRight w:val="0"/>
      <w:marTop w:val="0"/>
      <w:marBottom w:val="0"/>
      <w:divBdr>
        <w:top w:val="none" w:sz="0" w:space="0" w:color="auto"/>
        <w:left w:val="none" w:sz="0" w:space="0" w:color="auto"/>
        <w:bottom w:val="none" w:sz="0" w:space="0" w:color="auto"/>
        <w:right w:val="none" w:sz="0" w:space="0" w:color="auto"/>
      </w:divBdr>
    </w:div>
    <w:div w:id="1524856671">
      <w:bodyDiv w:val="1"/>
      <w:marLeft w:val="0"/>
      <w:marRight w:val="0"/>
      <w:marTop w:val="0"/>
      <w:marBottom w:val="0"/>
      <w:divBdr>
        <w:top w:val="none" w:sz="0" w:space="0" w:color="auto"/>
        <w:left w:val="none" w:sz="0" w:space="0" w:color="auto"/>
        <w:bottom w:val="none" w:sz="0" w:space="0" w:color="auto"/>
        <w:right w:val="none" w:sz="0" w:space="0" w:color="auto"/>
      </w:divBdr>
      <w:divsChild>
        <w:div w:id="3630339">
          <w:marLeft w:val="480"/>
          <w:marRight w:val="0"/>
          <w:marTop w:val="0"/>
          <w:marBottom w:val="0"/>
          <w:divBdr>
            <w:top w:val="none" w:sz="0" w:space="0" w:color="auto"/>
            <w:left w:val="none" w:sz="0" w:space="0" w:color="auto"/>
            <w:bottom w:val="none" w:sz="0" w:space="0" w:color="auto"/>
            <w:right w:val="none" w:sz="0" w:space="0" w:color="auto"/>
          </w:divBdr>
          <w:divsChild>
            <w:div w:id="75347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85618">
      <w:bodyDiv w:val="1"/>
      <w:marLeft w:val="0"/>
      <w:marRight w:val="0"/>
      <w:marTop w:val="0"/>
      <w:marBottom w:val="0"/>
      <w:divBdr>
        <w:top w:val="none" w:sz="0" w:space="0" w:color="auto"/>
        <w:left w:val="none" w:sz="0" w:space="0" w:color="auto"/>
        <w:bottom w:val="none" w:sz="0" w:space="0" w:color="auto"/>
        <w:right w:val="none" w:sz="0" w:space="0" w:color="auto"/>
      </w:divBdr>
    </w:div>
    <w:div w:id="1575043718">
      <w:bodyDiv w:val="1"/>
      <w:marLeft w:val="0"/>
      <w:marRight w:val="0"/>
      <w:marTop w:val="0"/>
      <w:marBottom w:val="0"/>
      <w:divBdr>
        <w:top w:val="none" w:sz="0" w:space="0" w:color="auto"/>
        <w:left w:val="none" w:sz="0" w:space="0" w:color="auto"/>
        <w:bottom w:val="none" w:sz="0" w:space="0" w:color="auto"/>
        <w:right w:val="none" w:sz="0" w:space="0" w:color="auto"/>
      </w:divBdr>
      <w:divsChild>
        <w:div w:id="1810173565">
          <w:marLeft w:val="0"/>
          <w:marRight w:val="0"/>
          <w:marTop w:val="0"/>
          <w:marBottom w:val="0"/>
          <w:divBdr>
            <w:top w:val="none" w:sz="0" w:space="0" w:color="auto"/>
            <w:left w:val="none" w:sz="0" w:space="0" w:color="auto"/>
            <w:bottom w:val="none" w:sz="0" w:space="0" w:color="auto"/>
            <w:right w:val="none" w:sz="0" w:space="0" w:color="auto"/>
          </w:divBdr>
          <w:divsChild>
            <w:div w:id="645620689">
              <w:marLeft w:val="0"/>
              <w:marRight w:val="0"/>
              <w:marTop w:val="0"/>
              <w:marBottom w:val="0"/>
              <w:divBdr>
                <w:top w:val="none" w:sz="0" w:space="0" w:color="auto"/>
                <w:left w:val="none" w:sz="0" w:space="0" w:color="auto"/>
                <w:bottom w:val="none" w:sz="0" w:space="0" w:color="auto"/>
                <w:right w:val="none" w:sz="0" w:space="0" w:color="auto"/>
              </w:divBdr>
              <w:divsChild>
                <w:div w:id="62142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180280">
      <w:bodyDiv w:val="1"/>
      <w:marLeft w:val="0"/>
      <w:marRight w:val="0"/>
      <w:marTop w:val="0"/>
      <w:marBottom w:val="0"/>
      <w:divBdr>
        <w:top w:val="none" w:sz="0" w:space="0" w:color="auto"/>
        <w:left w:val="none" w:sz="0" w:space="0" w:color="auto"/>
        <w:bottom w:val="none" w:sz="0" w:space="0" w:color="auto"/>
        <w:right w:val="none" w:sz="0" w:space="0" w:color="auto"/>
      </w:divBdr>
    </w:div>
    <w:div w:id="1585459560">
      <w:bodyDiv w:val="1"/>
      <w:marLeft w:val="0"/>
      <w:marRight w:val="0"/>
      <w:marTop w:val="0"/>
      <w:marBottom w:val="0"/>
      <w:divBdr>
        <w:top w:val="none" w:sz="0" w:space="0" w:color="auto"/>
        <w:left w:val="none" w:sz="0" w:space="0" w:color="auto"/>
        <w:bottom w:val="none" w:sz="0" w:space="0" w:color="auto"/>
        <w:right w:val="none" w:sz="0" w:space="0" w:color="auto"/>
      </w:divBdr>
    </w:div>
    <w:div w:id="1588492643">
      <w:bodyDiv w:val="1"/>
      <w:marLeft w:val="0"/>
      <w:marRight w:val="0"/>
      <w:marTop w:val="0"/>
      <w:marBottom w:val="0"/>
      <w:divBdr>
        <w:top w:val="none" w:sz="0" w:space="0" w:color="auto"/>
        <w:left w:val="none" w:sz="0" w:space="0" w:color="auto"/>
        <w:bottom w:val="none" w:sz="0" w:space="0" w:color="auto"/>
        <w:right w:val="none" w:sz="0" w:space="0" w:color="auto"/>
      </w:divBdr>
    </w:div>
    <w:div w:id="1590112345">
      <w:bodyDiv w:val="1"/>
      <w:marLeft w:val="0"/>
      <w:marRight w:val="0"/>
      <w:marTop w:val="0"/>
      <w:marBottom w:val="0"/>
      <w:divBdr>
        <w:top w:val="none" w:sz="0" w:space="0" w:color="auto"/>
        <w:left w:val="none" w:sz="0" w:space="0" w:color="auto"/>
        <w:bottom w:val="none" w:sz="0" w:space="0" w:color="auto"/>
        <w:right w:val="none" w:sz="0" w:space="0" w:color="auto"/>
      </w:divBdr>
      <w:divsChild>
        <w:div w:id="1049452800">
          <w:marLeft w:val="0"/>
          <w:marRight w:val="0"/>
          <w:marTop w:val="0"/>
          <w:marBottom w:val="0"/>
          <w:divBdr>
            <w:top w:val="none" w:sz="0" w:space="0" w:color="auto"/>
            <w:left w:val="none" w:sz="0" w:space="0" w:color="auto"/>
            <w:bottom w:val="none" w:sz="0" w:space="0" w:color="auto"/>
            <w:right w:val="none" w:sz="0" w:space="0" w:color="auto"/>
          </w:divBdr>
          <w:divsChild>
            <w:div w:id="1816877257">
              <w:marLeft w:val="0"/>
              <w:marRight w:val="0"/>
              <w:marTop w:val="0"/>
              <w:marBottom w:val="0"/>
              <w:divBdr>
                <w:top w:val="none" w:sz="0" w:space="0" w:color="auto"/>
                <w:left w:val="none" w:sz="0" w:space="0" w:color="auto"/>
                <w:bottom w:val="none" w:sz="0" w:space="0" w:color="auto"/>
                <w:right w:val="none" w:sz="0" w:space="0" w:color="auto"/>
              </w:divBdr>
              <w:divsChild>
                <w:div w:id="382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221152">
      <w:bodyDiv w:val="1"/>
      <w:marLeft w:val="0"/>
      <w:marRight w:val="0"/>
      <w:marTop w:val="0"/>
      <w:marBottom w:val="0"/>
      <w:divBdr>
        <w:top w:val="none" w:sz="0" w:space="0" w:color="auto"/>
        <w:left w:val="none" w:sz="0" w:space="0" w:color="auto"/>
        <w:bottom w:val="none" w:sz="0" w:space="0" w:color="auto"/>
        <w:right w:val="none" w:sz="0" w:space="0" w:color="auto"/>
      </w:divBdr>
    </w:div>
    <w:div w:id="1615332765">
      <w:bodyDiv w:val="1"/>
      <w:marLeft w:val="0"/>
      <w:marRight w:val="0"/>
      <w:marTop w:val="0"/>
      <w:marBottom w:val="0"/>
      <w:divBdr>
        <w:top w:val="none" w:sz="0" w:space="0" w:color="auto"/>
        <w:left w:val="none" w:sz="0" w:space="0" w:color="auto"/>
        <w:bottom w:val="none" w:sz="0" w:space="0" w:color="auto"/>
        <w:right w:val="none" w:sz="0" w:space="0" w:color="auto"/>
      </w:divBdr>
    </w:div>
    <w:div w:id="1618371150">
      <w:bodyDiv w:val="1"/>
      <w:marLeft w:val="0"/>
      <w:marRight w:val="0"/>
      <w:marTop w:val="0"/>
      <w:marBottom w:val="0"/>
      <w:divBdr>
        <w:top w:val="none" w:sz="0" w:space="0" w:color="auto"/>
        <w:left w:val="none" w:sz="0" w:space="0" w:color="auto"/>
        <w:bottom w:val="none" w:sz="0" w:space="0" w:color="auto"/>
        <w:right w:val="none" w:sz="0" w:space="0" w:color="auto"/>
      </w:divBdr>
    </w:div>
    <w:div w:id="1631933510">
      <w:bodyDiv w:val="1"/>
      <w:marLeft w:val="0"/>
      <w:marRight w:val="0"/>
      <w:marTop w:val="0"/>
      <w:marBottom w:val="0"/>
      <w:divBdr>
        <w:top w:val="none" w:sz="0" w:space="0" w:color="auto"/>
        <w:left w:val="none" w:sz="0" w:space="0" w:color="auto"/>
        <w:bottom w:val="none" w:sz="0" w:space="0" w:color="auto"/>
        <w:right w:val="none" w:sz="0" w:space="0" w:color="auto"/>
      </w:divBdr>
    </w:div>
    <w:div w:id="1641686942">
      <w:bodyDiv w:val="1"/>
      <w:marLeft w:val="0"/>
      <w:marRight w:val="0"/>
      <w:marTop w:val="0"/>
      <w:marBottom w:val="0"/>
      <w:divBdr>
        <w:top w:val="none" w:sz="0" w:space="0" w:color="auto"/>
        <w:left w:val="none" w:sz="0" w:space="0" w:color="auto"/>
        <w:bottom w:val="none" w:sz="0" w:space="0" w:color="auto"/>
        <w:right w:val="none" w:sz="0" w:space="0" w:color="auto"/>
      </w:divBdr>
    </w:div>
    <w:div w:id="1641880719">
      <w:bodyDiv w:val="1"/>
      <w:marLeft w:val="0"/>
      <w:marRight w:val="0"/>
      <w:marTop w:val="0"/>
      <w:marBottom w:val="0"/>
      <w:divBdr>
        <w:top w:val="none" w:sz="0" w:space="0" w:color="auto"/>
        <w:left w:val="none" w:sz="0" w:space="0" w:color="auto"/>
        <w:bottom w:val="none" w:sz="0" w:space="0" w:color="auto"/>
        <w:right w:val="none" w:sz="0" w:space="0" w:color="auto"/>
      </w:divBdr>
    </w:div>
    <w:div w:id="1642153955">
      <w:bodyDiv w:val="1"/>
      <w:marLeft w:val="0"/>
      <w:marRight w:val="0"/>
      <w:marTop w:val="0"/>
      <w:marBottom w:val="0"/>
      <w:divBdr>
        <w:top w:val="none" w:sz="0" w:space="0" w:color="auto"/>
        <w:left w:val="none" w:sz="0" w:space="0" w:color="auto"/>
        <w:bottom w:val="none" w:sz="0" w:space="0" w:color="auto"/>
        <w:right w:val="none" w:sz="0" w:space="0" w:color="auto"/>
      </w:divBdr>
    </w:div>
    <w:div w:id="1643734617">
      <w:bodyDiv w:val="1"/>
      <w:marLeft w:val="0"/>
      <w:marRight w:val="0"/>
      <w:marTop w:val="0"/>
      <w:marBottom w:val="0"/>
      <w:divBdr>
        <w:top w:val="none" w:sz="0" w:space="0" w:color="auto"/>
        <w:left w:val="none" w:sz="0" w:space="0" w:color="auto"/>
        <w:bottom w:val="none" w:sz="0" w:space="0" w:color="auto"/>
        <w:right w:val="none" w:sz="0" w:space="0" w:color="auto"/>
      </w:divBdr>
    </w:div>
    <w:div w:id="1665935623">
      <w:bodyDiv w:val="1"/>
      <w:marLeft w:val="0"/>
      <w:marRight w:val="0"/>
      <w:marTop w:val="0"/>
      <w:marBottom w:val="0"/>
      <w:divBdr>
        <w:top w:val="none" w:sz="0" w:space="0" w:color="auto"/>
        <w:left w:val="none" w:sz="0" w:space="0" w:color="auto"/>
        <w:bottom w:val="none" w:sz="0" w:space="0" w:color="auto"/>
        <w:right w:val="none" w:sz="0" w:space="0" w:color="auto"/>
      </w:divBdr>
    </w:div>
    <w:div w:id="1677226250">
      <w:bodyDiv w:val="1"/>
      <w:marLeft w:val="0"/>
      <w:marRight w:val="0"/>
      <w:marTop w:val="0"/>
      <w:marBottom w:val="0"/>
      <w:divBdr>
        <w:top w:val="none" w:sz="0" w:space="0" w:color="auto"/>
        <w:left w:val="none" w:sz="0" w:space="0" w:color="auto"/>
        <w:bottom w:val="none" w:sz="0" w:space="0" w:color="auto"/>
        <w:right w:val="none" w:sz="0" w:space="0" w:color="auto"/>
      </w:divBdr>
    </w:div>
    <w:div w:id="1678772590">
      <w:bodyDiv w:val="1"/>
      <w:marLeft w:val="0"/>
      <w:marRight w:val="0"/>
      <w:marTop w:val="0"/>
      <w:marBottom w:val="0"/>
      <w:divBdr>
        <w:top w:val="none" w:sz="0" w:space="0" w:color="auto"/>
        <w:left w:val="none" w:sz="0" w:space="0" w:color="auto"/>
        <w:bottom w:val="none" w:sz="0" w:space="0" w:color="auto"/>
        <w:right w:val="none" w:sz="0" w:space="0" w:color="auto"/>
      </w:divBdr>
      <w:divsChild>
        <w:div w:id="639506152">
          <w:marLeft w:val="480"/>
          <w:marRight w:val="0"/>
          <w:marTop w:val="0"/>
          <w:marBottom w:val="0"/>
          <w:divBdr>
            <w:top w:val="none" w:sz="0" w:space="0" w:color="auto"/>
            <w:left w:val="none" w:sz="0" w:space="0" w:color="auto"/>
            <w:bottom w:val="none" w:sz="0" w:space="0" w:color="auto"/>
            <w:right w:val="none" w:sz="0" w:space="0" w:color="auto"/>
          </w:divBdr>
          <w:divsChild>
            <w:div w:id="130878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16081">
      <w:bodyDiv w:val="1"/>
      <w:marLeft w:val="0"/>
      <w:marRight w:val="0"/>
      <w:marTop w:val="0"/>
      <w:marBottom w:val="0"/>
      <w:divBdr>
        <w:top w:val="none" w:sz="0" w:space="0" w:color="auto"/>
        <w:left w:val="none" w:sz="0" w:space="0" w:color="auto"/>
        <w:bottom w:val="none" w:sz="0" w:space="0" w:color="auto"/>
        <w:right w:val="none" w:sz="0" w:space="0" w:color="auto"/>
      </w:divBdr>
      <w:divsChild>
        <w:div w:id="893269705">
          <w:marLeft w:val="0"/>
          <w:marRight w:val="0"/>
          <w:marTop w:val="0"/>
          <w:marBottom w:val="0"/>
          <w:divBdr>
            <w:top w:val="none" w:sz="0" w:space="0" w:color="auto"/>
            <w:left w:val="none" w:sz="0" w:space="0" w:color="auto"/>
            <w:bottom w:val="none" w:sz="0" w:space="0" w:color="auto"/>
            <w:right w:val="none" w:sz="0" w:space="0" w:color="auto"/>
          </w:divBdr>
          <w:divsChild>
            <w:div w:id="73119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19452">
      <w:bodyDiv w:val="1"/>
      <w:marLeft w:val="0"/>
      <w:marRight w:val="0"/>
      <w:marTop w:val="0"/>
      <w:marBottom w:val="0"/>
      <w:divBdr>
        <w:top w:val="none" w:sz="0" w:space="0" w:color="auto"/>
        <w:left w:val="none" w:sz="0" w:space="0" w:color="auto"/>
        <w:bottom w:val="none" w:sz="0" w:space="0" w:color="auto"/>
        <w:right w:val="none" w:sz="0" w:space="0" w:color="auto"/>
      </w:divBdr>
    </w:div>
    <w:div w:id="1708217429">
      <w:bodyDiv w:val="1"/>
      <w:marLeft w:val="0"/>
      <w:marRight w:val="0"/>
      <w:marTop w:val="0"/>
      <w:marBottom w:val="0"/>
      <w:divBdr>
        <w:top w:val="none" w:sz="0" w:space="0" w:color="auto"/>
        <w:left w:val="none" w:sz="0" w:space="0" w:color="auto"/>
        <w:bottom w:val="none" w:sz="0" w:space="0" w:color="auto"/>
        <w:right w:val="none" w:sz="0" w:space="0" w:color="auto"/>
      </w:divBdr>
    </w:div>
    <w:div w:id="1711538697">
      <w:bodyDiv w:val="1"/>
      <w:marLeft w:val="0"/>
      <w:marRight w:val="0"/>
      <w:marTop w:val="0"/>
      <w:marBottom w:val="0"/>
      <w:divBdr>
        <w:top w:val="none" w:sz="0" w:space="0" w:color="auto"/>
        <w:left w:val="none" w:sz="0" w:space="0" w:color="auto"/>
        <w:bottom w:val="none" w:sz="0" w:space="0" w:color="auto"/>
        <w:right w:val="none" w:sz="0" w:space="0" w:color="auto"/>
      </w:divBdr>
    </w:div>
    <w:div w:id="1724258723">
      <w:bodyDiv w:val="1"/>
      <w:marLeft w:val="0"/>
      <w:marRight w:val="0"/>
      <w:marTop w:val="0"/>
      <w:marBottom w:val="0"/>
      <w:divBdr>
        <w:top w:val="none" w:sz="0" w:space="0" w:color="auto"/>
        <w:left w:val="none" w:sz="0" w:space="0" w:color="auto"/>
        <w:bottom w:val="none" w:sz="0" w:space="0" w:color="auto"/>
        <w:right w:val="none" w:sz="0" w:space="0" w:color="auto"/>
      </w:divBdr>
    </w:div>
    <w:div w:id="1737242413">
      <w:bodyDiv w:val="1"/>
      <w:marLeft w:val="0"/>
      <w:marRight w:val="0"/>
      <w:marTop w:val="0"/>
      <w:marBottom w:val="0"/>
      <w:divBdr>
        <w:top w:val="none" w:sz="0" w:space="0" w:color="auto"/>
        <w:left w:val="none" w:sz="0" w:space="0" w:color="auto"/>
        <w:bottom w:val="none" w:sz="0" w:space="0" w:color="auto"/>
        <w:right w:val="none" w:sz="0" w:space="0" w:color="auto"/>
      </w:divBdr>
    </w:div>
    <w:div w:id="1739132173">
      <w:bodyDiv w:val="1"/>
      <w:marLeft w:val="0"/>
      <w:marRight w:val="0"/>
      <w:marTop w:val="0"/>
      <w:marBottom w:val="0"/>
      <w:divBdr>
        <w:top w:val="none" w:sz="0" w:space="0" w:color="auto"/>
        <w:left w:val="none" w:sz="0" w:space="0" w:color="auto"/>
        <w:bottom w:val="none" w:sz="0" w:space="0" w:color="auto"/>
        <w:right w:val="none" w:sz="0" w:space="0" w:color="auto"/>
      </w:divBdr>
    </w:div>
    <w:div w:id="1743524402">
      <w:bodyDiv w:val="1"/>
      <w:marLeft w:val="0"/>
      <w:marRight w:val="0"/>
      <w:marTop w:val="0"/>
      <w:marBottom w:val="0"/>
      <w:divBdr>
        <w:top w:val="none" w:sz="0" w:space="0" w:color="auto"/>
        <w:left w:val="none" w:sz="0" w:space="0" w:color="auto"/>
        <w:bottom w:val="none" w:sz="0" w:space="0" w:color="auto"/>
        <w:right w:val="none" w:sz="0" w:space="0" w:color="auto"/>
      </w:divBdr>
    </w:div>
    <w:div w:id="1753547710">
      <w:bodyDiv w:val="1"/>
      <w:marLeft w:val="0"/>
      <w:marRight w:val="0"/>
      <w:marTop w:val="0"/>
      <w:marBottom w:val="0"/>
      <w:divBdr>
        <w:top w:val="none" w:sz="0" w:space="0" w:color="auto"/>
        <w:left w:val="none" w:sz="0" w:space="0" w:color="auto"/>
        <w:bottom w:val="none" w:sz="0" w:space="0" w:color="auto"/>
        <w:right w:val="none" w:sz="0" w:space="0" w:color="auto"/>
      </w:divBdr>
    </w:div>
    <w:div w:id="1762287769">
      <w:bodyDiv w:val="1"/>
      <w:marLeft w:val="0"/>
      <w:marRight w:val="0"/>
      <w:marTop w:val="0"/>
      <w:marBottom w:val="0"/>
      <w:divBdr>
        <w:top w:val="none" w:sz="0" w:space="0" w:color="auto"/>
        <w:left w:val="none" w:sz="0" w:space="0" w:color="auto"/>
        <w:bottom w:val="none" w:sz="0" w:space="0" w:color="auto"/>
        <w:right w:val="none" w:sz="0" w:space="0" w:color="auto"/>
      </w:divBdr>
    </w:div>
    <w:div w:id="1770194947">
      <w:bodyDiv w:val="1"/>
      <w:marLeft w:val="0"/>
      <w:marRight w:val="0"/>
      <w:marTop w:val="0"/>
      <w:marBottom w:val="0"/>
      <w:divBdr>
        <w:top w:val="none" w:sz="0" w:space="0" w:color="auto"/>
        <w:left w:val="none" w:sz="0" w:space="0" w:color="auto"/>
        <w:bottom w:val="none" w:sz="0" w:space="0" w:color="auto"/>
        <w:right w:val="none" w:sz="0" w:space="0" w:color="auto"/>
      </w:divBdr>
      <w:divsChild>
        <w:div w:id="85007228">
          <w:marLeft w:val="480"/>
          <w:marRight w:val="0"/>
          <w:marTop w:val="0"/>
          <w:marBottom w:val="0"/>
          <w:divBdr>
            <w:top w:val="none" w:sz="0" w:space="0" w:color="auto"/>
            <w:left w:val="none" w:sz="0" w:space="0" w:color="auto"/>
            <w:bottom w:val="none" w:sz="0" w:space="0" w:color="auto"/>
            <w:right w:val="none" w:sz="0" w:space="0" w:color="auto"/>
          </w:divBdr>
          <w:divsChild>
            <w:div w:id="78677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74107">
      <w:bodyDiv w:val="1"/>
      <w:marLeft w:val="0"/>
      <w:marRight w:val="0"/>
      <w:marTop w:val="0"/>
      <w:marBottom w:val="0"/>
      <w:divBdr>
        <w:top w:val="none" w:sz="0" w:space="0" w:color="auto"/>
        <w:left w:val="none" w:sz="0" w:space="0" w:color="auto"/>
        <w:bottom w:val="none" w:sz="0" w:space="0" w:color="auto"/>
        <w:right w:val="none" w:sz="0" w:space="0" w:color="auto"/>
      </w:divBdr>
    </w:div>
    <w:div w:id="1800877864">
      <w:bodyDiv w:val="1"/>
      <w:marLeft w:val="0"/>
      <w:marRight w:val="0"/>
      <w:marTop w:val="0"/>
      <w:marBottom w:val="0"/>
      <w:divBdr>
        <w:top w:val="none" w:sz="0" w:space="0" w:color="auto"/>
        <w:left w:val="none" w:sz="0" w:space="0" w:color="auto"/>
        <w:bottom w:val="none" w:sz="0" w:space="0" w:color="auto"/>
        <w:right w:val="none" w:sz="0" w:space="0" w:color="auto"/>
      </w:divBdr>
    </w:div>
    <w:div w:id="1801075420">
      <w:bodyDiv w:val="1"/>
      <w:marLeft w:val="0"/>
      <w:marRight w:val="0"/>
      <w:marTop w:val="0"/>
      <w:marBottom w:val="0"/>
      <w:divBdr>
        <w:top w:val="none" w:sz="0" w:space="0" w:color="auto"/>
        <w:left w:val="none" w:sz="0" w:space="0" w:color="auto"/>
        <w:bottom w:val="none" w:sz="0" w:space="0" w:color="auto"/>
        <w:right w:val="none" w:sz="0" w:space="0" w:color="auto"/>
      </w:divBdr>
    </w:div>
    <w:div w:id="1802266118">
      <w:bodyDiv w:val="1"/>
      <w:marLeft w:val="0"/>
      <w:marRight w:val="0"/>
      <w:marTop w:val="0"/>
      <w:marBottom w:val="0"/>
      <w:divBdr>
        <w:top w:val="none" w:sz="0" w:space="0" w:color="auto"/>
        <w:left w:val="none" w:sz="0" w:space="0" w:color="auto"/>
        <w:bottom w:val="none" w:sz="0" w:space="0" w:color="auto"/>
        <w:right w:val="none" w:sz="0" w:space="0" w:color="auto"/>
      </w:divBdr>
    </w:div>
    <w:div w:id="1802383237">
      <w:bodyDiv w:val="1"/>
      <w:marLeft w:val="0"/>
      <w:marRight w:val="0"/>
      <w:marTop w:val="0"/>
      <w:marBottom w:val="0"/>
      <w:divBdr>
        <w:top w:val="none" w:sz="0" w:space="0" w:color="auto"/>
        <w:left w:val="none" w:sz="0" w:space="0" w:color="auto"/>
        <w:bottom w:val="none" w:sz="0" w:space="0" w:color="auto"/>
        <w:right w:val="none" w:sz="0" w:space="0" w:color="auto"/>
      </w:divBdr>
      <w:divsChild>
        <w:div w:id="1958023419">
          <w:marLeft w:val="0"/>
          <w:marRight w:val="0"/>
          <w:marTop w:val="0"/>
          <w:marBottom w:val="0"/>
          <w:divBdr>
            <w:top w:val="none" w:sz="0" w:space="0" w:color="auto"/>
            <w:left w:val="none" w:sz="0" w:space="0" w:color="auto"/>
            <w:bottom w:val="none" w:sz="0" w:space="0" w:color="auto"/>
            <w:right w:val="none" w:sz="0" w:space="0" w:color="auto"/>
          </w:divBdr>
          <w:divsChild>
            <w:div w:id="78905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158528">
      <w:bodyDiv w:val="1"/>
      <w:marLeft w:val="0"/>
      <w:marRight w:val="0"/>
      <w:marTop w:val="0"/>
      <w:marBottom w:val="0"/>
      <w:divBdr>
        <w:top w:val="none" w:sz="0" w:space="0" w:color="auto"/>
        <w:left w:val="none" w:sz="0" w:space="0" w:color="auto"/>
        <w:bottom w:val="none" w:sz="0" w:space="0" w:color="auto"/>
        <w:right w:val="none" w:sz="0" w:space="0" w:color="auto"/>
      </w:divBdr>
      <w:divsChild>
        <w:div w:id="1030883982">
          <w:marLeft w:val="480"/>
          <w:marRight w:val="0"/>
          <w:marTop w:val="0"/>
          <w:marBottom w:val="0"/>
          <w:divBdr>
            <w:top w:val="none" w:sz="0" w:space="0" w:color="auto"/>
            <w:left w:val="none" w:sz="0" w:space="0" w:color="auto"/>
            <w:bottom w:val="none" w:sz="0" w:space="0" w:color="auto"/>
            <w:right w:val="none" w:sz="0" w:space="0" w:color="auto"/>
          </w:divBdr>
          <w:divsChild>
            <w:div w:id="112769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31174">
      <w:bodyDiv w:val="1"/>
      <w:marLeft w:val="0"/>
      <w:marRight w:val="0"/>
      <w:marTop w:val="0"/>
      <w:marBottom w:val="0"/>
      <w:divBdr>
        <w:top w:val="none" w:sz="0" w:space="0" w:color="auto"/>
        <w:left w:val="none" w:sz="0" w:space="0" w:color="auto"/>
        <w:bottom w:val="none" w:sz="0" w:space="0" w:color="auto"/>
        <w:right w:val="none" w:sz="0" w:space="0" w:color="auto"/>
      </w:divBdr>
    </w:div>
    <w:div w:id="1814636087">
      <w:bodyDiv w:val="1"/>
      <w:marLeft w:val="0"/>
      <w:marRight w:val="0"/>
      <w:marTop w:val="0"/>
      <w:marBottom w:val="0"/>
      <w:divBdr>
        <w:top w:val="none" w:sz="0" w:space="0" w:color="auto"/>
        <w:left w:val="none" w:sz="0" w:space="0" w:color="auto"/>
        <w:bottom w:val="none" w:sz="0" w:space="0" w:color="auto"/>
        <w:right w:val="none" w:sz="0" w:space="0" w:color="auto"/>
      </w:divBdr>
    </w:div>
    <w:div w:id="1820996213">
      <w:bodyDiv w:val="1"/>
      <w:marLeft w:val="0"/>
      <w:marRight w:val="0"/>
      <w:marTop w:val="0"/>
      <w:marBottom w:val="0"/>
      <w:divBdr>
        <w:top w:val="none" w:sz="0" w:space="0" w:color="auto"/>
        <w:left w:val="none" w:sz="0" w:space="0" w:color="auto"/>
        <w:bottom w:val="none" w:sz="0" w:space="0" w:color="auto"/>
        <w:right w:val="none" w:sz="0" w:space="0" w:color="auto"/>
      </w:divBdr>
    </w:div>
    <w:div w:id="1830779441">
      <w:bodyDiv w:val="1"/>
      <w:marLeft w:val="0"/>
      <w:marRight w:val="0"/>
      <w:marTop w:val="0"/>
      <w:marBottom w:val="0"/>
      <w:divBdr>
        <w:top w:val="none" w:sz="0" w:space="0" w:color="auto"/>
        <w:left w:val="none" w:sz="0" w:space="0" w:color="auto"/>
        <w:bottom w:val="none" w:sz="0" w:space="0" w:color="auto"/>
        <w:right w:val="none" w:sz="0" w:space="0" w:color="auto"/>
      </w:divBdr>
    </w:div>
    <w:div w:id="1853182229">
      <w:bodyDiv w:val="1"/>
      <w:marLeft w:val="0"/>
      <w:marRight w:val="0"/>
      <w:marTop w:val="0"/>
      <w:marBottom w:val="0"/>
      <w:divBdr>
        <w:top w:val="none" w:sz="0" w:space="0" w:color="auto"/>
        <w:left w:val="none" w:sz="0" w:space="0" w:color="auto"/>
        <w:bottom w:val="none" w:sz="0" w:space="0" w:color="auto"/>
        <w:right w:val="none" w:sz="0" w:space="0" w:color="auto"/>
      </w:divBdr>
    </w:div>
    <w:div w:id="1855222808">
      <w:bodyDiv w:val="1"/>
      <w:marLeft w:val="0"/>
      <w:marRight w:val="0"/>
      <w:marTop w:val="0"/>
      <w:marBottom w:val="0"/>
      <w:divBdr>
        <w:top w:val="none" w:sz="0" w:space="0" w:color="auto"/>
        <w:left w:val="none" w:sz="0" w:space="0" w:color="auto"/>
        <w:bottom w:val="none" w:sz="0" w:space="0" w:color="auto"/>
        <w:right w:val="none" w:sz="0" w:space="0" w:color="auto"/>
      </w:divBdr>
    </w:div>
    <w:div w:id="1859394786">
      <w:bodyDiv w:val="1"/>
      <w:marLeft w:val="0"/>
      <w:marRight w:val="0"/>
      <w:marTop w:val="0"/>
      <w:marBottom w:val="0"/>
      <w:divBdr>
        <w:top w:val="none" w:sz="0" w:space="0" w:color="auto"/>
        <w:left w:val="none" w:sz="0" w:space="0" w:color="auto"/>
        <w:bottom w:val="none" w:sz="0" w:space="0" w:color="auto"/>
        <w:right w:val="none" w:sz="0" w:space="0" w:color="auto"/>
      </w:divBdr>
    </w:div>
    <w:div w:id="1860973603">
      <w:bodyDiv w:val="1"/>
      <w:marLeft w:val="0"/>
      <w:marRight w:val="0"/>
      <w:marTop w:val="0"/>
      <w:marBottom w:val="0"/>
      <w:divBdr>
        <w:top w:val="none" w:sz="0" w:space="0" w:color="auto"/>
        <w:left w:val="none" w:sz="0" w:space="0" w:color="auto"/>
        <w:bottom w:val="none" w:sz="0" w:space="0" w:color="auto"/>
        <w:right w:val="none" w:sz="0" w:space="0" w:color="auto"/>
      </w:divBdr>
    </w:div>
    <w:div w:id="1862350532">
      <w:bodyDiv w:val="1"/>
      <w:marLeft w:val="0"/>
      <w:marRight w:val="0"/>
      <w:marTop w:val="0"/>
      <w:marBottom w:val="0"/>
      <w:divBdr>
        <w:top w:val="none" w:sz="0" w:space="0" w:color="auto"/>
        <w:left w:val="none" w:sz="0" w:space="0" w:color="auto"/>
        <w:bottom w:val="none" w:sz="0" w:space="0" w:color="auto"/>
        <w:right w:val="none" w:sz="0" w:space="0" w:color="auto"/>
      </w:divBdr>
    </w:div>
    <w:div w:id="1867330864">
      <w:bodyDiv w:val="1"/>
      <w:marLeft w:val="0"/>
      <w:marRight w:val="0"/>
      <w:marTop w:val="0"/>
      <w:marBottom w:val="0"/>
      <w:divBdr>
        <w:top w:val="none" w:sz="0" w:space="0" w:color="auto"/>
        <w:left w:val="none" w:sz="0" w:space="0" w:color="auto"/>
        <w:bottom w:val="none" w:sz="0" w:space="0" w:color="auto"/>
        <w:right w:val="none" w:sz="0" w:space="0" w:color="auto"/>
      </w:divBdr>
      <w:divsChild>
        <w:div w:id="730159657">
          <w:marLeft w:val="0"/>
          <w:marRight w:val="0"/>
          <w:marTop w:val="0"/>
          <w:marBottom w:val="0"/>
          <w:divBdr>
            <w:top w:val="none" w:sz="0" w:space="0" w:color="auto"/>
            <w:left w:val="none" w:sz="0" w:space="0" w:color="auto"/>
            <w:bottom w:val="none" w:sz="0" w:space="0" w:color="auto"/>
            <w:right w:val="none" w:sz="0" w:space="0" w:color="auto"/>
          </w:divBdr>
          <w:divsChild>
            <w:div w:id="718288841">
              <w:marLeft w:val="0"/>
              <w:marRight w:val="0"/>
              <w:marTop w:val="0"/>
              <w:marBottom w:val="0"/>
              <w:divBdr>
                <w:top w:val="none" w:sz="0" w:space="0" w:color="auto"/>
                <w:left w:val="none" w:sz="0" w:space="0" w:color="auto"/>
                <w:bottom w:val="none" w:sz="0" w:space="0" w:color="auto"/>
                <w:right w:val="none" w:sz="0" w:space="0" w:color="auto"/>
              </w:divBdr>
              <w:divsChild>
                <w:div w:id="157300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184886">
      <w:bodyDiv w:val="1"/>
      <w:marLeft w:val="0"/>
      <w:marRight w:val="0"/>
      <w:marTop w:val="0"/>
      <w:marBottom w:val="0"/>
      <w:divBdr>
        <w:top w:val="none" w:sz="0" w:space="0" w:color="auto"/>
        <w:left w:val="none" w:sz="0" w:space="0" w:color="auto"/>
        <w:bottom w:val="none" w:sz="0" w:space="0" w:color="auto"/>
        <w:right w:val="none" w:sz="0" w:space="0" w:color="auto"/>
      </w:divBdr>
    </w:div>
    <w:div w:id="1907959967">
      <w:bodyDiv w:val="1"/>
      <w:marLeft w:val="0"/>
      <w:marRight w:val="0"/>
      <w:marTop w:val="0"/>
      <w:marBottom w:val="0"/>
      <w:divBdr>
        <w:top w:val="none" w:sz="0" w:space="0" w:color="auto"/>
        <w:left w:val="none" w:sz="0" w:space="0" w:color="auto"/>
        <w:bottom w:val="none" w:sz="0" w:space="0" w:color="auto"/>
        <w:right w:val="none" w:sz="0" w:space="0" w:color="auto"/>
      </w:divBdr>
    </w:div>
    <w:div w:id="1921670489">
      <w:bodyDiv w:val="1"/>
      <w:marLeft w:val="0"/>
      <w:marRight w:val="0"/>
      <w:marTop w:val="0"/>
      <w:marBottom w:val="0"/>
      <w:divBdr>
        <w:top w:val="none" w:sz="0" w:space="0" w:color="auto"/>
        <w:left w:val="none" w:sz="0" w:space="0" w:color="auto"/>
        <w:bottom w:val="none" w:sz="0" w:space="0" w:color="auto"/>
        <w:right w:val="none" w:sz="0" w:space="0" w:color="auto"/>
      </w:divBdr>
    </w:div>
    <w:div w:id="1927690883">
      <w:bodyDiv w:val="1"/>
      <w:marLeft w:val="0"/>
      <w:marRight w:val="0"/>
      <w:marTop w:val="0"/>
      <w:marBottom w:val="0"/>
      <w:divBdr>
        <w:top w:val="none" w:sz="0" w:space="0" w:color="auto"/>
        <w:left w:val="none" w:sz="0" w:space="0" w:color="auto"/>
        <w:bottom w:val="none" w:sz="0" w:space="0" w:color="auto"/>
        <w:right w:val="none" w:sz="0" w:space="0" w:color="auto"/>
      </w:divBdr>
    </w:div>
    <w:div w:id="1950769644">
      <w:bodyDiv w:val="1"/>
      <w:marLeft w:val="0"/>
      <w:marRight w:val="0"/>
      <w:marTop w:val="0"/>
      <w:marBottom w:val="0"/>
      <w:divBdr>
        <w:top w:val="none" w:sz="0" w:space="0" w:color="auto"/>
        <w:left w:val="none" w:sz="0" w:space="0" w:color="auto"/>
        <w:bottom w:val="none" w:sz="0" w:space="0" w:color="auto"/>
        <w:right w:val="none" w:sz="0" w:space="0" w:color="auto"/>
      </w:divBdr>
    </w:div>
    <w:div w:id="1954632946">
      <w:bodyDiv w:val="1"/>
      <w:marLeft w:val="0"/>
      <w:marRight w:val="0"/>
      <w:marTop w:val="0"/>
      <w:marBottom w:val="0"/>
      <w:divBdr>
        <w:top w:val="none" w:sz="0" w:space="0" w:color="auto"/>
        <w:left w:val="none" w:sz="0" w:space="0" w:color="auto"/>
        <w:bottom w:val="none" w:sz="0" w:space="0" w:color="auto"/>
        <w:right w:val="none" w:sz="0" w:space="0" w:color="auto"/>
      </w:divBdr>
      <w:divsChild>
        <w:div w:id="1772772962">
          <w:marLeft w:val="480"/>
          <w:marRight w:val="0"/>
          <w:marTop w:val="0"/>
          <w:marBottom w:val="0"/>
          <w:divBdr>
            <w:top w:val="none" w:sz="0" w:space="0" w:color="auto"/>
            <w:left w:val="none" w:sz="0" w:space="0" w:color="auto"/>
            <w:bottom w:val="none" w:sz="0" w:space="0" w:color="auto"/>
            <w:right w:val="none" w:sz="0" w:space="0" w:color="auto"/>
          </w:divBdr>
          <w:divsChild>
            <w:div w:id="16002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43345">
      <w:bodyDiv w:val="1"/>
      <w:marLeft w:val="0"/>
      <w:marRight w:val="0"/>
      <w:marTop w:val="0"/>
      <w:marBottom w:val="0"/>
      <w:divBdr>
        <w:top w:val="none" w:sz="0" w:space="0" w:color="auto"/>
        <w:left w:val="none" w:sz="0" w:space="0" w:color="auto"/>
        <w:bottom w:val="none" w:sz="0" w:space="0" w:color="auto"/>
        <w:right w:val="none" w:sz="0" w:space="0" w:color="auto"/>
      </w:divBdr>
    </w:div>
    <w:div w:id="1965501787">
      <w:bodyDiv w:val="1"/>
      <w:marLeft w:val="0"/>
      <w:marRight w:val="0"/>
      <w:marTop w:val="0"/>
      <w:marBottom w:val="0"/>
      <w:divBdr>
        <w:top w:val="none" w:sz="0" w:space="0" w:color="auto"/>
        <w:left w:val="none" w:sz="0" w:space="0" w:color="auto"/>
        <w:bottom w:val="none" w:sz="0" w:space="0" w:color="auto"/>
        <w:right w:val="none" w:sz="0" w:space="0" w:color="auto"/>
      </w:divBdr>
    </w:div>
    <w:div w:id="1972049604">
      <w:bodyDiv w:val="1"/>
      <w:marLeft w:val="0"/>
      <w:marRight w:val="0"/>
      <w:marTop w:val="0"/>
      <w:marBottom w:val="0"/>
      <w:divBdr>
        <w:top w:val="none" w:sz="0" w:space="0" w:color="auto"/>
        <w:left w:val="none" w:sz="0" w:space="0" w:color="auto"/>
        <w:bottom w:val="none" w:sz="0" w:space="0" w:color="auto"/>
        <w:right w:val="none" w:sz="0" w:space="0" w:color="auto"/>
      </w:divBdr>
    </w:div>
    <w:div w:id="1973553447">
      <w:bodyDiv w:val="1"/>
      <w:marLeft w:val="0"/>
      <w:marRight w:val="0"/>
      <w:marTop w:val="0"/>
      <w:marBottom w:val="0"/>
      <w:divBdr>
        <w:top w:val="none" w:sz="0" w:space="0" w:color="auto"/>
        <w:left w:val="none" w:sz="0" w:space="0" w:color="auto"/>
        <w:bottom w:val="none" w:sz="0" w:space="0" w:color="auto"/>
        <w:right w:val="none" w:sz="0" w:space="0" w:color="auto"/>
      </w:divBdr>
    </w:div>
    <w:div w:id="1988775906">
      <w:bodyDiv w:val="1"/>
      <w:marLeft w:val="0"/>
      <w:marRight w:val="0"/>
      <w:marTop w:val="0"/>
      <w:marBottom w:val="0"/>
      <w:divBdr>
        <w:top w:val="none" w:sz="0" w:space="0" w:color="auto"/>
        <w:left w:val="none" w:sz="0" w:space="0" w:color="auto"/>
        <w:bottom w:val="none" w:sz="0" w:space="0" w:color="auto"/>
        <w:right w:val="none" w:sz="0" w:space="0" w:color="auto"/>
      </w:divBdr>
    </w:div>
    <w:div w:id="1999385176">
      <w:bodyDiv w:val="1"/>
      <w:marLeft w:val="0"/>
      <w:marRight w:val="0"/>
      <w:marTop w:val="0"/>
      <w:marBottom w:val="0"/>
      <w:divBdr>
        <w:top w:val="none" w:sz="0" w:space="0" w:color="auto"/>
        <w:left w:val="none" w:sz="0" w:space="0" w:color="auto"/>
        <w:bottom w:val="none" w:sz="0" w:space="0" w:color="auto"/>
        <w:right w:val="none" w:sz="0" w:space="0" w:color="auto"/>
      </w:divBdr>
    </w:div>
    <w:div w:id="2003853109">
      <w:bodyDiv w:val="1"/>
      <w:marLeft w:val="0"/>
      <w:marRight w:val="0"/>
      <w:marTop w:val="0"/>
      <w:marBottom w:val="0"/>
      <w:divBdr>
        <w:top w:val="none" w:sz="0" w:space="0" w:color="auto"/>
        <w:left w:val="none" w:sz="0" w:space="0" w:color="auto"/>
        <w:bottom w:val="none" w:sz="0" w:space="0" w:color="auto"/>
        <w:right w:val="none" w:sz="0" w:space="0" w:color="auto"/>
      </w:divBdr>
    </w:div>
    <w:div w:id="2004968937">
      <w:bodyDiv w:val="1"/>
      <w:marLeft w:val="0"/>
      <w:marRight w:val="0"/>
      <w:marTop w:val="0"/>
      <w:marBottom w:val="0"/>
      <w:divBdr>
        <w:top w:val="none" w:sz="0" w:space="0" w:color="auto"/>
        <w:left w:val="none" w:sz="0" w:space="0" w:color="auto"/>
        <w:bottom w:val="none" w:sz="0" w:space="0" w:color="auto"/>
        <w:right w:val="none" w:sz="0" w:space="0" w:color="auto"/>
      </w:divBdr>
    </w:div>
    <w:div w:id="2008246544">
      <w:bodyDiv w:val="1"/>
      <w:marLeft w:val="0"/>
      <w:marRight w:val="0"/>
      <w:marTop w:val="0"/>
      <w:marBottom w:val="0"/>
      <w:divBdr>
        <w:top w:val="none" w:sz="0" w:space="0" w:color="auto"/>
        <w:left w:val="none" w:sz="0" w:space="0" w:color="auto"/>
        <w:bottom w:val="none" w:sz="0" w:space="0" w:color="auto"/>
        <w:right w:val="none" w:sz="0" w:space="0" w:color="auto"/>
      </w:divBdr>
    </w:div>
    <w:div w:id="2011759926">
      <w:bodyDiv w:val="1"/>
      <w:marLeft w:val="0"/>
      <w:marRight w:val="0"/>
      <w:marTop w:val="0"/>
      <w:marBottom w:val="0"/>
      <w:divBdr>
        <w:top w:val="none" w:sz="0" w:space="0" w:color="auto"/>
        <w:left w:val="none" w:sz="0" w:space="0" w:color="auto"/>
        <w:bottom w:val="none" w:sz="0" w:space="0" w:color="auto"/>
        <w:right w:val="none" w:sz="0" w:space="0" w:color="auto"/>
      </w:divBdr>
      <w:divsChild>
        <w:div w:id="1176774238">
          <w:marLeft w:val="480"/>
          <w:marRight w:val="0"/>
          <w:marTop w:val="0"/>
          <w:marBottom w:val="0"/>
          <w:divBdr>
            <w:top w:val="none" w:sz="0" w:space="0" w:color="auto"/>
            <w:left w:val="none" w:sz="0" w:space="0" w:color="auto"/>
            <w:bottom w:val="none" w:sz="0" w:space="0" w:color="auto"/>
            <w:right w:val="none" w:sz="0" w:space="0" w:color="auto"/>
          </w:divBdr>
          <w:divsChild>
            <w:div w:id="121277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75327">
      <w:bodyDiv w:val="1"/>
      <w:marLeft w:val="0"/>
      <w:marRight w:val="0"/>
      <w:marTop w:val="0"/>
      <w:marBottom w:val="0"/>
      <w:divBdr>
        <w:top w:val="none" w:sz="0" w:space="0" w:color="auto"/>
        <w:left w:val="none" w:sz="0" w:space="0" w:color="auto"/>
        <w:bottom w:val="none" w:sz="0" w:space="0" w:color="auto"/>
        <w:right w:val="none" w:sz="0" w:space="0" w:color="auto"/>
      </w:divBdr>
    </w:div>
    <w:div w:id="2020307116">
      <w:bodyDiv w:val="1"/>
      <w:marLeft w:val="0"/>
      <w:marRight w:val="0"/>
      <w:marTop w:val="0"/>
      <w:marBottom w:val="0"/>
      <w:divBdr>
        <w:top w:val="none" w:sz="0" w:space="0" w:color="auto"/>
        <w:left w:val="none" w:sz="0" w:space="0" w:color="auto"/>
        <w:bottom w:val="none" w:sz="0" w:space="0" w:color="auto"/>
        <w:right w:val="none" w:sz="0" w:space="0" w:color="auto"/>
      </w:divBdr>
    </w:div>
    <w:div w:id="2029021981">
      <w:bodyDiv w:val="1"/>
      <w:marLeft w:val="0"/>
      <w:marRight w:val="0"/>
      <w:marTop w:val="0"/>
      <w:marBottom w:val="0"/>
      <w:divBdr>
        <w:top w:val="none" w:sz="0" w:space="0" w:color="auto"/>
        <w:left w:val="none" w:sz="0" w:space="0" w:color="auto"/>
        <w:bottom w:val="none" w:sz="0" w:space="0" w:color="auto"/>
        <w:right w:val="none" w:sz="0" w:space="0" w:color="auto"/>
      </w:divBdr>
    </w:div>
    <w:div w:id="2046521976">
      <w:bodyDiv w:val="1"/>
      <w:marLeft w:val="0"/>
      <w:marRight w:val="0"/>
      <w:marTop w:val="0"/>
      <w:marBottom w:val="0"/>
      <w:divBdr>
        <w:top w:val="none" w:sz="0" w:space="0" w:color="auto"/>
        <w:left w:val="none" w:sz="0" w:space="0" w:color="auto"/>
        <w:bottom w:val="none" w:sz="0" w:space="0" w:color="auto"/>
        <w:right w:val="none" w:sz="0" w:space="0" w:color="auto"/>
      </w:divBdr>
    </w:div>
    <w:div w:id="2057969949">
      <w:bodyDiv w:val="1"/>
      <w:marLeft w:val="0"/>
      <w:marRight w:val="0"/>
      <w:marTop w:val="0"/>
      <w:marBottom w:val="0"/>
      <w:divBdr>
        <w:top w:val="none" w:sz="0" w:space="0" w:color="auto"/>
        <w:left w:val="none" w:sz="0" w:space="0" w:color="auto"/>
        <w:bottom w:val="none" w:sz="0" w:space="0" w:color="auto"/>
        <w:right w:val="none" w:sz="0" w:space="0" w:color="auto"/>
      </w:divBdr>
    </w:div>
    <w:div w:id="2062829762">
      <w:bodyDiv w:val="1"/>
      <w:marLeft w:val="0"/>
      <w:marRight w:val="0"/>
      <w:marTop w:val="0"/>
      <w:marBottom w:val="0"/>
      <w:divBdr>
        <w:top w:val="none" w:sz="0" w:space="0" w:color="auto"/>
        <w:left w:val="none" w:sz="0" w:space="0" w:color="auto"/>
        <w:bottom w:val="none" w:sz="0" w:space="0" w:color="auto"/>
        <w:right w:val="none" w:sz="0" w:space="0" w:color="auto"/>
      </w:divBdr>
    </w:div>
    <w:div w:id="2074496896">
      <w:bodyDiv w:val="1"/>
      <w:marLeft w:val="0"/>
      <w:marRight w:val="0"/>
      <w:marTop w:val="0"/>
      <w:marBottom w:val="0"/>
      <w:divBdr>
        <w:top w:val="none" w:sz="0" w:space="0" w:color="auto"/>
        <w:left w:val="none" w:sz="0" w:space="0" w:color="auto"/>
        <w:bottom w:val="none" w:sz="0" w:space="0" w:color="auto"/>
        <w:right w:val="none" w:sz="0" w:space="0" w:color="auto"/>
      </w:divBdr>
    </w:div>
    <w:div w:id="2076314730">
      <w:bodyDiv w:val="1"/>
      <w:marLeft w:val="0"/>
      <w:marRight w:val="0"/>
      <w:marTop w:val="0"/>
      <w:marBottom w:val="0"/>
      <w:divBdr>
        <w:top w:val="none" w:sz="0" w:space="0" w:color="auto"/>
        <w:left w:val="none" w:sz="0" w:space="0" w:color="auto"/>
        <w:bottom w:val="none" w:sz="0" w:space="0" w:color="auto"/>
        <w:right w:val="none" w:sz="0" w:space="0" w:color="auto"/>
      </w:divBdr>
      <w:divsChild>
        <w:div w:id="1362439735">
          <w:marLeft w:val="0"/>
          <w:marRight w:val="0"/>
          <w:marTop w:val="0"/>
          <w:marBottom w:val="0"/>
          <w:divBdr>
            <w:top w:val="none" w:sz="0" w:space="0" w:color="auto"/>
            <w:left w:val="none" w:sz="0" w:space="0" w:color="auto"/>
            <w:bottom w:val="none" w:sz="0" w:space="0" w:color="auto"/>
            <w:right w:val="none" w:sz="0" w:space="0" w:color="auto"/>
          </w:divBdr>
          <w:divsChild>
            <w:div w:id="677581183">
              <w:marLeft w:val="0"/>
              <w:marRight w:val="0"/>
              <w:marTop w:val="0"/>
              <w:marBottom w:val="0"/>
              <w:divBdr>
                <w:top w:val="none" w:sz="0" w:space="0" w:color="auto"/>
                <w:left w:val="none" w:sz="0" w:space="0" w:color="auto"/>
                <w:bottom w:val="none" w:sz="0" w:space="0" w:color="auto"/>
                <w:right w:val="none" w:sz="0" w:space="0" w:color="auto"/>
              </w:divBdr>
              <w:divsChild>
                <w:div w:id="180257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864354">
      <w:bodyDiv w:val="1"/>
      <w:marLeft w:val="0"/>
      <w:marRight w:val="0"/>
      <w:marTop w:val="0"/>
      <w:marBottom w:val="0"/>
      <w:divBdr>
        <w:top w:val="none" w:sz="0" w:space="0" w:color="auto"/>
        <w:left w:val="none" w:sz="0" w:space="0" w:color="auto"/>
        <w:bottom w:val="none" w:sz="0" w:space="0" w:color="auto"/>
        <w:right w:val="none" w:sz="0" w:space="0" w:color="auto"/>
      </w:divBdr>
    </w:div>
    <w:div w:id="2090805504">
      <w:bodyDiv w:val="1"/>
      <w:marLeft w:val="0"/>
      <w:marRight w:val="0"/>
      <w:marTop w:val="0"/>
      <w:marBottom w:val="0"/>
      <w:divBdr>
        <w:top w:val="none" w:sz="0" w:space="0" w:color="auto"/>
        <w:left w:val="none" w:sz="0" w:space="0" w:color="auto"/>
        <w:bottom w:val="none" w:sz="0" w:space="0" w:color="auto"/>
        <w:right w:val="none" w:sz="0" w:space="0" w:color="auto"/>
      </w:divBdr>
    </w:div>
    <w:div w:id="2091350073">
      <w:bodyDiv w:val="1"/>
      <w:marLeft w:val="0"/>
      <w:marRight w:val="0"/>
      <w:marTop w:val="0"/>
      <w:marBottom w:val="0"/>
      <w:divBdr>
        <w:top w:val="none" w:sz="0" w:space="0" w:color="auto"/>
        <w:left w:val="none" w:sz="0" w:space="0" w:color="auto"/>
        <w:bottom w:val="none" w:sz="0" w:space="0" w:color="auto"/>
        <w:right w:val="none" w:sz="0" w:space="0" w:color="auto"/>
      </w:divBdr>
    </w:div>
    <w:div w:id="2092383116">
      <w:bodyDiv w:val="1"/>
      <w:marLeft w:val="0"/>
      <w:marRight w:val="0"/>
      <w:marTop w:val="0"/>
      <w:marBottom w:val="0"/>
      <w:divBdr>
        <w:top w:val="none" w:sz="0" w:space="0" w:color="auto"/>
        <w:left w:val="none" w:sz="0" w:space="0" w:color="auto"/>
        <w:bottom w:val="none" w:sz="0" w:space="0" w:color="auto"/>
        <w:right w:val="none" w:sz="0" w:space="0" w:color="auto"/>
      </w:divBdr>
    </w:div>
    <w:div w:id="2098670004">
      <w:bodyDiv w:val="1"/>
      <w:marLeft w:val="0"/>
      <w:marRight w:val="0"/>
      <w:marTop w:val="0"/>
      <w:marBottom w:val="0"/>
      <w:divBdr>
        <w:top w:val="none" w:sz="0" w:space="0" w:color="auto"/>
        <w:left w:val="none" w:sz="0" w:space="0" w:color="auto"/>
        <w:bottom w:val="none" w:sz="0" w:space="0" w:color="auto"/>
        <w:right w:val="none" w:sz="0" w:space="0" w:color="auto"/>
      </w:divBdr>
    </w:div>
    <w:div w:id="2117601646">
      <w:bodyDiv w:val="1"/>
      <w:marLeft w:val="0"/>
      <w:marRight w:val="0"/>
      <w:marTop w:val="0"/>
      <w:marBottom w:val="0"/>
      <w:divBdr>
        <w:top w:val="none" w:sz="0" w:space="0" w:color="auto"/>
        <w:left w:val="none" w:sz="0" w:space="0" w:color="auto"/>
        <w:bottom w:val="none" w:sz="0" w:space="0" w:color="auto"/>
        <w:right w:val="none" w:sz="0" w:space="0" w:color="auto"/>
      </w:divBdr>
    </w:div>
    <w:div w:id="2117867878">
      <w:bodyDiv w:val="1"/>
      <w:marLeft w:val="0"/>
      <w:marRight w:val="0"/>
      <w:marTop w:val="0"/>
      <w:marBottom w:val="0"/>
      <w:divBdr>
        <w:top w:val="none" w:sz="0" w:space="0" w:color="auto"/>
        <w:left w:val="none" w:sz="0" w:space="0" w:color="auto"/>
        <w:bottom w:val="none" w:sz="0" w:space="0" w:color="auto"/>
        <w:right w:val="none" w:sz="0" w:space="0" w:color="auto"/>
      </w:divBdr>
    </w:div>
    <w:div w:id="2120567279">
      <w:bodyDiv w:val="1"/>
      <w:marLeft w:val="0"/>
      <w:marRight w:val="0"/>
      <w:marTop w:val="0"/>
      <w:marBottom w:val="0"/>
      <w:divBdr>
        <w:top w:val="none" w:sz="0" w:space="0" w:color="auto"/>
        <w:left w:val="none" w:sz="0" w:space="0" w:color="auto"/>
        <w:bottom w:val="none" w:sz="0" w:space="0" w:color="auto"/>
        <w:right w:val="none" w:sz="0" w:space="0" w:color="auto"/>
      </w:divBdr>
    </w:div>
    <w:div w:id="2120828514">
      <w:bodyDiv w:val="1"/>
      <w:marLeft w:val="0"/>
      <w:marRight w:val="0"/>
      <w:marTop w:val="0"/>
      <w:marBottom w:val="0"/>
      <w:divBdr>
        <w:top w:val="none" w:sz="0" w:space="0" w:color="auto"/>
        <w:left w:val="none" w:sz="0" w:space="0" w:color="auto"/>
        <w:bottom w:val="none" w:sz="0" w:space="0" w:color="auto"/>
        <w:right w:val="none" w:sz="0" w:space="0" w:color="auto"/>
      </w:divBdr>
    </w:div>
    <w:div w:id="2123263541">
      <w:bodyDiv w:val="1"/>
      <w:marLeft w:val="0"/>
      <w:marRight w:val="0"/>
      <w:marTop w:val="0"/>
      <w:marBottom w:val="0"/>
      <w:divBdr>
        <w:top w:val="none" w:sz="0" w:space="0" w:color="auto"/>
        <w:left w:val="none" w:sz="0" w:space="0" w:color="auto"/>
        <w:bottom w:val="none" w:sz="0" w:space="0" w:color="auto"/>
        <w:right w:val="none" w:sz="0" w:space="0" w:color="auto"/>
      </w:divBdr>
    </w:div>
    <w:div w:id="2127769717">
      <w:bodyDiv w:val="1"/>
      <w:marLeft w:val="0"/>
      <w:marRight w:val="0"/>
      <w:marTop w:val="0"/>
      <w:marBottom w:val="0"/>
      <w:divBdr>
        <w:top w:val="none" w:sz="0" w:space="0" w:color="auto"/>
        <w:left w:val="none" w:sz="0" w:space="0" w:color="auto"/>
        <w:bottom w:val="none" w:sz="0" w:space="0" w:color="auto"/>
        <w:right w:val="none" w:sz="0" w:space="0" w:color="auto"/>
      </w:divBdr>
      <w:divsChild>
        <w:div w:id="714699090">
          <w:marLeft w:val="0"/>
          <w:marRight w:val="0"/>
          <w:marTop w:val="0"/>
          <w:marBottom w:val="0"/>
          <w:divBdr>
            <w:top w:val="none" w:sz="0" w:space="0" w:color="auto"/>
            <w:left w:val="none" w:sz="0" w:space="0" w:color="auto"/>
            <w:bottom w:val="none" w:sz="0" w:space="0" w:color="auto"/>
            <w:right w:val="none" w:sz="0" w:space="0" w:color="auto"/>
          </w:divBdr>
          <w:divsChild>
            <w:div w:id="1508133424">
              <w:marLeft w:val="0"/>
              <w:marRight w:val="0"/>
              <w:marTop w:val="0"/>
              <w:marBottom w:val="0"/>
              <w:divBdr>
                <w:top w:val="none" w:sz="0" w:space="0" w:color="auto"/>
                <w:left w:val="none" w:sz="0" w:space="0" w:color="auto"/>
                <w:bottom w:val="none" w:sz="0" w:space="0" w:color="auto"/>
                <w:right w:val="none" w:sz="0" w:space="0" w:color="auto"/>
              </w:divBdr>
              <w:divsChild>
                <w:div w:id="147891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489C6-BB4A-4A41-ABFF-2D8D1DAF4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93</Pages>
  <Words>56588</Words>
  <Characters>322553</Characters>
  <Application>Microsoft Office Word</Application>
  <DocSecurity>0</DocSecurity>
  <Lines>2687</Lines>
  <Paragraphs>756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Kameron Eck</dc:creator>
  <cp:keywords/>
  <dc:description/>
  <cp:lastModifiedBy>Eck, Kameron</cp:lastModifiedBy>
  <cp:revision>2</cp:revision>
  <dcterms:created xsi:type="dcterms:W3CDTF">2026-02-17T19:40:00Z</dcterms:created>
  <dcterms:modified xsi:type="dcterms:W3CDTF">2026-02-17T19:40:00Z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id="kykW3eka"/&gt;&lt;style id="http://www.zotero.org/styles/apa" locale="en-US" hasBibliography="1" bibliographyStyleHasBeenSet="1"/&gt;&lt;prefs&gt;&lt;pref name="fieldType" value="Field"/&gt;&lt;/prefs&gt;&lt;/data&gt;</vt:lpwstr>
  </property>
</Properties>
</file>