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6FB3" w14:textId="27269CB9" w:rsidR="006C729F" w:rsidRDefault="000365DC" w:rsidP="000365DC">
      <w:pPr>
        <w:jc w:val="center"/>
      </w:pPr>
      <w:r>
        <w:t xml:space="preserve">Excel </w:t>
      </w:r>
      <w:r w:rsidR="00142403">
        <w:t xml:space="preserve">Challenge Word </w:t>
      </w:r>
      <w:r>
        <w:t>Cont.</w:t>
      </w:r>
    </w:p>
    <w:p w14:paraId="756E81EF" w14:textId="77777777" w:rsidR="00142403" w:rsidRDefault="00142403" w:rsidP="00142403">
      <w:pPr>
        <w:pStyle w:val="ListParagraph"/>
        <w:numPr>
          <w:ilvl w:val="0"/>
          <w:numId w:val="3"/>
        </w:numPr>
      </w:pPr>
      <w:r>
        <w:t xml:space="preserve">The first conclusion that can be drawn is that plays have the most backing from </w:t>
      </w:r>
      <w:proofErr w:type="spellStart"/>
      <w:r>
        <w:t>Kickstarters</w:t>
      </w:r>
      <w:proofErr w:type="spellEnd"/>
      <w:r>
        <w:t xml:space="preserve">. More than 25% of the data sheet was plays alone. We can also conclude that over 2/3 of </w:t>
      </w:r>
      <w:proofErr w:type="spellStart"/>
      <w:r>
        <w:t>Kickstarters</w:t>
      </w:r>
      <w:proofErr w:type="spellEnd"/>
      <w:r>
        <w:t xml:space="preserve"> for the plays were successful or are currently live. We can deduce for a second conclusion that in the months of September and October, projects have the highest probability of change. Failed projects increased by 52%, as the successful projects also increased by 62%. The last conclusion that can be suggested is that web </w:t>
      </w:r>
      <w:proofErr w:type="spellStart"/>
      <w:r>
        <w:t>Kickstarters</w:t>
      </w:r>
      <w:proofErr w:type="spellEnd"/>
      <w:r>
        <w:t xml:space="preserve"> have the most cancelations. This is due to none of the web projects goals being met.</w:t>
      </w:r>
    </w:p>
    <w:p w14:paraId="4DD2142D" w14:textId="77777777" w:rsidR="00E36D66" w:rsidRDefault="00E36D66" w:rsidP="00E36D66">
      <w:pPr>
        <w:pStyle w:val="ListParagraph"/>
        <w:numPr>
          <w:ilvl w:val="0"/>
          <w:numId w:val="3"/>
        </w:numPr>
        <w:spacing w:line="256" w:lineRule="auto"/>
      </w:pPr>
      <w:r>
        <w:t xml:space="preserve">A limitation of this dataset includes that lack of regional representation. For example, the Bohemian Balcony – A Creative Space for All, is successful in GB because is made for the people in their community. Whereas, in the US it is unknown what the success rate would be because it was not created for the people within that region. Though, Create the Twisted Tree Theatre failed in GB. The lack of success could be due to the lack of interest in this region. However, this isn’t to say that Create the Twisted Tree Theatre would not be successful in another country. </w:t>
      </w:r>
    </w:p>
    <w:p w14:paraId="2070E8AA" w14:textId="6E715759" w:rsidR="00142403" w:rsidRDefault="00142403" w:rsidP="00142403">
      <w:pPr>
        <w:pStyle w:val="ListParagraph"/>
        <w:numPr>
          <w:ilvl w:val="0"/>
          <w:numId w:val="3"/>
        </w:numPr>
      </w:pPr>
    </w:p>
    <w:sectPr w:rsidR="0014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DEF"/>
    <w:multiLevelType w:val="hybridMultilevel"/>
    <w:tmpl w:val="EC00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7956"/>
    <w:multiLevelType w:val="hybridMultilevel"/>
    <w:tmpl w:val="4816D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D1A0D"/>
    <w:multiLevelType w:val="hybridMultilevel"/>
    <w:tmpl w:val="E88E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DC"/>
    <w:rsid w:val="000365DC"/>
    <w:rsid w:val="00142403"/>
    <w:rsid w:val="006C729F"/>
    <w:rsid w:val="00E3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2728"/>
  <w15:chartTrackingRefBased/>
  <w15:docId w15:val="{18B8448D-F3B2-4397-97F2-45BD6E84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Dee</dc:creator>
  <cp:keywords/>
  <dc:description/>
  <cp:lastModifiedBy>Kam Dee</cp:lastModifiedBy>
  <cp:revision>3</cp:revision>
  <dcterms:created xsi:type="dcterms:W3CDTF">2022-03-28T23:21:00Z</dcterms:created>
  <dcterms:modified xsi:type="dcterms:W3CDTF">2022-03-29T02:43:00Z</dcterms:modified>
</cp:coreProperties>
</file>