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rPr>
        <w:t>WarrantyTrack Project Documentation</w:t>
      </w:r>
    </w:p>
    <w:p>
      <w:r>
        <w:rPr>
          <w:rFonts w:ascii="Arial" w:hAnsi="Arial"/>
          <w:sz w:val="20"/>
        </w:rPr>
        <w:t>Spring Boot Project Submission Documentation</w:t>
      </w:r>
    </w:p>
    <w:p>
      <w:r>
        <w:rPr>
          <w:rFonts w:ascii="Arial" w:hAnsi="Arial"/>
          <w:sz w:val="20"/>
        </w:rPr>
        <w:t>Prepared to align with the supplied Spring Boot project evaluation rubric. Verify all implementation-specific details against the actual source code before submission.</w:t>
      </w:r>
    </w:p>
    <w:p>
      <w:pPr>
        <w:pStyle w:val="Heading1"/>
      </w:pPr>
      <w:r>
        <w:rPr>
          <w:rFonts w:ascii="Arial" w:hAnsi="Arial"/>
        </w:rPr>
        <w:t>1. Project Overview</w:t>
      </w:r>
    </w:p>
    <w:p>
      <w:r>
        <w:rPr>
          <w:rFonts w:ascii="Arial" w:hAnsi="Arial"/>
          <w:sz w:val="20"/>
        </w:rPr>
        <w:t>WarrantyTrack is a project intended to help users organize and track product warranty information. The project context includes a dashboard/web interface and a Spring Boot backend. The purpose of the application is to make warranty records easier to view and manage. The precise implemented features and fields must be confirmed from the submitted code.</w:t>
      </w:r>
    </w:p>
    <w:p>
      <w:pPr>
        <w:pStyle w:val="Heading1"/>
      </w:pPr>
      <w:r>
        <w:rPr>
          <w:rFonts w:ascii="Arial" w:hAnsi="Arial"/>
        </w:rPr>
        <w:t>2. Problem Statement</w:t>
      </w:r>
    </w:p>
    <w:p>
      <w:r>
        <w:rPr>
          <w:rFonts w:ascii="Arial" w:hAnsi="Arial"/>
          <w:sz w:val="20"/>
        </w:rPr>
        <w:t>Warranty information can be difficult to keep organized when purchase details, warranty periods, and product records are stored in different places. WarrantyTrack aims to provide a central application for managing these details, subject to the features implemented in the current version.</w:t>
      </w:r>
    </w:p>
    <w:p>
      <w:pPr>
        <w:pStyle w:val="Heading1"/>
      </w:pPr>
      <w:r>
        <w:rPr>
          <w:rFonts w:ascii="Arial" w:hAnsi="Arial"/>
        </w:rPr>
        <w:t>3. Objectives</w:t>
      </w:r>
    </w:p>
    <w:p>
      <w:pPr>
        <w:pStyle w:val="ListBullet"/>
      </w:pPr>
      <w:r>
        <w:rPr>
          <w:rFonts w:ascii="Arial" w:hAnsi="Arial"/>
        </w:rPr>
        <w:t>Provide a single place to view and manage product warranty records.</w:t>
      </w:r>
    </w:p>
    <w:p>
      <w:pPr>
        <w:pStyle w:val="ListBullet"/>
      </w:pPr>
      <w:r>
        <w:rPr>
          <w:rFonts w:ascii="Arial" w:hAnsi="Arial"/>
        </w:rPr>
        <w:t>Expose backend operations through clear web or REST interfaces where implemented.</w:t>
      </w:r>
    </w:p>
    <w:p>
      <w:pPr>
        <w:pStyle w:val="ListBullet"/>
      </w:pPr>
      <w:r>
        <w:rPr>
          <w:rFonts w:ascii="Arial" w:hAnsi="Arial"/>
        </w:rPr>
        <w:t>Separate request handling, business logic, and persistence responsibilities.</w:t>
      </w:r>
    </w:p>
    <w:p>
      <w:pPr>
        <w:pStyle w:val="ListBullet"/>
      </w:pPr>
      <w:r>
        <w:rPr>
          <w:rFonts w:ascii="Arial" w:hAnsi="Arial"/>
        </w:rPr>
        <w:t>Store warranty data reliably when a database and persistence layer are configured.</w:t>
      </w:r>
    </w:p>
    <w:p>
      <w:pPr>
        <w:pStyle w:val="ListBullet"/>
      </w:pPr>
      <w:r>
        <w:rPr>
          <w:rFonts w:ascii="Arial" w:hAnsi="Arial"/>
        </w:rPr>
        <w:t>Provide setup and API instructions that allow another person to run and test the project.</w:t>
      </w:r>
    </w:p>
    <w:p>
      <w:pPr>
        <w:pStyle w:val="Heading1"/>
      </w:pPr>
      <w:r>
        <w:rPr>
          <w:rFonts w:ascii="Arial" w:hAnsi="Arial"/>
        </w:rPr>
        <w:t>4. Technology Stack</w:t>
      </w:r>
    </w:p>
    <w:p>
      <w:r>
        <w:rPr>
          <w:rFonts w:ascii="Arial" w:hAnsi="Arial"/>
          <w:sz w:val="20"/>
        </w:rPr>
        <w:t>Confirm each item against pom.xml, application.properties/application.yml, and the source tree.</w:t>
      </w:r>
    </w:p>
    <w:p>
      <w:pPr>
        <w:pStyle w:val="ListBullet"/>
      </w:pPr>
      <w:r>
        <w:rPr>
          <w:rFonts w:ascii="Arial" w:hAnsi="Arial"/>
        </w:rPr>
        <w:t>Language: Java (exact version to be confirmed).</w:t>
      </w:r>
    </w:p>
    <w:p>
      <w:pPr>
        <w:pStyle w:val="ListBullet"/>
      </w:pPr>
      <w:r>
        <w:rPr>
          <w:rFonts w:ascii="Arial" w:hAnsi="Arial"/>
        </w:rPr>
        <w:t>Framework: Spring Boot (exact version to be confirmed).</w:t>
      </w:r>
    </w:p>
    <w:p>
      <w:pPr>
        <w:pStyle w:val="ListBullet"/>
      </w:pPr>
      <w:r>
        <w:rPr>
          <w:rFonts w:ascii="Arial" w:hAnsi="Arial"/>
        </w:rPr>
        <w:t>Web/API layer: Spring Web / REST controllers, if included.</w:t>
      </w:r>
    </w:p>
    <w:p>
      <w:pPr>
        <w:pStyle w:val="ListBullet"/>
      </w:pPr>
      <w:r>
        <w:rPr>
          <w:rFonts w:ascii="Arial" w:hAnsi="Arial"/>
        </w:rPr>
        <w:t>Persistence: Spring Data JPA and a database, if included.</w:t>
      </w:r>
    </w:p>
    <w:p>
      <w:pPr>
        <w:pStyle w:val="ListBullet"/>
      </w:pPr>
      <w:r>
        <w:rPr>
          <w:rFonts w:ascii="Arial" w:hAnsi="Arial"/>
        </w:rPr>
        <w:t>Frontend: HTML, CSS, and JavaScript if the dashboard files are part of the project.</w:t>
      </w:r>
    </w:p>
    <w:p>
      <w:pPr>
        <w:pStyle w:val="ListBullet"/>
      </w:pPr>
      <w:r>
        <w:rPr>
          <w:rFonts w:ascii="Arial" w:hAnsi="Arial"/>
        </w:rPr>
        <w:t>Testing/documentation tools: JUnit, Postman, Swagger/OpenAPI, only where present or used.</w:t>
      </w:r>
    </w:p>
    <w:p>
      <w:pPr>
        <w:pStyle w:val="Heading1"/>
      </w:pPr>
      <w:r>
        <w:rPr>
          <w:rFonts w:ascii="Arial" w:hAnsi="Arial"/>
        </w:rPr>
        <w:t>5. System Architecture</w:t>
      </w:r>
    </w:p>
    <w:p>
      <w:r>
        <w:rPr>
          <w:rFonts w:ascii="Arial" w:hAnsi="Arial"/>
          <w:sz w:val="20"/>
        </w:rPr>
        <w:t>The following is the standard layered design expected for a Spring Boot CRUD project. Adjust it to match the actual package and class structure.</w:t>
      </w:r>
    </w:p>
    <w:p>
      <w:r>
        <w:rPr>
          <w:rFonts w:ascii="Arial" w:hAnsi="Arial"/>
          <w:sz w:val="20"/>
        </w:rPr>
        <w:t>Client / Dashboard</w:t>
      </w:r>
    </w:p>
    <w:p>
      <w:r>
        <w:rPr>
          <w:rFonts w:ascii="Arial" w:hAnsi="Arial"/>
          <w:sz w:val="20"/>
        </w:rPr>
        <w:t xml:space="preserve">        ↓</w:t>
      </w:r>
    </w:p>
    <w:p>
      <w:r>
        <w:rPr>
          <w:rFonts w:ascii="Arial" w:hAnsi="Arial"/>
          <w:sz w:val="20"/>
        </w:rPr>
        <w:t>Controller layer — receives HTTP requests and returns responses</w:t>
      </w:r>
    </w:p>
    <w:p>
      <w:r>
        <w:rPr>
          <w:rFonts w:ascii="Arial" w:hAnsi="Arial"/>
          <w:sz w:val="20"/>
        </w:rPr>
        <w:t xml:space="preserve">        ↓</w:t>
      </w:r>
    </w:p>
    <w:p>
      <w:r>
        <w:rPr>
          <w:rFonts w:ascii="Arial" w:hAnsi="Arial"/>
          <w:sz w:val="20"/>
        </w:rPr>
        <w:t>Service layer — contains business rules and coordinates operations</w:t>
      </w:r>
    </w:p>
    <w:p>
      <w:r>
        <w:rPr>
          <w:rFonts w:ascii="Arial" w:hAnsi="Arial"/>
          <w:sz w:val="20"/>
        </w:rPr>
        <w:t xml:space="preserve">        ↓</w:t>
      </w:r>
    </w:p>
    <w:p>
      <w:r>
        <w:rPr>
          <w:rFonts w:ascii="Arial" w:hAnsi="Arial"/>
          <w:sz w:val="20"/>
        </w:rPr>
        <w:t>Repository layer — accesses persisted data through Spring Data JPA, if used</w:t>
      </w:r>
    </w:p>
    <w:p>
      <w:r>
        <w:rPr>
          <w:rFonts w:ascii="Arial" w:hAnsi="Arial"/>
          <w:sz w:val="20"/>
        </w:rPr>
        <w:t xml:space="preserve">        ↓</w:t>
      </w:r>
    </w:p>
    <w:p>
      <w:r>
        <w:rPr>
          <w:rFonts w:ascii="Arial" w:hAnsi="Arial"/>
          <w:sz w:val="20"/>
        </w:rPr>
        <w:t>Database — stores warranty records, if configured</w:t>
      </w:r>
    </w:p>
    <w:p>
      <w:r>
        <w:rPr>
          <w:rFonts w:ascii="Arial" w:hAnsi="Arial"/>
          <w:sz w:val="20"/>
        </w:rPr>
        <w:t>Request flow: a user action from the dashboard or an API client sends an HTTP request to a controller. The controller delegates work to a service. The service applies business rules and calls a repository for data access. The result is returned through the controller as an HTTP response. The exact flow should be checked against the implementation.</w:t>
      </w:r>
    </w:p>
    <w:p>
      <w:pPr>
        <w:pStyle w:val="Heading1"/>
      </w:pPr>
      <w:r>
        <w:rPr>
          <w:rFonts w:ascii="Arial" w:hAnsi="Arial"/>
        </w:rPr>
        <w:t>6. Main Components and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Responsibility</w:t>
            </w:r>
          </w:p>
        </w:tc>
      </w:tr>
      <w:tr>
        <w:tc>
          <w:tcPr>
            <w:tcW w:type="dxa" w:w="4320"/>
          </w:tcPr>
          <w:p>
            <w:r>
              <w:t>Controller</w:t>
            </w:r>
          </w:p>
        </w:tc>
        <w:tc>
          <w:tcPr>
            <w:tcW w:type="dxa" w:w="4320"/>
          </w:tcPr>
          <w:p>
            <w:r>
              <w:t>Maps HTTP routes, accepts request data, invokes the service, and returns response bodies/status codes.</w:t>
            </w:r>
          </w:p>
        </w:tc>
      </w:tr>
      <w:tr>
        <w:tc>
          <w:tcPr>
            <w:tcW w:type="dxa" w:w="4320"/>
          </w:tcPr>
          <w:p>
            <w:r>
              <w:t>Service</w:t>
            </w:r>
          </w:p>
        </w:tc>
        <w:tc>
          <w:tcPr>
            <w:tcW w:type="dxa" w:w="4320"/>
          </w:tcPr>
          <w:p>
            <w:r>
              <w:t>Keeps business logic separate from the web layer and coordinates create/read/update/delete operations.</w:t>
            </w:r>
          </w:p>
        </w:tc>
      </w:tr>
      <w:tr>
        <w:tc>
          <w:tcPr>
            <w:tcW w:type="dxa" w:w="4320"/>
          </w:tcPr>
          <w:p>
            <w:r>
              <w:t>Repository</w:t>
            </w:r>
          </w:p>
        </w:tc>
        <w:tc>
          <w:tcPr>
            <w:tcW w:type="dxa" w:w="4320"/>
          </w:tcPr>
          <w:p>
            <w:r>
              <w:t>Provides database operations, commonly through JpaRepository, if Spring Data JPA is used.</w:t>
            </w:r>
          </w:p>
        </w:tc>
      </w:tr>
      <w:tr>
        <w:tc>
          <w:tcPr>
            <w:tcW w:type="dxa" w:w="4320"/>
          </w:tcPr>
          <w:p>
            <w:r>
              <w:t>Model / Entity</w:t>
            </w:r>
          </w:p>
        </w:tc>
        <w:tc>
          <w:tcPr>
            <w:tcW w:type="dxa" w:w="4320"/>
          </w:tcPr>
          <w:p>
            <w:r>
              <w:t>Represents warranty information and maps to a database table when annotated as a JPA entity.</w:t>
            </w:r>
          </w:p>
        </w:tc>
      </w:tr>
      <w:tr>
        <w:tc>
          <w:tcPr>
            <w:tcW w:type="dxa" w:w="4320"/>
          </w:tcPr>
          <w:p>
            <w:r>
              <w:t>Configuration</w:t>
            </w:r>
          </w:p>
        </w:tc>
        <w:tc>
          <w:tcPr>
            <w:tcW w:type="dxa" w:w="4320"/>
          </w:tcPr>
          <w:p>
            <w:r>
              <w:t>Holds application and database configuration, including the server port and persistence settings.</w:t>
            </w:r>
          </w:p>
        </w:tc>
      </w:tr>
      <w:tr>
        <w:tc>
          <w:tcPr>
            <w:tcW w:type="dxa" w:w="4320"/>
          </w:tcPr>
          <w:p>
            <w:r>
              <w:t>Dashboard / Frontend</w:t>
            </w:r>
          </w:p>
        </w:tc>
        <w:tc>
          <w:tcPr>
            <w:tcW w:type="dxa" w:w="4320"/>
          </w:tcPr>
          <w:p>
            <w:r>
              <w:t>Provides a user-facing page for interacting with the application if included in the repository.</w:t>
            </w:r>
          </w:p>
        </w:tc>
      </w:tr>
    </w:tbl>
    <w:p>
      <w:pPr>
        <w:pStyle w:val="Heading1"/>
      </w:pPr>
      <w:r>
        <w:rPr>
          <w:rFonts w:ascii="Arial" w:hAnsi="Arial"/>
        </w:rPr>
        <w:t>7. Data / Entity Description</w:t>
      </w:r>
    </w:p>
    <w:p>
      <w:r>
        <w:rPr>
          <w:rFonts w:ascii="Arial" w:hAnsi="Arial"/>
          <w:sz w:val="20"/>
        </w:rPr>
        <w:t>The central domain concept is a warranty record associated with a product. Document the exact fields from the entity or DTO in the code. A possible entity may contain an identifier, product name, purchase date, warranty duration or expiry date, and other product/purchase details, but these fields are examples only and must not be reported as implemented unless verified.</w:t>
      </w:r>
    </w:p>
    <w:p>
      <w:r>
        <w:rPr>
          <w:rFonts w:ascii="Arial" w:hAnsi="Arial"/>
          <w:sz w:val="20"/>
        </w:rPr>
        <w:t>Entity details to complete from source code:</w:t>
      </w:r>
    </w:p>
    <w:p>
      <w:pPr>
        <w:pStyle w:val="ListBullet"/>
      </w:pPr>
      <w:r>
        <w:rPr>
          <w:rFonts w:ascii="Arial" w:hAnsi="Arial"/>
        </w:rPr>
        <w:t>Entity class name: [enter exact class name]</w:t>
      </w:r>
    </w:p>
    <w:p>
      <w:pPr>
        <w:pStyle w:val="ListBullet"/>
      </w:pPr>
      <w:r>
        <w:rPr>
          <w:rFonts w:ascii="Arial" w:hAnsi="Arial"/>
        </w:rPr>
        <w:t>Table name (if explicitly configured): [enter table name]</w:t>
      </w:r>
    </w:p>
    <w:p>
      <w:pPr>
        <w:pStyle w:val="ListBullet"/>
      </w:pPr>
      <w:r>
        <w:rPr>
          <w:rFonts w:ascii="Arial" w:hAnsi="Arial"/>
        </w:rPr>
        <w:t>Primary key and generation strategy: [enter actual mapping]</w:t>
      </w:r>
    </w:p>
    <w:p>
      <w:pPr>
        <w:pStyle w:val="ListBullet"/>
      </w:pPr>
      <w:r>
        <w:rPr>
          <w:rFonts w:ascii="Arial" w:hAnsi="Arial"/>
        </w:rPr>
        <w:t>Fields and data types: [list exact fields]</w:t>
      </w:r>
    </w:p>
    <w:p>
      <w:pPr>
        <w:pStyle w:val="ListBullet"/>
      </w:pPr>
      <w:r>
        <w:rPr>
          <w:rFonts w:ascii="Arial" w:hAnsi="Arial"/>
        </w:rPr>
        <w:t>Relationships and constraints, if any: [describe actual mappings]</w:t>
      </w:r>
    </w:p>
    <w:p>
      <w:pPr>
        <w:pStyle w:val="Heading1"/>
      </w:pPr>
      <w:r>
        <w:rPr>
          <w:rFonts w:ascii="Arial" w:hAnsi="Arial"/>
        </w:rPr>
        <w:t>8. REST API Documentation</w:t>
      </w:r>
    </w:p>
    <w:p>
      <w:r>
        <w:rPr>
          <w:rFonts w:ascii="Arial" w:hAnsi="Arial"/>
          <w:sz w:val="20"/>
        </w:rPr>
        <w:t>Copy the actual route mappings from the controller classes into the table below. The route placeholders are intentionally not guessed because API paths and response formats must match the source code.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Operation</w:t>
            </w:r>
          </w:p>
        </w:tc>
        <w:tc>
          <w:tcPr>
            <w:tcW w:type="dxa" w:w="1728"/>
          </w:tcPr>
          <w:p>
            <w:r>
              <w:t>Method</w:t>
            </w:r>
          </w:p>
        </w:tc>
        <w:tc>
          <w:tcPr>
            <w:tcW w:type="dxa" w:w="1728"/>
          </w:tcPr>
          <w:p>
            <w:r>
              <w:t>Actual URL</w:t>
            </w:r>
          </w:p>
        </w:tc>
        <w:tc>
          <w:tcPr>
            <w:tcW w:type="dxa" w:w="1728"/>
          </w:tcPr>
          <w:p>
            <w:r>
              <w:t>Request</w:t>
            </w:r>
          </w:p>
        </w:tc>
        <w:tc>
          <w:tcPr>
            <w:tcW w:type="dxa" w:w="1728"/>
          </w:tcPr>
          <w:p>
            <w:r>
              <w:t>Response / Status</w:t>
            </w:r>
          </w:p>
        </w:tc>
      </w:tr>
      <w:tr>
        <w:tc>
          <w:tcPr>
            <w:tcW w:type="dxa" w:w="1728"/>
          </w:tcPr>
          <w:p>
            <w:r>
              <w:t>Create record</w:t>
            </w:r>
          </w:p>
        </w:tc>
        <w:tc>
          <w:tcPr>
            <w:tcW w:type="dxa" w:w="1728"/>
          </w:tcPr>
          <w:p>
            <w:r>
              <w:t>POST</w:t>
            </w:r>
          </w:p>
        </w:tc>
        <w:tc>
          <w:tcPr>
            <w:tcW w:type="dxa" w:w="1728"/>
          </w:tcPr>
          <w:p>
            <w:r>
              <w:t>[copy actual mapping]</w:t>
            </w:r>
          </w:p>
        </w:tc>
        <w:tc>
          <w:tcPr>
            <w:tcW w:type="dxa" w:w="1728"/>
          </w:tcPr>
          <w:p>
            <w:r>
              <w:t>[body / path variable / none]</w:t>
            </w:r>
          </w:p>
        </w:tc>
        <w:tc>
          <w:tcPr>
            <w:tcW w:type="dxa" w:w="1728"/>
          </w:tcPr>
          <w:p>
            <w:r>
              <w:t>[actual response and status code]</w:t>
            </w:r>
          </w:p>
        </w:tc>
      </w:tr>
      <w:tr>
        <w:tc>
          <w:tcPr>
            <w:tcW w:type="dxa" w:w="1728"/>
          </w:tcPr>
          <w:p>
            <w:r>
              <w:t>List records</w:t>
            </w:r>
          </w:p>
        </w:tc>
        <w:tc>
          <w:tcPr>
            <w:tcW w:type="dxa" w:w="1728"/>
          </w:tcPr>
          <w:p>
            <w:r>
              <w:t>GET</w:t>
            </w:r>
          </w:p>
        </w:tc>
        <w:tc>
          <w:tcPr>
            <w:tcW w:type="dxa" w:w="1728"/>
          </w:tcPr>
          <w:p>
            <w:r>
              <w:t>[copy actual mapping]</w:t>
            </w:r>
          </w:p>
        </w:tc>
        <w:tc>
          <w:tcPr>
            <w:tcW w:type="dxa" w:w="1728"/>
          </w:tcPr>
          <w:p>
            <w:r>
              <w:t>[body / path variable / none]</w:t>
            </w:r>
          </w:p>
        </w:tc>
        <w:tc>
          <w:tcPr>
            <w:tcW w:type="dxa" w:w="1728"/>
          </w:tcPr>
          <w:p>
            <w:r>
              <w:t>[actual response and status code]</w:t>
            </w:r>
          </w:p>
        </w:tc>
      </w:tr>
      <w:tr>
        <w:tc>
          <w:tcPr>
            <w:tcW w:type="dxa" w:w="1728"/>
          </w:tcPr>
          <w:p>
            <w:r>
              <w:t>Get record by ID</w:t>
            </w:r>
          </w:p>
        </w:tc>
        <w:tc>
          <w:tcPr>
            <w:tcW w:type="dxa" w:w="1728"/>
          </w:tcPr>
          <w:p>
            <w:r>
              <w:t>GET</w:t>
            </w:r>
          </w:p>
        </w:tc>
        <w:tc>
          <w:tcPr>
            <w:tcW w:type="dxa" w:w="1728"/>
          </w:tcPr>
          <w:p>
            <w:r>
              <w:t>[copy actual mapping]</w:t>
            </w:r>
          </w:p>
        </w:tc>
        <w:tc>
          <w:tcPr>
            <w:tcW w:type="dxa" w:w="1728"/>
          </w:tcPr>
          <w:p>
            <w:r>
              <w:t>[body / path variable / none]</w:t>
            </w:r>
          </w:p>
        </w:tc>
        <w:tc>
          <w:tcPr>
            <w:tcW w:type="dxa" w:w="1728"/>
          </w:tcPr>
          <w:p>
            <w:r>
              <w:t>[actual response and status code]</w:t>
            </w:r>
          </w:p>
        </w:tc>
      </w:tr>
      <w:tr>
        <w:tc>
          <w:tcPr>
            <w:tcW w:type="dxa" w:w="1728"/>
          </w:tcPr>
          <w:p>
            <w:r>
              <w:t>Update record</w:t>
            </w:r>
          </w:p>
        </w:tc>
        <w:tc>
          <w:tcPr>
            <w:tcW w:type="dxa" w:w="1728"/>
          </w:tcPr>
          <w:p>
            <w:r>
              <w:t>PUT/PATCH</w:t>
            </w:r>
          </w:p>
        </w:tc>
        <w:tc>
          <w:tcPr>
            <w:tcW w:type="dxa" w:w="1728"/>
          </w:tcPr>
          <w:p>
            <w:r>
              <w:t>[copy actual mapping]</w:t>
            </w:r>
          </w:p>
        </w:tc>
        <w:tc>
          <w:tcPr>
            <w:tcW w:type="dxa" w:w="1728"/>
          </w:tcPr>
          <w:p>
            <w:r>
              <w:t>[body / path variable / none]</w:t>
            </w:r>
          </w:p>
        </w:tc>
        <w:tc>
          <w:tcPr>
            <w:tcW w:type="dxa" w:w="1728"/>
          </w:tcPr>
          <w:p>
            <w:r>
              <w:t>[actual response and status code]</w:t>
            </w:r>
          </w:p>
        </w:tc>
      </w:tr>
      <w:tr>
        <w:tc>
          <w:tcPr>
            <w:tcW w:type="dxa" w:w="1728"/>
          </w:tcPr>
          <w:p>
            <w:r>
              <w:t>Delete record</w:t>
            </w:r>
          </w:p>
        </w:tc>
        <w:tc>
          <w:tcPr>
            <w:tcW w:type="dxa" w:w="1728"/>
          </w:tcPr>
          <w:p>
            <w:r>
              <w:t>DELETE</w:t>
            </w:r>
          </w:p>
        </w:tc>
        <w:tc>
          <w:tcPr>
            <w:tcW w:type="dxa" w:w="1728"/>
          </w:tcPr>
          <w:p>
            <w:r>
              <w:t>[copy actual mapping]</w:t>
            </w:r>
          </w:p>
        </w:tc>
        <w:tc>
          <w:tcPr>
            <w:tcW w:type="dxa" w:w="1728"/>
          </w:tcPr>
          <w:p>
            <w:r>
              <w:t>[body / path variable / none]</w:t>
            </w:r>
          </w:p>
        </w:tc>
        <w:tc>
          <w:tcPr>
            <w:tcW w:type="dxa" w:w="1728"/>
          </w:tcPr>
          <w:p>
            <w:r>
              <w:t>[actual response and status code]</w:t>
            </w:r>
          </w:p>
        </w:tc>
      </w:tr>
    </w:tbl>
    <w:p>
      <w:r>
        <w:rPr>
          <w:rFonts w:ascii="Arial" w:hAnsi="Arial"/>
          <w:sz w:val="20"/>
        </w:rPr>
        <w:t>If Swagger/OpenAPI or Postman is configured, add its URL or attach the exported collection and document how to access it.</w:t>
      </w:r>
    </w:p>
    <w:p>
      <w:pPr>
        <w:pStyle w:val="Heading1"/>
      </w:pPr>
      <w:r>
        <w:rPr>
          <w:rFonts w:ascii="Arial" w:hAnsi="Arial"/>
        </w:rPr>
        <w:t>9. Validation and Error Handling</w:t>
      </w:r>
    </w:p>
    <w:p>
      <w:r>
        <w:rPr>
          <w:rFonts w:ascii="Arial" w:hAnsi="Arial"/>
          <w:sz w:val="20"/>
        </w:rPr>
        <w:t>Describe only the validation and exception handling present in the code. If implemented, document required-field checks, invalid input responses, behavior for a missing warranty ID, and centralized exception handling through @ControllerAdvice and @ExceptionHandler. If a custom not-found exception is used, record its exact class name and response status.</w:t>
      </w:r>
    </w:p>
    <w:p>
      <w:pPr>
        <w:pStyle w:val="Heading1"/>
      </w:pPr>
      <w:r>
        <w:rPr>
          <w:rFonts w:ascii="Arial" w:hAnsi="Arial"/>
        </w:rPr>
        <w:t>10. Database Configuration</w:t>
      </w:r>
    </w:p>
    <w:p>
      <w:r>
        <w:rPr>
          <w:rFonts w:ascii="Arial" w:hAnsi="Arial"/>
          <w:sz w:val="20"/>
        </w:rPr>
        <w:t>The actual database and configuration must be taken from application.properties/application.yml and pom.xml. Document the database name, required driver, URL format, schema initialization behavior, and environment variables used. Never include real passwords or private credentials in the submission.</w:t>
      </w:r>
    </w:p>
    <w:p>
      <w:r>
        <w:rPr>
          <w:rFonts w:ascii="Arial" w:hAnsi="Arial"/>
          <w:sz w:val="20"/>
        </w:rPr>
        <w:t>Database type: [verify from configuration]</w:t>
      </w:r>
    </w:p>
    <w:p>
      <w:r>
        <w:rPr>
          <w:rFonts w:ascii="Arial" w:hAnsi="Arial"/>
          <w:sz w:val="20"/>
        </w:rPr>
        <w:t>Database/schema name: [verify from configuration]</w:t>
      </w:r>
    </w:p>
    <w:p>
      <w:r>
        <w:rPr>
          <w:rFonts w:ascii="Arial" w:hAnsi="Arial"/>
          <w:sz w:val="20"/>
        </w:rPr>
        <w:t>JPA DDL setting: [verify from configuration]</w:t>
      </w:r>
    </w:p>
    <w:p>
      <w:r>
        <w:rPr>
          <w:rFonts w:ascii="Arial" w:hAnsi="Arial"/>
          <w:sz w:val="20"/>
        </w:rPr>
        <w:t>Required environment variables: [list names only, if applicable]</w:t>
      </w:r>
    </w:p>
    <w:p>
      <w:pPr>
        <w:pStyle w:val="Heading1"/>
      </w:pPr>
      <w:r>
        <w:rPr>
          <w:rFonts w:ascii="Arial" w:hAnsi="Arial"/>
        </w:rPr>
        <w:t>11. Build and Run Instructions</w:t>
      </w:r>
    </w:p>
    <w:p>
      <w:pPr>
        <w:pStyle w:val="ListNumber"/>
      </w:pPr>
      <w:r>
        <w:rPr>
          <w:rFonts w:ascii="Arial" w:hAnsi="Arial"/>
        </w:rPr>
        <w:t>Install the JDK version required by the project.</w:t>
      </w:r>
    </w:p>
    <w:p>
      <w:pPr>
        <w:pStyle w:val="ListNumber"/>
      </w:pPr>
      <w:r>
        <w:rPr>
          <w:rFonts w:ascii="Arial" w:hAnsi="Arial"/>
        </w:rPr>
        <w:t>Install Maven or use the Maven Wrapper if included.</w:t>
      </w:r>
    </w:p>
    <w:p>
      <w:pPr>
        <w:pStyle w:val="ListNumber"/>
      </w:pPr>
      <w:r>
        <w:rPr>
          <w:rFonts w:ascii="Arial" w:hAnsi="Arial"/>
        </w:rPr>
        <w:t>Configure and start the database if the application uses an external database.</w:t>
      </w:r>
    </w:p>
    <w:p>
      <w:pPr>
        <w:pStyle w:val="ListNumber"/>
      </w:pPr>
      <w:r>
        <w:rPr>
          <w:rFonts w:ascii="Arial" w:hAnsi="Arial"/>
        </w:rPr>
        <w:t>From the project root, run: mvn clean install</w:t>
      </w:r>
    </w:p>
    <w:p>
      <w:pPr>
        <w:pStyle w:val="ListNumber"/>
      </w:pPr>
      <w:r>
        <w:rPr>
          <w:rFonts w:ascii="Arial" w:hAnsi="Arial"/>
        </w:rPr>
        <w:t>Start the application with: mvn spring-boot:run</w:t>
      </w:r>
    </w:p>
    <w:p>
      <w:pPr>
        <w:pStyle w:val="ListNumber"/>
      </w:pPr>
      <w:r>
        <w:rPr>
          <w:rFonts w:ascii="Arial" w:hAnsi="Arial"/>
        </w:rPr>
        <w:t>Alternatively, run the main class annotated with @SpringBootApplication from the IDE.</w:t>
      </w:r>
    </w:p>
    <w:p>
      <w:pPr>
        <w:pStyle w:val="ListNumber"/>
      </w:pPr>
      <w:r>
        <w:rPr>
          <w:rFonts w:ascii="Arial" w:hAnsi="Arial"/>
        </w:rPr>
        <w:t>Confirm the actual server port and successful startup from the application logs.</w:t>
      </w:r>
    </w:p>
    <w:p>
      <w:r>
        <w:rPr>
          <w:rFonts w:ascii="Arial" w:hAnsi="Arial"/>
          <w:sz w:val="20"/>
        </w:rPr>
        <w:t>If the project includes a Maven Wrapper, use ./mvnw on macOS/Linux or mvnw.cmd on Windows.</w:t>
      </w:r>
    </w:p>
    <w:p>
      <w:pPr>
        <w:pStyle w:val="Heading1"/>
      </w:pPr>
      <w:r>
        <w:rPr>
          <w:rFonts w:ascii="Arial" w:hAnsi="Arial"/>
        </w:rPr>
        <w:t>12. Testing Plan and Evidence</w:t>
      </w:r>
    </w:p>
    <w:p>
      <w:pPr>
        <w:pStyle w:val="ListBullet"/>
      </w:pPr>
      <w:r>
        <w:rPr>
          <w:rFonts w:ascii="Arial" w:hAnsi="Arial"/>
        </w:rPr>
        <w:t>Build the project and confirm there are no compilation errors.</w:t>
      </w:r>
    </w:p>
    <w:p>
      <w:pPr>
        <w:pStyle w:val="ListBullet"/>
      </w:pPr>
      <w:r>
        <w:rPr>
          <w:rFonts w:ascii="Arial" w:hAnsi="Arial"/>
        </w:rPr>
        <w:t>Create a record and verify the response and stored data.</w:t>
      </w:r>
    </w:p>
    <w:p>
      <w:pPr>
        <w:pStyle w:val="ListBullet"/>
      </w:pPr>
      <w:r>
        <w:rPr>
          <w:rFonts w:ascii="Arial" w:hAnsi="Arial"/>
        </w:rPr>
        <w:t>Retrieve the record and verify the returned fields.</w:t>
      </w:r>
    </w:p>
    <w:p>
      <w:pPr>
        <w:pStyle w:val="ListBullet"/>
      </w:pPr>
      <w:r>
        <w:rPr>
          <w:rFonts w:ascii="Arial" w:hAnsi="Arial"/>
        </w:rPr>
        <w:t>Update the record and confirm the changed values.</w:t>
      </w:r>
    </w:p>
    <w:p>
      <w:pPr>
        <w:pStyle w:val="ListBullet"/>
      </w:pPr>
      <w:r>
        <w:rPr>
          <w:rFonts w:ascii="Arial" w:hAnsi="Arial"/>
        </w:rPr>
        <w:t>Delete the record and confirm the documented result.</w:t>
      </w:r>
    </w:p>
    <w:p>
      <w:pPr>
        <w:pStyle w:val="ListBullet"/>
      </w:pPr>
      <w:r>
        <w:rPr>
          <w:rFonts w:ascii="Arial" w:hAnsi="Arial"/>
        </w:rPr>
        <w:t>Test an unknown ID and invalid input if error handling is implemented.</w:t>
      </w:r>
    </w:p>
    <w:p>
      <w:pPr>
        <w:pStyle w:val="ListBullet"/>
      </w:pPr>
      <w:r>
        <w:rPr>
          <w:rFonts w:ascii="Arial" w:hAnsi="Arial"/>
        </w:rPr>
        <w:t>Run automated tests with mvn test if test cases are present.</w:t>
      </w:r>
    </w:p>
    <w:p>
      <w:pPr>
        <w:pStyle w:val="ListBullet"/>
      </w:pPr>
      <w:r>
        <w:rPr>
          <w:rFonts w:ascii="Arial" w:hAnsi="Arial"/>
        </w:rPr>
        <w:t>Attach Postman screenshots, a collection, Swagger screenshots, or test output that reflects tests actually performed.</w:t>
      </w:r>
    </w:p>
    <w:p>
      <w:pPr>
        <w:pStyle w:val="Heading1"/>
      </w:pPr>
      <w:r>
        <w:rPr>
          <w:rFonts w:ascii="Arial" w:hAnsi="Arial"/>
        </w:rPr>
        <w:t>13. Security and Configuration Notes</w:t>
      </w:r>
    </w:p>
    <w:p>
      <w:r>
        <w:rPr>
          <w:rFonts w:ascii="Arial" w:hAnsi="Arial"/>
          <w:sz w:val="20"/>
        </w:rPr>
        <w:t>Do not commit database passwords, API keys, or other secrets. If authentication/authorization is implemented, document the actual mechanism and routes it protects. Security features such as Spring Security, JWT, and Docker are optional bonus areas in the supplied rubric and should not be claimed unless they are implemented and tested.</w:t>
      </w:r>
    </w:p>
    <w:p>
      <w:pPr>
        <w:pStyle w:val="Heading1"/>
      </w:pPr>
      <w:r>
        <w:rPr>
          <w:rFonts w:ascii="Arial" w:hAnsi="Arial"/>
        </w:rPr>
        <w:t>14. Known Limitations / Items to Verify</w:t>
      </w:r>
    </w:p>
    <w:p>
      <w:pPr>
        <w:pStyle w:val="ListBullet"/>
      </w:pPr>
      <w:r>
        <w:rPr>
          <w:rFonts w:ascii="Arial" w:hAnsi="Arial"/>
        </w:rPr>
        <w:t>Confirm the exact endpoints and response status codes from controller source.</w:t>
      </w:r>
    </w:p>
    <w:p>
      <w:pPr>
        <w:pStyle w:val="ListBullet"/>
      </w:pPr>
      <w:r>
        <w:rPr>
          <w:rFonts w:ascii="Arial" w:hAnsi="Arial"/>
        </w:rPr>
        <w:t>Confirm the actual entity fields, database type, and persistence configuration.</w:t>
      </w:r>
    </w:p>
    <w:p>
      <w:pPr>
        <w:pStyle w:val="ListBullet"/>
      </w:pPr>
      <w:r>
        <w:rPr>
          <w:rFonts w:ascii="Arial" w:hAnsi="Arial"/>
        </w:rPr>
        <w:t>Confirm whether validation, custom exceptions, and centralized error handling are implemented.</w:t>
      </w:r>
    </w:p>
    <w:p>
      <w:pPr>
        <w:pStyle w:val="ListBullet"/>
      </w:pPr>
      <w:r>
        <w:rPr>
          <w:rFonts w:ascii="Arial" w:hAnsi="Arial"/>
        </w:rPr>
        <w:t>Confirm whether Swagger/OpenAPI, Postman evidence, and automated tests are available.</w:t>
      </w:r>
    </w:p>
    <w:p>
      <w:pPr>
        <w:pStyle w:val="ListBullet"/>
      </w:pPr>
      <w:r>
        <w:rPr>
          <w:rFonts w:ascii="Arial" w:hAnsi="Arial"/>
        </w:rPr>
        <w:t>Ensure all diagrams and descriptions match the submitted code.</w:t>
      </w:r>
    </w:p>
    <w:p>
      <w:pPr>
        <w:pStyle w:val="Heading1"/>
      </w:pPr>
      <w:r>
        <w:rPr>
          <w:rFonts w:ascii="Arial" w:hAnsi="Arial"/>
        </w:rPr>
        <w:t>15. Conclusion</w:t>
      </w:r>
    </w:p>
    <w:p>
      <w:r>
        <w:rPr>
          <w:rFonts w:ascii="Arial" w:hAnsi="Arial"/>
          <w:sz w:val="20"/>
        </w:rPr>
        <w:t>WarrantyTrack is intended to make warranty information easier to manage through a centralized application. A clear layered structure, accurate API documentation, reliable persistence, meaningful validation, and reproducible run instructions support maintainability and make the project easier to evaluate. Final submission details should be checked against the actual source code so the documentation describes the implemented system rather than assumed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