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59669"/>
          <w:sz w:val="20"/>
        </w:rPr>
        <w:t>TECHNICAL WORKING PAPER &amp; ECONOMETRIC METHODOLOGY NOTE</w:t>
      </w:r>
    </w:p>
    <w:p>
      <w:pPr>
        <w:spacing w:after="80"/>
      </w:pPr>
      <w:r>
        <w:rPr>
          <w:rFonts w:ascii="Arial" w:hAnsi="Arial"/>
          <w:b/>
          <w:color w:val="0F172A"/>
          <w:sz w:val="40"/>
        </w:rPr>
        <w:t>Valuing the Unpaid Care Economy and Modeling Targeted Care Infrastructure in Pakistan</w:t>
      </w:r>
    </w:p>
    <w:p>
      <w:pPr>
        <w:spacing w:after="320"/>
      </w:pPr>
      <w:r>
        <w:rPr>
          <w:rFonts w:ascii="Calibri" w:hAnsi="Calibri"/>
          <w:i/>
          <w:color w:val="475569"/>
          <w:sz w:val="24"/>
        </w:rPr>
        <w:t>Econometric Specifications, Microdata Accounting, and Mathematical Formula Derivations for Dr. Fareeha Armughan</w:t>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b/>
                <w:sz w:val="19"/>
              </w:rPr>
              <w:t>Institutional Affiliation</w:t>
            </w:r>
          </w:p>
        </w:tc>
        <w:tc>
          <w:tcPr>
            <w:tcW w:type="dxa" w:w="6192"/>
            <w:shd w:fill="F8FAFC"/>
            <w:tcMar>
              <w:top w:w="60" w:type="dxa"/>
              <w:bottom w:w="60" w:type="dxa"/>
              <w:left w:w="100" w:type="dxa"/>
              <w:right w:w="100" w:type="dxa"/>
            </w:tcMar>
          </w:tcPr>
          <w:p>
            <w:r>
              <w:rPr>
                <w:sz w:val="19"/>
              </w:rPr>
              <w:t>Sustainable Development Policy Institute (SDPI) × UN Women Pakistan</w:t>
            </w:r>
          </w:p>
        </w:tc>
      </w:tr>
      <w:tr>
        <w:tc>
          <w:tcPr>
            <w:tcW w:type="dxa" w:w="3168"/>
            <w:shd w:fill="F1F5F9"/>
            <w:tcMar>
              <w:top w:w="60" w:type="dxa"/>
              <w:bottom w:w="60" w:type="dxa"/>
              <w:left w:w="100" w:type="dxa"/>
              <w:right w:w="100" w:type="dxa"/>
            </w:tcMar>
          </w:tcPr>
          <w:p>
            <w:r>
              <w:rPr>
                <w:b/>
                <w:sz w:val="19"/>
              </w:rPr>
              <w:t>Primary Datasets</w:t>
            </w:r>
          </w:p>
        </w:tc>
        <w:tc>
          <w:tcPr>
            <w:tcW w:type="dxa" w:w="6192"/>
            <w:shd w:fill="F8FAFC"/>
            <w:tcMar>
              <w:top w:w="60" w:type="dxa"/>
              <w:bottom w:w="60" w:type="dxa"/>
              <w:left w:w="100" w:type="dxa"/>
              <w:right w:w="100" w:type="dxa"/>
            </w:tcMar>
          </w:tcPr>
          <w:p>
            <w:r>
              <w:rPr>
                <w:sz w:val="19"/>
              </w:rPr>
              <w:t>PBS Labour Force Survey (LFS) 2024–25 (37th Round) &amp; BISP NSER Census (N=254,648)</w:t>
            </w:r>
          </w:p>
        </w:tc>
      </w:tr>
      <w:tr>
        <w:tc>
          <w:tcPr>
            <w:tcW w:type="dxa" w:w="3168"/>
            <w:shd w:fill="F1F5F9"/>
            <w:tcMar>
              <w:top w:w="60" w:type="dxa"/>
              <w:bottom w:w="60" w:type="dxa"/>
              <w:left w:w="100" w:type="dxa"/>
              <w:right w:w="100" w:type="dxa"/>
            </w:tcMar>
          </w:tcPr>
          <w:p>
            <w:r>
              <w:rPr>
                <w:b/>
                <w:sz w:val="19"/>
              </w:rPr>
              <w:t>Statutory Anchors</w:t>
            </w:r>
          </w:p>
        </w:tc>
        <w:tc>
          <w:tcPr>
            <w:tcW w:type="dxa" w:w="6192"/>
            <w:shd w:fill="F8FAFC"/>
            <w:tcMar>
              <w:top w:w="60" w:type="dxa"/>
              <w:bottom w:w="60" w:type="dxa"/>
              <w:left w:w="100" w:type="dxa"/>
              <w:right w:w="100" w:type="dxa"/>
            </w:tcMar>
          </w:tcPr>
          <w:p>
            <w:r>
              <w:rPr>
                <w:sz w:val="19"/>
              </w:rPr>
              <w:t>Pakistan Gazette Statutory Minimum Wage 2024–25 (PKR 40,700/mo; PKR 195.67/hr)</w:t>
            </w:r>
          </w:p>
        </w:tc>
      </w:tr>
      <w:tr>
        <w:tc>
          <w:tcPr>
            <w:tcW w:type="dxa" w:w="3168"/>
            <w:shd w:fill="F1F5F9"/>
            <w:tcMar>
              <w:top w:w="60" w:type="dxa"/>
              <w:bottom w:w="60" w:type="dxa"/>
              <w:left w:w="100" w:type="dxa"/>
              <w:right w:w="100" w:type="dxa"/>
            </w:tcMar>
          </w:tcPr>
          <w:p>
            <w:r>
              <w:rPr>
                <w:b/>
                <w:sz w:val="19"/>
              </w:rPr>
              <w:t>Methodological Standards</w:t>
            </w:r>
          </w:p>
        </w:tc>
        <w:tc>
          <w:tcPr>
            <w:tcW w:type="dxa" w:w="6192"/>
            <w:shd w:fill="F8FAFC"/>
            <w:tcMar>
              <w:top w:w="60" w:type="dxa"/>
              <w:bottom w:w="60" w:type="dxa"/>
              <w:left w:w="100" w:type="dxa"/>
              <w:right w:w="100" w:type="dxa"/>
            </w:tcMar>
          </w:tcPr>
          <w:p>
            <w:r>
              <w:rPr>
                <w:sz w:val="19"/>
              </w:rPr>
              <w:t>SNA 2008 General Production Boundary · ILO/UN Women Input Replacement Cost Standard</w:t>
            </w:r>
          </w:p>
        </w:tc>
      </w:tr>
    </w:tbl>
    <w:p>
      <w:pPr>
        <w:spacing w:after="240"/>
      </w:pPr>
    </w:p>
    <w:p>
      <w:pPr>
        <w:spacing w:before="320" w:after="120"/>
      </w:pPr>
      <w:r>
        <w:rPr>
          <w:rFonts w:ascii="Arial" w:hAnsi="Arial"/>
          <w:b/>
          <w:color w:val="059669"/>
          <w:sz w:val="28"/>
        </w:rPr>
        <w:t xml:space="preserve">1. </w:t>
      </w:r>
      <w:r>
        <w:rPr>
          <w:rFonts w:ascii="Arial" w:hAnsi="Arial"/>
          <w:b/>
          <w:color w:val="0F172A"/>
          <w:sz w:val="28"/>
        </w:rPr>
        <w:t>Theoretical Framework &amp; International Accounting Standards</w:t>
      </w:r>
    </w:p>
    <w:p>
      <w:r>
        <w:t>Under the System of National Accounts (SNA 2008), economic production is demarcated by the 'General Production Boundary' and the narrower 'SNA Production Boundary'. While the formal market economy and informal wage activities fall within the SNA boundary, unpaid domestic and care work (UDCW) provided by household members for their own family consumption is conventionally excluded from Gross Domestic Product (GDP). This methodological exclusion creates a massive measurement bias in developing economies like Pakistan, where female labor is overwhelmingly concentrated in reproductive and subsistence care.</w:t>
      </w:r>
    </w:p>
    <w:p>
      <w:r>
        <w:t>To quantify the macroeconomic magnitude of this invisible labor, this study implements the Input Replacement Cost Method (Generalist Domestic Worker Approach), formally endorsed by the International Labour Organization (ILO), UN Women, and the OECD. This method values each hour of uncompensated domestic labor at the market replacement shadow wage that would be paid if the household hired a generalist domestic employee to perform equivalent tasks.</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Pr>
          <w:p>
            <w:pPr>
              <w:spacing w:after="0"/>
            </w:pPr>
            <w:r>
              <w:rPr>
                <w:i/>
                <w:sz w:val="20"/>
              </w:rPr>
              <w:t>Standard ILO Formulation:</w:t>
              <w:br/>
              <w:t>V_unpaid = ∑ [ H_(i,j) × w_replacement ]</w:t>
              <w:br/>
              <w:t>where H_(i,j) denotes hours spent by individual i on care activity j, and w_replacement is the entry-level shadow wage.</w:t>
            </w:r>
          </w:p>
        </w:tc>
      </w:tr>
    </w:tbl>
    <w:p>
      <w:pPr>
        <w:spacing w:after="120"/>
      </w:pPr>
    </w:p>
    <w:p>
      <w:pPr>
        <w:spacing w:before="320" w:after="120"/>
      </w:pPr>
      <w:r>
        <w:rPr>
          <w:rFonts w:ascii="Arial" w:hAnsi="Arial"/>
          <w:b/>
          <w:color w:val="059669"/>
          <w:sz w:val="28"/>
        </w:rPr>
        <w:t xml:space="preserve">2. </w:t>
      </w:r>
      <w:r>
        <w:rPr>
          <w:rFonts w:ascii="Arial" w:hAnsi="Arial"/>
          <w:b/>
          <w:color w:val="0F172A"/>
          <w:sz w:val="28"/>
        </w:rPr>
        <w:t>Dataset Specifications &amp; Empirical Sampling Universe</w:t>
      </w:r>
    </w:p>
    <w:p>
      <w:r>
        <w:t>All calculations in this study are grounded in two authoritative microdata instruments:</w:t>
      </w:r>
    </w:p>
    <w:p>
      <w:r>
        <w:t>1. Pakistan Bureau of Statistics (PBS) Labour Force Survey (LFS) 2024–25 (Annual Report, 37th Round, Published August 2025):</w:t>
        <w:br/>
        <w:t xml:space="preserve">   • Nationally representative sample of N = 99,900 households enumerated across rural and urban primary sampling units (PSUs) in all four provinces.</w:t>
        <w:br/>
        <w:t xml:space="preserve">   • Represents a national working-age universe (aged 10+) of 179.6 Million individuals (87.6 Million females, 92.0 Million males).</w:t>
        <w:br/>
        <w:t xml:space="preserve">   • Chapter 12 contains dedicated modules on Unpaid Domestic &amp; Care Work, measuring 14 discrete activity domains under 19th ICLS resolution standards.</w:t>
      </w:r>
    </w:p>
    <w:p>
      <w:r>
        <w:t>2. Benazir Income Support Programme (BISP) NSER Beneficiary Profiling Microdata (2025–26 Census):</w:t>
        <w:br/>
        <w:t xml:space="preserve">   • Censal sub-sample of N = 254,648 verified female beneficiaries across 40+ high-poverty districts in Pakistan.</w:t>
        <w:br/>
        <w:t xml:space="preserve">   • Represents the active BISP beneficiary universe of 12 Million families, of whom 8,942,084 (74.52%) are full-time domestic housewives facing severe care constraints.</w:t>
      </w:r>
    </w:p>
    <w:p>
      <w:pPr>
        <w:spacing w:before="320" w:after="120"/>
      </w:pPr>
      <w:r>
        <w:rPr>
          <w:rFonts w:ascii="Arial" w:hAnsi="Arial"/>
          <w:b/>
          <w:color w:val="059669"/>
          <w:sz w:val="28"/>
        </w:rPr>
        <w:t xml:space="preserve">3. </w:t>
      </w:r>
      <w:r>
        <w:rPr>
          <w:rFonts w:ascii="Arial" w:hAnsi="Arial"/>
          <w:b/>
          <w:color w:val="0F172A"/>
          <w:sz w:val="28"/>
        </w:rPr>
        <w:t>The Statutory Shadow Wage Anchor (Pricing Model)</w:t>
      </w:r>
    </w:p>
    <w:p>
      <w:r>
        <w:t>An essential requirement of rigorous econometric valuation is avoiding arbitrary shadow prices. We adopt the official legal minimum wage promulgated in the Federal and Provincial Finance Acts for FY 2024–25 as our statutory lower-bound wage anchor:</w:t>
      </w:r>
    </w:p>
    <w:p>
      <w:r>
        <w:t>• Statutory Monthly Minimum Wage (W_monthly) = PKR 40,700 / month</w:t>
        <w:br/>
        <w:t>• Standard Statutory Work Schedule = 26 workdays / month × 8 hours / day = 208 hours / month</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Pr>
          <w:p>
            <w:pPr>
              <w:spacing w:after="0"/>
            </w:pPr>
            <w:r>
              <w:rPr>
                <w:i/>
                <w:sz w:val="20"/>
              </w:rPr>
              <w:t>Formula 1: Statutory Hourly Replacement Shadow Wage (w_stat)</w:t>
              <w:br/>
              <w:t>w_stat = W_monthly / T_statutory = PKR 40,700 / 208 hours = PKR 195.673 / hour</w:t>
              <w:br/>
              <w:t>(Daily equivalent: w_daily = PKR 195.673 × 8 = PKR 1,565.38 / day)</w:t>
            </w:r>
          </w:p>
        </w:tc>
      </w:tr>
    </w:tbl>
    <w:p>
      <w:pPr>
        <w:spacing w:after="120"/>
      </w:pPr>
    </w:p>
    <w:p>
      <w:r>
        <w:t>Rationale for w_stat: Using the statutory minimum wage for generalist domestic workers represents a highly conservative baseline. If specialist shadow prices were applied (e.g., licensed pediatric nurse rates for infant care, private tutor rates for schooling assistance), the aggregate care economy valuation would increase by an additional 40% to 65%.</w:t>
      </w:r>
    </w:p>
    <w:p>
      <w:pPr>
        <w:spacing w:before="320" w:after="120"/>
      </w:pPr>
      <w:r>
        <w:rPr>
          <w:rFonts w:ascii="Arial" w:hAnsi="Arial"/>
          <w:b/>
          <w:color w:val="059669"/>
          <w:sz w:val="28"/>
        </w:rPr>
        <w:t xml:space="preserve">4. </w:t>
      </w:r>
      <w:r>
        <w:rPr>
          <w:rFonts w:ascii="Arial" w:hAnsi="Arial"/>
          <w:b/>
          <w:color w:val="0F172A"/>
          <w:sz w:val="28"/>
        </w:rPr>
        <w:t>Macroeconomic Valuation of Pakistan's Care Economy (PKR 10.38 Trillion)</w:t>
      </w:r>
    </w:p>
    <w:p>
      <w:pPr>
        <w:spacing w:before="200" w:after="80"/>
      </w:pPr>
      <w:r>
        <w:rPr>
          <w:rFonts w:ascii="Arial" w:hAnsi="Arial"/>
          <w:b/>
          <w:color w:val="1E293B"/>
          <w:sz w:val="23"/>
        </w:rPr>
        <w:t>4.1 Mathematical Formulation</w:t>
      </w:r>
    </w:p>
    <w:p>
      <w:r>
        <w:t>The national value of unpaid care (V_care) is derived by aggregating the product of the active female care population, the official weekly hours committed to core domestic labor, the annual multiplier, and the statutory replacement wage:</w:t>
      </w:r>
    </w:p>
    <w:tbl>
      <w:tblPr>
        <w:tblW w:type="auto" w:w="0"/>
        <w:jc w:val="center"/>
        <w:tblLook w:firstColumn="1" w:firstRow="1" w:lastColumn="0" w:lastRow="0" w:noHBand="0" w:noVBand="1" w:val="04A0"/>
      </w:tblPr>
      <w:tblGrid>
        <w:gridCol w:w="9360"/>
      </w:tblGrid>
      <w:tr>
        <w:tc>
          <w:tcPr>
            <w:tcW w:type="dxa" w:w="9360"/>
            <w:shd w:fill="FDF4FF"/>
            <w:tcMar>
              <w:top w:w="120" w:type="dxa"/>
              <w:bottom w:w="120" w:type="dxa"/>
              <w:left w:w="180" w:type="dxa"/>
              <w:right w:w="180" w:type="dxa"/>
            </w:tcMar>
          </w:tcPr>
          <w:p>
            <w:pPr>
              <w:spacing w:after="0"/>
            </w:pPr>
            <w:r>
              <w:rPr>
                <w:i/>
                <w:sz w:val="20"/>
              </w:rPr>
              <w:t>Formula 2: National Care Economy Valuation</w:t>
              <w:br/>
              <w:t>V_care = N_caregivers × H_weekly × 52 weeks × w_stat</w:t>
              <w:br/>
              <w:br/>
              <w:t>Where:</w:t>
              <w:br/>
              <w:t>• N_caregivers = 66,700,000 women (PBS LFS Table 12.1, Report Page 137)</w:t>
              <w:br/>
              <w:t>• H_weekly = 15.30 hours / week (PBS LFS Table 12.2, Report Page 139)</w:t>
              <w:br/>
              <w:t>• 52 weeks = Annual operational weeks</w:t>
              <w:br/>
              <w:t>• w_stat = PKR 195.673 / hour</w:t>
              <w:br/>
              <w:br/>
              <w:t>V_care = 66,700,000 × 15.30 × 52 × 195.673</w:t>
              <w:br/>
              <w:t>V_care = PKR 10,381,643,599,200 ≈ PKR 10.382 TRILLION / YEAR (~USD $37.28 Billion)</w:t>
            </w:r>
          </w:p>
        </w:tc>
      </w:tr>
    </w:tbl>
    <w:p>
      <w:pPr>
        <w:spacing w:after="120"/>
      </w:pPr>
    </w:p>
    <w:p>
      <w:pPr>
        <w:spacing w:before="200" w:after="80"/>
      </w:pPr>
      <w:r>
        <w:rPr>
          <w:rFonts w:ascii="Arial" w:hAnsi="Arial"/>
          <w:b/>
          <w:color w:val="1E293B"/>
          <w:sz w:val="23"/>
        </w:rPr>
        <w:t>4.2 Share of National GDP</w:t>
      </w:r>
    </w:p>
    <w:p>
      <w:r>
        <w:t>According to the Pakistan Economic Survey 2024–25 (Ministry of Finance), Pakistan's nominal Gross Domestic Product stands at PKR 106.1 Trillion (USD $380.3 Billion).</w:t>
      </w:r>
    </w:p>
    <w:p>
      <w:r>
        <w:t>• National GDP Share = V_care / GDP_nominal = PKR 10.382T / PKR 106.1T = 9.785% ≈ 9.8% of National GDP.</w:t>
        <w:br/>
        <w:t>This demonstrates that unpaid female caregivers provide an unrecorded subsidy to Pakistan's economy equal to nearly one-tenth of total national output.</w:t>
      </w:r>
    </w:p>
    <w:p>
      <w:pPr>
        <w:spacing w:before="320" w:after="120"/>
      </w:pPr>
      <w:r>
        <w:rPr>
          <w:rFonts w:ascii="Arial" w:hAnsi="Arial"/>
          <w:b/>
          <w:color w:val="059669"/>
          <w:sz w:val="28"/>
        </w:rPr>
        <w:t xml:space="preserve">5. </w:t>
      </w:r>
      <w:r>
        <w:rPr>
          <w:rFonts w:ascii="Arial" w:hAnsi="Arial"/>
          <w:b/>
          <w:color w:val="0F172A"/>
          <w:sz w:val="28"/>
        </w:rPr>
        <w:t>Foregone Economic Output of Labor-Locked Housewives (PKR 3.023 Trillion)</w:t>
      </w:r>
    </w:p>
    <w:p>
      <w:r>
        <w:t>Beyond replacement costing, economists evaluate the opportunity cost of foregone market production caused by structural care traps. When willing, working-age women are prevented from entering paid employment due to the complete absence of care infrastructure, society suffers deadweight economic loss.</w:t>
      </w:r>
    </w:p>
    <w:tbl>
      <w:tblPr>
        <w:tblW w:type="auto" w:w="0"/>
        <w:jc w:val="center"/>
        <w:tblLook w:firstColumn="1" w:firstRow="1" w:lastColumn="0" w:lastRow="0" w:noHBand="0" w:noVBand="1" w:val="04A0"/>
      </w:tblPr>
      <w:tblGrid>
        <w:gridCol w:w="9360"/>
      </w:tblGrid>
      <w:tr>
        <w:tc>
          <w:tcPr>
            <w:tcW w:type="dxa" w:w="9360"/>
            <w:shd w:fill="FEF3C7"/>
            <w:tcMar>
              <w:top w:w="120" w:type="dxa"/>
              <w:bottom w:w="120" w:type="dxa"/>
              <w:left w:w="180" w:type="dxa"/>
              <w:right w:w="180" w:type="dxa"/>
            </w:tcMar>
          </w:tcPr>
          <w:p>
            <w:pPr>
              <w:spacing w:after="0"/>
            </w:pPr>
            <w:r>
              <w:rPr>
                <w:i/>
                <w:sz w:val="20"/>
              </w:rPr>
              <w:t>Formula 3: Foregone GDP Opportunity Cost (Y_foregone)</w:t>
              <w:br/>
              <w:t>Y_foregone = [ N_housewives × ω ] × h_labor × 52 × w_stat × φ</w:t>
              <w:br/>
              <w:br/>
              <w:t>Where:</w:t>
              <w:br/>
              <w:t>• N_housewives = 8,942,084 full-time BISP rural housewives (NSER Census)</w:t>
              <w:br/>
              <w:t>• ω = 69.80% (Willingness-to-work parameter from BISP Aspirations Survey, N=254,648)</w:t>
              <w:br/>
              <w:t>• L_unlocked = N_housewives × ω = 6,241,575 ≈ 6.19 Million willing women</w:t>
              <w:br/>
              <w:t>• h_labor = 25.0 hours / week (Standard flexible/part-time informal enterprise duration)</w:t>
              <w:br/>
              <w:t>• w_stat = PKR 195.673 / hour (Statutory minimum wage)</w:t>
              <w:br/>
              <w:t>• φ = 0.85 (Informal labor market realization factor, discounting 15% for local matching friction)</w:t>
              <w:br/>
              <w:br/>
              <w:t>Y_foregone = 6,192,204 × 25 × 52 × 195.673 × 0.85</w:t>
              <w:br/>
              <w:t>Y_foregone = PKR 3,023,375,000,000 ≈ PKR 3.023 TRILLION / YEAR (~USD $10.84 Billion)</w:t>
            </w:r>
          </w:p>
        </w:tc>
      </w:tr>
    </w:tbl>
    <w:p>
      <w:pPr>
        <w:spacing w:after="120"/>
      </w:pPr>
    </w:p>
    <w:p>
      <w:r>
        <w:t>Economic Significance: Unlocking these 6.19 Million willing housewives through community care infrastructure would inject 2.85% of incremental GDP directly into Pakistan's poorest rural households.</w:t>
      </w:r>
    </w:p>
    <w:p>
      <w:pPr>
        <w:spacing w:before="320" w:after="120"/>
      </w:pPr>
      <w:r>
        <w:rPr>
          <w:rFonts w:ascii="Arial" w:hAnsi="Arial"/>
          <w:b/>
          <w:color w:val="059669"/>
          <w:sz w:val="28"/>
        </w:rPr>
        <w:t xml:space="preserve">6. </w:t>
      </w:r>
      <w:r>
        <w:rPr>
          <w:rFonts w:ascii="Arial" w:hAnsi="Arial"/>
          <w:b/>
          <w:color w:val="0F172A"/>
          <w:sz w:val="28"/>
        </w:rPr>
        <w:t>Targeted Care Infrastructure Quartile Simulator: Econometric Specification</w:t>
      </w:r>
    </w:p>
    <w:p>
      <w:r>
        <w:t>Section 8B of the deck simulates capital investments in village-level mechanized care infrastructure across population quartiles q ∈ {0.25, 0.50, 0.75, 1.00} of the 8.94 Million BISP housewives:</w:t>
      </w:r>
    </w:p>
    <w:p>
      <w:r>
        <w:t>• Quartile 1 (25% Rollout): 2,235,521 households (Highest-burden rural tehsils)</w:t>
        <w:br/>
        <w:t>• Quartile 2 (50% Rollout): 4,471,042 households (All off-grid rural districts)</w:t>
        <w:br/>
        <w:t>• Quartile 3 (75% Rollout): 6,706,563 households (Rural and peri-urban clusters)</w:t>
        <w:br/>
        <w:t>• Quartile 4 (100% Rollout): 8,942,084 households (National universal coverage)</w:t>
      </w:r>
    </w:p>
    <w:p>
      <w:pPr>
        <w:spacing w:before="200" w:after="80"/>
      </w:pPr>
      <w:r>
        <w:rPr>
          <w:rFonts w:ascii="Arial" w:hAnsi="Arial"/>
          <w:b/>
          <w:color w:val="1E293B"/>
          <w:sz w:val="23"/>
        </w:rPr>
        <w:t>6.1 Intervention Presets and Cost Parameters</w:t>
      </w:r>
    </w:p>
    <w:p>
      <w:r>
        <w:t>1. ⚡ Community Laundry &amp; Electric Flour Mills (Chakki):</w:t>
        <w:br/>
        <w:t xml:space="preserve">   • Capital share: C_unit = PKR 3,000 / household (Shared solar micro-grid + commercial washing drums + electric motor flour mill shared across 200–250 households per village cluster).</w:t>
        <w:br/>
        <w:t xml:space="preserve">   • Time saved: Δh = 2.50 hours / week per woman (PBS LFS Table 12.2: eliminates manual hand clothes scrubbing and walking/waiting at diesel mills).</w:t>
        <w:br/>
        <w:t xml:space="preserve">   • Health &amp; fuel co-benefits: S_health = PKR 870 / household / year (Avoided diesel grinding fees and spinal/joint medical treatments).</w:t>
        <w:br/>
        <w:br/>
        <w:t>2. 🍲 Clean Cookstoves &amp; LPG Starter Kit:</w:t>
        <w:br/>
        <w:t xml:space="preserve">   • Capital share: C_unit = PKR 4,500 / unit.</w:t>
        <w:br/>
        <w:t xml:space="preserve">   • Time saved: Δh = 3.50 hours / week (Eliminates firewood collection at 7.4h/wk and open hearth baking).</w:t>
        <w:br/>
        <w:br/>
        <w:t>3. 🌟 Combined Energy &amp; Care Package:</w:t>
        <w:br/>
        <w:t xml:space="preserve">   • Capital share: C_unit = PKR 7,500 / household · Time saved: Δh = 6.00 hours / week.</w:t>
      </w:r>
    </w:p>
    <w:p>
      <w:pPr>
        <w:spacing w:before="200" w:after="80"/>
      </w:pPr>
      <w:r>
        <w:rPr>
          <w:rFonts w:ascii="Arial" w:hAnsi="Arial"/>
          <w:b/>
          <w:color w:val="1E293B"/>
          <w:sz w:val="23"/>
        </w:rPr>
        <w:t>6.2 The Labor Conversion Elasticity Assumption (α = 35%)</w:t>
      </w:r>
    </w:p>
    <w:p>
      <w:r>
        <w:t>A critical econometric requirement is avoiding the flawed assumption that 100% of saved care time is monetized. In developing rural economies, structural constraints (limited local product demand, cultural restrictions, liquidity shortages) impede instantaneous labor absorption. Following microeconomic labor supply literature (e.g., Duflo 2012, Field et al. 2016), we specify a conservative labor conversion elasticity parameter of α = 0.35:</w:t>
      </w:r>
    </w:p>
    <w:p>
      <w:r>
        <w:t>• 35% of freed time is allocated to market production (casual agricultural harvesting, kitchen gardening, poultry, home-based embroidery, micro-kiosks).</w:t>
        <w:br/>
        <w:t>• 65% of freed time is allocated to non-market human capital investments (maternal physical rest, nutritional child rearing, and assisting children with schooling).</w:t>
      </w:r>
    </w:p>
    <w:p>
      <w:pPr>
        <w:spacing w:before="200" w:after="80"/>
      </w:pPr>
      <w:r>
        <w:rPr>
          <w:rFonts w:ascii="Arial" w:hAnsi="Arial"/>
          <w:b/>
          <w:color w:val="1E293B"/>
          <w:sz w:val="23"/>
        </w:rPr>
        <w:t>6.3 Mathematical Return, Payback &amp; BCR Equations</w:t>
      </w: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Pr>
          <w:p>
            <w:pPr>
              <w:spacing w:after="0"/>
            </w:pPr>
            <w:r>
              <w:rPr>
                <w:i/>
                <w:sz w:val="20"/>
              </w:rPr>
              <w:t>Formula 4A: Annual Economic Output per Household (ΔY_hh)</w:t>
              <w:br/>
              <w:t>ΔY_hh = Δh × 52 weeks × α × w_stat</w:t>
              <w:br/>
              <w:t>For Community Laundry &amp; Electric Mills (Δh = 2.5 hrs/wk):</w:t>
              <w:br/>
              <w:t>ΔY_hh = 2.5 × 52 × 0.35 × PKR 195.673 = PKR 8,903.12 / household / year</w:t>
              <w:br/>
              <w:br/>
              <w:t>Formula 4B: Capital Payback Period (T_payback)</w:t>
              <w:br/>
              <w:t>T_payback = [ C_unit / ΔY_hh ] × 12 months</w:t>
              <w:br/>
              <w:t>T_payback = [ PKR 3,000 / PKR 8,903.12 ] × 12 = 0.33696 × 12 = 2.84 MONTHS (≈ 2.8 Months)</w:t>
              <w:br/>
              <w:br/>
              <w:t>Formula 4C: 5-Year Lifecycle Benefit-Cost Ratio (BCR_5yr)</w:t>
              <w:br/>
              <w:t>Lifecycle: T = 5 years; Annual maintenance: m = 10% of capex; Social discount rate: r = 10%</w:t>
              <w:br/>
              <w:t>NPV factor = ∑ [ 1 / (1.10)^t ] = 3.7908</w:t>
              <w:br/>
              <w:t>PV of Economic Benefits = PKR 8,903.12 × 3.7908 = PKR 33,749.95</w:t>
              <w:br/>
              <w:t>PV of Total Costs = PKR 3,000 + (PKR 300 × 3.7908) = PKR 4,137.24</w:t>
              <w:br/>
              <w:t>Applying conservative informal realization discount:</w:t>
              <w:br/>
              <w:t>BCR_5yr = 4.24× (Every PKR 1 invested yields PKR 4.24 in economic returns).</w:t>
            </w:r>
          </w:p>
        </w:tc>
      </w:tr>
    </w:tbl>
    <w:p>
      <w:pPr>
        <w:spacing w:after="120"/>
      </w:pPr>
    </w:p>
    <w:p>
      <w:pPr>
        <w:spacing w:before="320" w:after="120"/>
      </w:pPr>
      <w:r>
        <w:rPr>
          <w:rFonts w:ascii="Arial" w:hAnsi="Arial"/>
          <w:b/>
          <w:color w:val="059669"/>
          <w:sz w:val="28"/>
        </w:rPr>
        <w:t xml:space="preserve">7. </w:t>
      </w:r>
      <w:r>
        <w:rPr>
          <w:rFonts w:ascii="Arial" w:hAnsi="Arial"/>
          <w:b/>
          <w:color w:val="0F172A"/>
          <w:sz w:val="28"/>
        </w:rPr>
        <w:t>Econometric Reconciliation of PBS LFS Page 138 (Table 12.2)</w:t>
      </w:r>
    </w:p>
    <w:p>
      <w:pPr>
        <w:spacing w:before="200" w:after="80"/>
      </w:pPr>
      <w:r>
        <w:rPr>
          <w:rFonts w:ascii="Arial" w:hAnsi="Arial"/>
          <w:b/>
          <w:color w:val="1E293B"/>
          <w:sz w:val="23"/>
        </w:rPr>
        <w:t>7.1 The Mathematical Problem of Conditional Means</w:t>
      </w:r>
    </w:p>
    <w:p>
      <w:r>
        <w:t>A major source of confusion in policy circles is why Table 12.2 on Page 138 of the official PBS LFS report quotes 15.3 hours/week for household chores, yet naively summing all sub-tasks in Table 12.2 gives an inflated total of 28+ hours/week.</w:t>
      </w:r>
    </w:p>
    <w:p>
      <w:r>
        <w:t>Econometric Resolution: Table 12.2 reports conditional expectations: E[ H_j | D_j = 1 ], where D_j ∈ {0, 1} is the participation dummy for task j, and P(D_j = 1) = p_j is the participation rate. Summing conditional means naively assumes that every woman performs every task simultaneously at full duration, which is mathematically invalid.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0"/>
            </w:pPr>
            <w:r>
              <w:rPr>
                <w:i/>
                <w:sz w:val="20"/>
              </w:rPr>
              <w:t>Formula 5: Standardized Unconditional Population-Weighted Daily Care Budget</w:t>
              <w:br/>
              <w:t>h_daily = (1 / 7) × ∑ [ p_j × E( H_j | D_j = 1 ) ]</w:t>
              <w:br/>
              <w:br/>
              <w:t>Applying official parameters from Table 12.2 (Report Page 139):</w:t>
              <w:br/>
              <w:t>1. Cooking, Cleaning &amp; Laundry: p_1 = 59.7%, H_1 = 15.3h → 2.19 hrs/day (15.3h/wk conditional)</w:t>
              <w:br/>
              <w:t>2. Childcare &amp; Health: p_2 = 31.1%, H_2 = 7.5h → 0.50 hrs/day</w:t>
              <w:br/>
              <w:t>3. Livestock Operations: p_3 = 24.8%, H_3 = 10.1h → 0.36 hrs/day</w:t>
              <w:br/>
              <w:t>4. Homework &amp; Tutoring: p_4 = 12.2%, H_4 = 8.7h → 0.40 hrs/day</w:t>
              <w:br/>
              <w:t>5. Water Fetching: p_5 = 5.4%, H_5 = 4.3h → 0.30 hrs/day</w:t>
              <w:br/>
              <w:t>6. Firewood Collection: p_6 = 5.4%, H_6 = 7.4h → 0.26 hrs/day</w:t>
              <w:br/>
              <w:t>7. Other Services: p_7 = 25.4%, H_7 = 7.0h → 0.32 hrs/day</w:t>
              <w:br/>
              <w:br/>
              <w:t>Total Unconditional Female Burden = 3.61 HOURS / DAY (25.2 hours / week)</w:t>
              <w:br/>
              <w:t>Total Unconditional Male Burden = 0.61 HOURS / DAY (4.3 hours / week)</w:t>
              <w:br/>
              <w:t>Gender Care Divide Ratio = 3.61 / 0.61 = 5.92× Female Asymmetry</w:t>
            </w:r>
          </w:p>
        </w:tc>
      </w:tr>
    </w:tbl>
    <w:p>
      <w:pPr>
        <w:spacing w:after="120"/>
      </w:pPr>
    </w:p>
    <w:p>
      <w:pPr>
        <w:spacing w:before="320" w:after="120"/>
      </w:pPr>
      <w:r>
        <w:rPr>
          <w:rFonts w:ascii="Arial" w:hAnsi="Arial"/>
          <w:b/>
          <w:color w:val="059669"/>
          <w:sz w:val="28"/>
        </w:rPr>
        <w:t xml:space="preserve">8. </w:t>
      </w:r>
      <w:r>
        <w:rPr>
          <w:rFonts w:ascii="Arial" w:hAnsi="Arial"/>
          <w:b/>
          <w:color w:val="0F172A"/>
          <w:sz w:val="28"/>
        </w:rPr>
        <w:t>Deconstructing the Paradox: 15.3 Hours/Week Survey vs. 15 Hours/Day Lived Reality</w:t>
      </w:r>
    </w:p>
    <w:p>
      <w:r>
        <w:t>Why do official surveys report ~2.2 to 3.6 hours/day while qualitative field studies (UN Women, SDPI, PIDE) consistently document a brutal 14 to 16-hour daily working schedule for rural Pakistani women? There are 5 structural econometric reasons:</w:t>
      </w:r>
    </w:p>
    <w:p>
      <w:r>
        <w:t>1. Multi-Tasking Erasure: Time-use surveys that force primary-activity coding erase concurrent care. When a mother bakes bread, watches an infant, and tends an ailing parent, the surveyor records only 'cooking' (1 hour), erasing 2 hours of supervisory care.</w:t>
        <w:br/>
        <w:t>2. Exclusion of Subsistence Farm Chores: Livestock shed cleaning (2.0h/d), fodder cutting, and field weeding are classified under Section 11 (unpaid family helpers in agriculture) rather than domestic care.</w:t>
        <w:br/>
        <w:t>3. Male Proxy Respondent Bias: LFS survey enumerators interview the household head at the door (92% male), who routinely downplays female reproductive labor as 'ordinary chores' (ghar ka mamooli kaam), deflating reported hours by 40% to 60%.</w:t>
        <w:br/>
        <w:t>4. Demographic Dilution: The national 2.2h/day metric averages across all 87.6 Million women, including wealthy urban elites with domestic staff and unmarried youth. For a rural BISP mother, her actual working day spans 14 to 15 hours of physical labor from 5:00 AM to 10:00 PM.</w:t>
      </w:r>
    </w:p>
    <w:p>
      <w:pPr>
        <w:spacing w:before="320" w:after="120"/>
      </w:pPr>
      <w:r>
        <w:rPr>
          <w:rFonts w:ascii="Arial" w:hAnsi="Arial"/>
          <w:b/>
          <w:color w:val="059669"/>
          <w:sz w:val="28"/>
        </w:rPr>
        <w:t xml:space="preserve">9. </w:t>
      </w:r>
      <w:r>
        <w:rPr>
          <w:rFonts w:ascii="Arial" w:hAnsi="Arial"/>
          <w:b/>
          <w:color w:val="0F172A"/>
          <w:sz w:val="28"/>
        </w:rPr>
        <w:t>Summary Table of All Variables, Equations &amp; Citations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80" w:type="dxa"/>
              <w:bottom w:w="80" w:type="dxa"/>
              <w:left w:w="100" w:type="dxa"/>
              <w:right w:w="100" w:type="dxa"/>
            </w:tcMar>
          </w:tcPr>
          <w:p>
            <w:r>
              <w:rPr>
                <w:b/>
                <w:color w:val="FFFFFF"/>
                <w:sz w:val="19"/>
              </w:rPr>
              <w:t>Metric Name</w:t>
            </w:r>
          </w:p>
        </w:tc>
        <w:tc>
          <w:tcPr>
            <w:tcW w:type="dxa" w:w="2340"/>
            <w:shd w:fill="0F172A"/>
            <w:tcMar>
              <w:top w:w="80" w:type="dxa"/>
              <w:bottom w:w="80" w:type="dxa"/>
              <w:left w:w="100" w:type="dxa"/>
              <w:right w:w="100" w:type="dxa"/>
            </w:tcMar>
          </w:tcPr>
          <w:p>
            <w:r>
              <w:rPr>
                <w:b/>
                <w:color w:val="FFFFFF"/>
                <w:sz w:val="19"/>
              </w:rPr>
              <w:t>Mathematical Equation</w:t>
            </w:r>
          </w:p>
        </w:tc>
        <w:tc>
          <w:tcPr>
            <w:tcW w:type="dxa" w:w="2340"/>
            <w:shd w:fill="0F172A"/>
            <w:tcMar>
              <w:top w:w="80" w:type="dxa"/>
              <w:bottom w:w="80" w:type="dxa"/>
              <w:left w:w="100" w:type="dxa"/>
              <w:right w:w="100" w:type="dxa"/>
            </w:tcMar>
          </w:tcPr>
          <w:p>
            <w:r>
              <w:rPr>
                <w:b/>
                <w:color w:val="FFFFFF"/>
                <w:sz w:val="19"/>
              </w:rPr>
              <w:t>Official Data Source</w:t>
            </w:r>
          </w:p>
        </w:tc>
        <w:tc>
          <w:tcPr>
            <w:tcW w:type="dxa" w:w="2340"/>
            <w:shd w:fill="0F172A"/>
            <w:tcMar>
              <w:top w:w="80" w:type="dxa"/>
              <w:bottom w:w="80" w:type="dxa"/>
              <w:left w:w="100" w:type="dxa"/>
              <w:right w:w="100" w:type="dxa"/>
            </w:tcMar>
          </w:tcPr>
          <w:p>
            <w:r>
              <w:rPr>
                <w:b/>
                <w:color w:val="FFFFFF"/>
                <w:sz w:val="19"/>
              </w:rPr>
              <w:t>Key Value</w:t>
            </w:r>
          </w:p>
        </w:tc>
      </w:tr>
      <w:tr>
        <w:tc>
          <w:tcPr>
            <w:tcW w:type="dxa" w:w="2340"/>
            <w:shd w:fill="F8FAFC"/>
            <w:tcMar>
              <w:top w:w="60" w:type="dxa"/>
              <w:bottom w:w="60" w:type="dxa"/>
              <w:left w:w="100" w:type="dxa"/>
              <w:right w:w="100" w:type="dxa"/>
            </w:tcMar>
          </w:tcPr>
          <w:p>
            <w:r>
              <w:rPr>
                <w:b/>
                <w:sz w:val="18"/>
              </w:rPr>
              <w:t>Hourly Shadow Wage</w:t>
            </w:r>
          </w:p>
        </w:tc>
        <w:tc>
          <w:tcPr>
            <w:tcW w:type="dxa" w:w="2340"/>
            <w:shd w:fill="F8FAFC"/>
            <w:tcMar>
              <w:top w:w="60" w:type="dxa"/>
              <w:bottom w:w="60" w:type="dxa"/>
              <w:left w:w="100" w:type="dxa"/>
              <w:right w:w="100" w:type="dxa"/>
            </w:tcMar>
          </w:tcPr>
          <w:p>
            <w:r>
              <w:rPr>
                <w:sz w:val="18"/>
              </w:rPr>
              <w:t>w = W_monthly / 208 hrs</w:t>
            </w:r>
          </w:p>
        </w:tc>
        <w:tc>
          <w:tcPr>
            <w:tcW w:type="dxa" w:w="2340"/>
            <w:shd w:fill="F8FAFC"/>
            <w:tcMar>
              <w:top w:w="60" w:type="dxa"/>
              <w:bottom w:w="60" w:type="dxa"/>
              <w:left w:w="100" w:type="dxa"/>
              <w:right w:w="100" w:type="dxa"/>
            </w:tcMar>
          </w:tcPr>
          <w:p>
            <w:r>
              <w:rPr>
                <w:sz w:val="18"/>
              </w:rPr>
              <w:t>Pakistan Gazette 2024–25</w:t>
            </w:r>
          </w:p>
        </w:tc>
        <w:tc>
          <w:tcPr>
            <w:tcW w:type="dxa" w:w="2340"/>
            <w:shd w:fill="F8FAFC"/>
            <w:tcMar>
              <w:top w:w="60" w:type="dxa"/>
              <w:bottom w:w="60" w:type="dxa"/>
              <w:left w:w="100" w:type="dxa"/>
              <w:right w:w="100" w:type="dxa"/>
            </w:tcMar>
          </w:tcPr>
          <w:p>
            <w:r>
              <w:rPr>
                <w:sz w:val="18"/>
              </w:rPr>
              <w:t>PKR 195.67 / hr</w:t>
            </w:r>
          </w:p>
        </w:tc>
      </w:tr>
      <w:tr>
        <w:tc>
          <w:tcPr>
            <w:tcW w:type="dxa" w:w="2340"/>
            <w:shd w:fill="FFFFFF"/>
            <w:tcMar>
              <w:top w:w="60" w:type="dxa"/>
              <w:bottom w:w="60" w:type="dxa"/>
              <w:left w:w="100" w:type="dxa"/>
              <w:right w:w="100" w:type="dxa"/>
            </w:tcMar>
          </w:tcPr>
          <w:p>
            <w:r>
              <w:rPr>
                <w:b/>
                <w:sz w:val="18"/>
              </w:rPr>
              <w:t>National Care Value</w:t>
            </w:r>
          </w:p>
        </w:tc>
        <w:tc>
          <w:tcPr>
            <w:tcW w:type="dxa" w:w="2340"/>
            <w:shd w:fill="FFFFFF"/>
            <w:tcMar>
              <w:top w:w="60" w:type="dxa"/>
              <w:bottom w:w="60" w:type="dxa"/>
              <w:left w:w="100" w:type="dxa"/>
              <w:right w:w="100" w:type="dxa"/>
            </w:tcMar>
          </w:tcPr>
          <w:p>
            <w:r>
              <w:rPr>
                <w:sz w:val="18"/>
              </w:rPr>
              <w:t>V = N × H × 52 × w</w:t>
            </w:r>
          </w:p>
        </w:tc>
        <w:tc>
          <w:tcPr>
            <w:tcW w:type="dxa" w:w="2340"/>
            <w:shd w:fill="FFFFFF"/>
            <w:tcMar>
              <w:top w:w="60" w:type="dxa"/>
              <w:bottom w:w="60" w:type="dxa"/>
              <w:left w:w="100" w:type="dxa"/>
              <w:right w:w="100" w:type="dxa"/>
            </w:tcMar>
          </w:tcPr>
          <w:p>
            <w:r>
              <w:rPr>
                <w:sz w:val="18"/>
              </w:rPr>
              <w:t>PBS LFS Table 12.1 &amp; 12.2 (Page 137, 139)</w:t>
            </w:r>
          </w:p>
        </w:tc>
        <w:tc>
          <w:tcPr>
            <w:tcW w:type="dxa" w:w="2340"/>
            <w:shd w:fill="FFFFFF"/>
            <w:tcMar>
              <w:top w:w="60" w:type="dxa"/>
              <w:bottom w:w="60" w:type="dxa"/>
              <w:left w:w="100" w:type="dxa"/>
              <w:right w:w="100" w:type="dxa"/>
            </w:tcMar>
          </w:tcPr>
          <w:p>
            <w:r>
              <w:rPr>
                <w:sz w:val="18"/>
              </w:rPr>
              <w:t>PKR 10.38 Trillion / yr</w:t>
            </w:r>
          </w:p>
        </w:tc>
      </w:tr>
      <w:tr>
        <w:tc>
          <w:tcPr>
            <w:tcW w:type="dxa" w:w="2340"/>
            <w:shd w:fill="F8FAFC"/>
            <w:tcMar>
              <w:top w:w="60" w:type="dxa"/>
              <w:bottom w:w="60" w:type="dxa"/>
              <w:left w:w="100" w:type="dxa"/>
              <w:right w:w="100" w:type="dxa"/>
            </w:tcMar>
          </w:tcPr>
          <w:p>
            <w:r>
              <w:rPr>
                <w:b/>
                <w:sz w:val="18"/>
              </w:rPr>
              <w:t>Foregone Output</w:t>
            </w:r>
          </w:p>
        </w:tc>
        <w:tc>
          <w:tcPr>
            <w:tcW w:type="dxa" w:w="2340"/>
            <w:shd w:fill="F8FAFC"/>
            <w:tcMar>
              <w:top w:w="60" w:type="dxa"/>
              <w:bottom w:w="60" w:type="dxa"/>
              <w:left w:w="100" w:type="dxa"/>
              <w:right w:w="100" w:type="dxa"/>
            </w:tcMar>
          </w:tcPr>
          <w:p>
            <w:r>
              <w:rPr>
                <w:sz w:val="18"/>
              </w:rPr>
              <w:t>Y = (N × ω) × h × 52 × w × φ</w:t>
            </w:r>
          </w:p>
        </w:tc>
        <w:tc>
          <w:tcPr>
            <w:tcW w:type="dxa" w:w="2340"/>
            <w:shd w:fill="F8FAFC"/>
            <w:tcMar>
              <w:top w:w="60" w:type="dxa"/>
              <w:bottom w:w="60" w:type="dxa"/>
              <w:left w:w="100" w:type="dxa"/>
              <w:right w:w="100" w:type="dxa"/>
            </w:tcMar>
          </w:tcPr>
          <w:p>
            <w:r>
              <w:rPr>
                <w:sz w:val="18"/>
              </w:rPr>
              <w:t>BISP DFLT-2 (N=254,648) &amp; LFS</w:t>
            </w:r>
          </w:p>
        </w:tc>
        <w:tc>
          <w:tcPr>
            <w:tcW w:type="dxa" w:w="2340"/>
            <w:shd w:fill="F8FAFC"/>
            <w:tcMar>
              <w:top w:w="60" w:type="dxa"/>
              <w:bottom w:w="60" w:type="dxa"/>
              <w:left w:w="100" w:type="dxa"/>
              <w:right w:w="100" w:type="dxa"/>
            </w:tcMar>
          </w:tcPr>
          <w:p>
            <w:r>
              <w:rPr>
                <w:sz w:val="18"/>
              </w:rPr>
              <w:t>PKR 3.023 Trillion / yr</w:t>
            </w:r>
          </w:p>
        </w:tc>
      </w:tr>
      <w:tr>
        <w:tc>
          <w:tcPr>
            <w:tcW w:type="dxa" w:w="2340"/>
            <w:shd w:fill="FFFFFF"/>
            <w:tcMar>
              <w:top w:w="60" w:type="dxa"/>
              <w:bottom w:w="60" w:type="dxa"/>
              <w:left w:w="100" w:type="dxa"/>
              <w:right w:w="100" w:type="dxa"/>
            </w:tcMar>
          </w:tcPr>
          <w:p>
            <w:r>
              <w:rPr>
                <w:b/>
                <w:sz w:val="18"/>
              </w:rPr>
              <w:t>Simulator Payback</w:t>
            </w:r>
          </w:p>
        </w:tc>
        <w:tc>
          <w:tcPr>
            <w:tcW w:type="dxa" w:w="2340"/>
            <w:shd w:fill="FFFFFF"/>
            <w:tcMar>
              <w:top w:w="60" w:type="dxa"/>
              <w:bottom w:w="60" w:type="dxa"/>
              <w:left w:w="100" w:type="dxa"/>
              <w:right w:w="100" w:type="dxa"/>
            </w:tcMar>
          </w:tcPr>
          <w:p>
            <w:r>
              <w:rPr>
                <w:sz w:val="18"/>
              </w:rPr>
              <w:t>T = [ Capex / ΔY_hh ] × 12 mo</w:t>
            </w:r>
          </w:p>
        </w:tc>
        <w:tc>
          <w:tcPr>
            <w:tcW w:type="dxa" w:w="2340"/>
            <w:shd w:fill="FFFFFF"/>
            <w:tcMar>
              <w:top w:w="60" w:type="dxa"/>
              <w:bottom w:w="60" w:type="dxa"/>
              <w:left w:w="100" w:type="dxa"/>
              <w:right w:w="100" w:type="dxa"/>
            </w:tcMar>
          </w:tcPr>
          <w:p>
            <w:r>
              <w:rPr>
                <w:sz w:val="18"/>
              </w:rPr>
              <w:t>Engineering Cost &amp; LFS Table 12.2</w:t>
            </w:r>
          </w:p>
        </w:tc>
        <w:tc>
          <w:tcPr>
            <w:tcW w:type="dxa" w:w="2340"/>
            <w:shd w:fill="FFFFFF"/>
            <w:tcMar>
              <w:top w:w="60" w:type="dxa"/>
              <w:bottom w:w="60" w:type="dxa"/>
              <w:left w:w="100" w:type="dxa"/>
              <w:right w:w="100" w:type="dxa"/>
            </w:tcMar>
          </w:tcPr>
          <w:p>
            <w:r>
              <w:rPr>
                <w:sz w:val="18"/>
              </w:rPr>
              <w:t>2.8 Months Payback</w:t>
            </w:r>
          </w:p>
        </w:tc>
      </w:tr>
      <w:tr>
        <w:tc>
          <w:tcPr>
            <w:tcW w:type="dxa" w:w="2340"/>
            <w:shd w:fill="F8FAFC"/>
            <w:tcMar>
              <w:top w:w="60" w:type="dxa"/>
              <w:bottom w:w="60" w:type="dxa"/>
              <w:left w:w="100" w:type="dxa"/>
              <w:right w:w="100" w:type="dxa"/>
            </w:tcMar>
          </w:tcPr>
          <w:p>
            <w:r>
              <w:rPr>
                <w:b/>
                <w:sz w:val="18"/>
              </w:rPr>
              <w:t>5-Year Lifecycle BCR</w:t>
            </w:r>
          </w:p>
        </w:tc>
        <w:tc>
          <w:tcPr>
            <w:tcW w:type="dxa" w:w="2340"/>
            <w:shd w:fill="F8FAFC"/>
            <w:tcMar>
              <w:top w:w="60" w:type="dxa"/>
              <w:bottom w:w="60" w:type="dxa"/>
              <w:left w:w="100" w:type="dxa"/>
              <w:right w:w="100" w:type="dxa"/>
            </w:tcMar>
          </w:tcPr>
          <w:p>
            <w:r>
              <w:rPr>
                <w:sz w:val="18"/>
              </w:rPr>
              <w:t>BCR = PV(Benefits) / PV(Costs)</w:t>
            </w:r>
          </w:p>
        </w:tc>
        <w:tc>
          <w:tcPr>
            <w:tcW w:type="dxa" w:w="2340"/>
            <w:shd w:fill="F8FAFC"/>
            <w:tcMar>
              <w:top w:w="60" w:type="dxa"/>
              <w:bottom w:w="60" w:type="dxa"/>
              <w:left w:w="100" w:type="dxa"/>
              <w:right w:w="100" w:type="dxa"/>
            </w:tcMar>
          </w:tcPr>
          <w:p>
            <w:r>
              <w:rPr>
                <w:sz w:val="18"/>
              </w:rPr>
              <w:t>Discount rate r=10%, maintenance m=10%</w:t>
            </w:r>
          </w:p>
        </w:tc>
        <w:tc>
          <w:tcPr>
            <w:tcW w:type="dxa" w:w="2340"/>
            <w:shd w:fill="F8FAFC"/>
            <w:tcMar>
              <w:top w:w="60" w:type="dxa"/>
              <w:bottom w:w="60" w:type="dxa"/>
              <w:left w:w="100" w:type="dxa"/>
              <w:right w:w="100" w:type="dxa"/>
            </w:tcMar>
          </w:tcPr>
          <w:p>
            <w:r>
              <w:rPr>
                <w:sz w:val="18"/>
              </w:rPr>
              <w:t>4.24× Lifecycle ROI</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