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 now pays its beneficiaries through SIM-based wallets held in their own names, but access has not yet translated into use. In DFLT Phase II, 77% of women owned a phone and 29% reported a wallet, yet only 4% had ever transacted on their own. Most continue to rely on retail agents or relatives to withdraw their payments, which exposes them to deductions and fraud. The Digital and Financial Capability Training is therefore built around one practical outcome: </w:t>
      </w:r>
      <w:r>
        <w:rPr>
          <w:b/>
          <w:bCs/>
        </w:rPr>
        <w:t xml:space="preserve">by her next BISP payment, every trained woman can receive, protect and withdraw her full payment herself, and knows where to complain if something goes wrong.</w:t>
      </w:r>
    </w:p>
    <w:p>
      <w:pPr>
        <w:spacing w:after="120" w:before="100" w:line="276"/>
        <w:jc w:val="both"/>
      </w:pPr>
      <w:r>
        <w:rPr>
          <w:b/>
          <w:bCs/>
        </w:rPr>
        <w:t xml:space="preserve">Implementation model.</w:t>
      </w:r>
      <w:r>
        <w:t xml:space="preserve"> The training will reach 1,000,000 beneficiaries in the three phases set by Karandaaz (250,000, 400,000 and 350,000). Each phase is delivered in two sub-phases (Figure 1). In the </w:t>
      </w:r>
      <w:r>
        <w:rPr>
          <w:b/>
          <w:bCs/>
        </w:rPr>
        <w:t xml:space="preserve">readiness sub-phase</w:t>
      </w:r>
      <w:r>
        <w:t xml:space="preserve">, every beneficiary attends an in-person session in a cohort of 30 led by one trainer, where she is registered and learns to keep her SIM active, recognise BISP's 8171 message, check her balance and protect her PIN. For the following four weeks she receives sustained digital reinforcement through IVR calls, WhatsApp messages, short instructional and animated videos, SMS nudges, robocalls and human follow-up calls. In the </w:t>
      </w:r>
      <w:r>
        <w:rPr>
          <w:b/>
          <w:bCs/>
        </w:rPr>
        <w:t xml:space="preserve">capability sub-phase</w:t>
      </w:r>
      <w:r>
        <w:t xml:space="preserve">, the same cohort returns a month later for a hands-on session built on transaction simulations, role plays and group activities, followed by a further four weeks of digital reinforcement. Women who are already capable of transacting independently complete the capability content digitally. The readiness sub-phase is thus fully physical, while the capability sub-phase follows a 70:30 physical-to-digital split in each province.</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Implementation model of the Digital and Financial Capability Training</w:t>
      </w:r>
    </w:p>
    <w:p>
      <w:pPr>
        <w:pStyle w:val="Heading2"/>
        <w:spacing w:after="120" w:before="240"/>
      </w:pPr>
      <w:r>
        <w:t xml:space="preserve">3.1(a) Rapid Baseline Assessment</w:t>
      </w:r>
    </w:p>
    <w:p>
      <w:pPr>
        <w:spacing w:after="120" w:before="100" w:line="276"/>
        <w:jc w:val="both"/>
      </w:pPr>
      <w:r>
        <w:t xml:space="preserve">A rapid baseline assessment will evaluate beneficiaries' digital and financial capabilities, transaction behaviours, gender-related constraints (mobility, trust and household dynamics), device access and digital connectivity. Its findings will set the emphasis of the curriculum and confirm the blended modality mix for each province before roll-out.</w:t>
      </w:r>
    </w:p>
    <w:p>
      <w:pPr>
        <w:spacing w:after="120" w:before="100" w:line="276"/>
        <w:jc w:val="both"/>
      </w:pPr>
      <w:r>
        <w:rPr>
          <w:b/>
          <w:bCs/>
        </w:rPr>
        <w:t xml:space="preserve">Existing evidence.</w:t>
      </w:r>
      <w:r>
        <w:t xml:space="preserve"> SDPI has assessed BISP beneficiaries across three successive programmes: the DFLT National Pilot (2023–24), the DFLT Phase I impact evaluation (2024–25) and the DFLT Phase II national roll-out (2025–26). Table 1 presents the national snapshot from these assessments; provincial snapshots can also be provided.</w:t>
      </w:r>
      <w:r>
        <w:rPr>
          <w:rStyle w:val="FootnoteReference"/>
        </w:rPr>
        <w:footnoteReference w:id="1"/>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rPr>
          <w:b/>
          <w:bCs/>
        </w:rPr>
        <w:t xml:space="preserve">Capability scale.</w:t>
      </w:r>
      <w:r>
        <w:t xml:space="preserve"> To show where beneficiaries stand on a scale of 1 to 10, SDPI will use a ten-step Capability Ladder in which each step is a task the woman performs on her own (Table 2). On current evidence, the typical beneficiary stands at step 2 or 3. The same ladder will be applied at registration, after each sub-phase and at endline, so that progress is reported on a single scale.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rPr>
          <w:b/>
          <w:bCs/>
        </w:rPr>
        <w:t xml:space="preserve">Methodology.</w:t>
      </w:r>
      <w:r>
        <w:t xml:space="preserve"> As a large quantitative profile already exists, the baseline will be qualitative and conducted through focus group discussions (FGDs) at provincial level, limited to the variables specified above. All four provinces will be covered across eight zones: North, Central and South Punjab; North and South Khyber Pakhtunkhwa; Upper and Lower Sindh; and Quetta in Balochistan. One district will be selected in each zone and, within it, one urban and one rural tehsil (Figure 2). In each tehsil, FGDs will be held with beneficiary women and with men of beneficiary households. The findings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Segmentation determines which session each woman attends, which digital channel reaches her and how much follow-up she needs. It is built into mobilisation and registration so that it adds no field time.</w:t>
      </w:r>
    </w:p>
    <w:p>
      <w:pPr>
        <w:spacing w:after="120" w:before="100" w:line="276"/>
        <w:jc w:val="both"/>
      </w:pPr>
      <w:r>
        <w:rPr>
          <w:b/>
          <w:bCs/>
        </w:rPr>
        <w:t xml:space="preserve">Data and eligibility.</w:t>
      </w:r>
      <w:r>
        <w:t xml:space="preserve"> BISP will provide tehsil-wise beneficiary data in which women already trained under DFLT Phase I and II are marked in its PCMS. Before mobilisation, SDPI's customised DFLT App will check each beneficiary and exclude those already trained under DFLT and those who are not active BISP beneficiaries.</w:t>
      </w:r>
    </w:p>
    <w:p>
      <w:pPr>
        <w:spacing w:after="120" w:before="100" w:line="276"/>
        <w:jc w:val="both"/>
      </w:pPr>
      <w:r>
        <w:rPr>
          <w:b/>
          <w:bCs/>
        </w:rPr>
        <w:t xml:space="preserve">Mobilisation and registration.</w:t>
      </w:r>
      <w:r>
        <w:t xml:space="preserve"> Eligible women will be mobilised by the trainers with the support of BISP tehsil office staff. On the day of the readiness session, each woman completes a short registration survey on the DFLT App that records her socio-economic profile and segmentation variables. The resulting data form a standardised beneficiary snapshot (Table 3), reported on SDPI's live dashboard by section and variable for each province, district and tehsil.</w:t>
      </w:r>
    </w:p>
    <w:p>
      <w:pPr>
        <w:keepNext/>
        <w:spacing w:after="80" w:before="160"/>
      </w:pPr>
      <w:r>
        <w:rPr>
          <w:b/>
          <w:bCs/>
          <w:color w:val="0F4761"/>
          <w:sz w:val="20"/>
          <w:szCs w:val="20"/>
        </w:rPr>
        <w:t xml:space="preserve">Table 3: Standardised beneficiary snapshot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The data are filtered into actionable groups on three layers:</w:t>
      </w:r>
    </w:p>
    <w:p>
      <w:pPr>
        <w:pStyle w:val="ListParagraph"/>
        <w:numPr>
          <w:ilvl w:val="0"/>
          <w:numId w:val="2"/>
        </w:numPr>
        <w:spacing w:after="60" w:line="264"/>
      </w:pPr>
      <w:r>
        <w:rPr>
          <w:b/>
          <w:bCs/>
        </w:rPr>
        <w:t xml:space="preserve">Geography.</w:t>
      </w:r>
      <w:r>
        <w:t xml:space="preserve"> Each tehsil is classified as urban or rural, as agent access, connectivity, mobility and household norms differ between the two. DFLT Phase II was designed on a 50:50 urban–rural basis and delivered in 147 tehsils across 81 districts (Figure 3).</w:t>
      </w:r>
      <w:r>
        <w:rPr>
          <w:rStyle w:val="FootnoteReference"/>
        </w:rPr>
        <w:footnoteReference w:id="2"/>
      </w:r>
    </w:p>
    <w:p>
      <w:pPr>
        <w:pStyle w:val="ListParagraph"/>
        <w:numPr>
          <w:ilvl w:val="0"/>
          <w:numId w:val="2"/>
        </w:numPr>
        <w:spacing w:after="60" w:line="264"/>
      </w:pPr>
      <w:r>
        <w:rPr>
          <w:b/>
          <w:bCs/>
        </w:rPr>
        <w:t xml:space="preserve">Device.</w:t>
      </w:r>
      <w:r>
        <w:t xml:space="preserve"> Women are grouped by whether they use a smartphone or a USSD phone and, in each case, whether they own it or have access to a household handset. This determines the digital channel through which each woman is reached.</w:t>
      </w:r>
    </w:p>
    <w:p>
      <w:pPr>
        <w:pStyle w:val="ListParagraph"/>
        <w:numPr>
          <w:ilvl w:val="0"/>
          <w:numId w:val="2"/>
        </w:numPr>
        <w:spacing w:after="60" w:line="264"/>
      </w:pPr>
      <w:r>
        <w:rPr>
          <w:b/>
          <w:bCs/>
        </w:rPr>
        <w:t xml:space="preserve">Capability.</w:t>
      </w:r>
      <w:r>
        <w:t xml:space="preserve"> At the end of the readiness session, the trainer identifies women who are already capable of transacting, for example a woman running a business from home who already sends and receives money. The trainer's judgement is validated through a capability matrix on the App that considers phone ownership, education, prior transactions and the readiness task check. These women follow the digital capability track, although they may still attend the physical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The 70:30 composition applies to each province as a whole. Within a province it will vary: urban pockets such as Lahore are expected to carry a larger digital share, and remote rural tehsils a smaller one.</w:t>
      </w:r>
    </w:p>
    <w:p>
      <w:pPr>
        <w:pStyle w:val="Heading2"/>
        <w:spacing w:after="120" w:before="240"/>
      </w:pPr>
      <w:r>
        <w:t xml:space="preserve">3.1(c) Task-Based, Action-Oriented Curriculum</w:t>
      </w:r>
    </w:p>
    <w:p>
      <w:pPr>
        <w:spacing w:after="120" w:before="100" w:line="276"/>
        <w:jc w:val="both"/>
      </w:pPr>
      <w:r>
        <w:t xml:space="preserve">The curriculum teaches tasks rather than concepts. It focuses on the high-impact behaviours set out in the RFP (receiving payments, PIN use, safe cash-out, fraud awareness and grievance redressal) and then on using the account beyond cash-out. The readiness session prepares the woman to receive and protect her payment; the capability session enables her to withdraw and use it (Table 4). A module is complete only when she performs the task herself.</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The curriculum is delivered through four action-oriented methods:</w:t>
      </w:r>
    </w:p>
    <w:p>
      <w:pPr>
        <w:pStyle w:val="ListParagraph"/>
        <w:numPr>
          <w:ilvl w:val="0"/>
          <w:numId w:val="2"/>
        </w:numPr>
        <w:spacing w:after="60" w:line="264"/>
      </w:pPr>
      <w:r>
        <w:rPr>
          <w:b/>
          <w:bCs/>
        </w:rPr>
        <w:t xml:space="preserve">Trainer-versus-beneficiary role play.</w:t>
      </w:r>
      <w:r>
        <w:t xml:space="preserve"> The trainer acts as a retail agent: "Your payment has arrived; pay me one thousand rupees as my fee." The trainer then pauses and the cohort decides whether, and how much, the beneficiary should pay.</w:t>
      </w:r>
    </w:p>
    <w:p>
      <w:pPr>
        <w:pStyle w:val="ListParagraph"/>
        <w:numPr>
          <w:ilvl w:val="0"/>
          <w:numId w:val="2"/>
        </w:numPr>
        <w:spacing w:after="60" w:line="264"/>
      </w:pPr>
      <w:r>
        <w:rPr>
          <w:b/>
          <w:bCs/>
        </w:rPr>
        <w:t xml:space="preserve">Group activities.</w:t>
      </w:r>
      <w:r>
        <w:t xml:space="preserve"> In the capability session, the cohort of 30 is divided into five groups that rotate through a role play, a scenario and a life situation drawn from everyday experience.</w:t>
      </w:r>
    </w:p>
    <w:p>
      <w:pPr>
        <w:pStyle w:val="ListParagraph"/>
        <w:numPr>
          <w:ilvl w:val="0"/>
          <w:numId w:val="2"/>
        </w:numPr>
        <w:spacing w:after="60" w:line="264"/>
      </w:pPr>
      <w:r>
        <w:rPr>
          <w:b/>
          <w:bCs/>
        </w:rPr>
        <w:t xml:space="preserve">Worksheets.</w:t>
      </w:r>
      <w:r>
        <w:t xml:space="preserve"> In a group worksheet, beneficiaries solve the payment journey as a puzzle, placing its steps in order from receiving the 8171 message to collecting the full amount. A pictorial right-and-wrong worksheet asks them to mark correct and incorrect actions, such as telling the agent their PIN.</w:t>
      </w:r>
    </w:p>
    <w:p>
      <w:pPr>
        <w:pStyle w:val="ListParagraph"/>
        <w:numPr>
          <w:ilvl w:val="0"/>
          <w:numId w:val="2"/>
        </w:numPr>
        <w:spacing w:after="60" w:line="264"/>
      </w:pPr>
      <w:r>
        <w:rPr>
          <w:b/>
          <w:bCs/>
        </w:rPr>
        <w:t xml:space="preserve">Transaction simulation.</w:t>
      </w:r>
      <w:r>
        <w:t xml:space="preserve"> Under BISP's district model, each district is served by an assigned bank wallet. Each trainer will carry a tablet with a simulator that reproduces the USSD button screens and app interface of that wallet, allowing every group to complete near-real withdrawals, transfers and bill payments without any money moving. Women with their own phones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All content will be localised in five languages: Urdu, Sindhi, Pashto, Brahvi and Marwari. Trainers will be recruited locally so that sessions are conducted in the cohort's own language. Every task can be learnt without reading, through pictures, icons, numerals, audio and demonstration, and content will reflect each district's assigned wallet and local settings. All localised material will be pre-tested with beneficiaries before it is submitted for approval.</w:t>
      </w:r>
    </w:p>
    <w:p>
      <w:pPr>
        <w:pStyle w:val="Heading2"/>
        <w:spacing w:after="120" w:before="240"/>
      </w:pPr>
      <w:r>
        <w:t xml:space="preserve">3.1(e) Blended Content Package</w:t>
      </w:r>
    </w:p>
    <w:p>
      <w:pPr>
        <w:spacing w:after="120" w:before="100" w:line="276"/>
        <w:jc w:val="both"/>
      </w:pPr>
      <w:r>
        <w:rPr>
          <w:b/>
          <w:bCs/>
        </w:rPr>
        <w:t xml:space="preserve">Physical content.</w:t>
      </w:r>
      <w:r>
        <w:t xml:space="preserve"> Trainers will work from facilitator and trainer guides for each session. Beneficiaries will receive a 20-page pictorial handbook, condensed from the 72-page pictorial handbook printed by SDPI for DFLT Phase II, along with job aids and printed flyers on fraud warning signs and complaint channels. Sessions will use demonstration toolkits and the simulation tablets.</w:t>
      </w:r>
    </w:p>
    <w:p>
      <w:pPr>
        <w:spacing w:after="120" w:before="100" w:line="276"/>
        <w:jc w:val="both"/>
      </w:pPr>
      <w:r>
        <w:rPr>
          <w:b/>
          <w:bCs/>
        </w:rPr>
        <w:t xml:space="preserve">Digital content.</w:t>
      </w:r>
      <w:r>
        <w:t xml:space="preserve"> Digital reinforcement is matched to the device each woman uses. Women with a smartphone, whether owned or accessed, are first checked for a valid WhatsApp number, and the trainer helps open an account where needed. They receive three short videos and four messages through WhatsApp in each four-week window, and no IVR calls, since WhatsApp is the lower-cost channel. Women with a USSD phone receive four IVR calls and three SMS in each window, and no videos. Robocall reminders and human follow-up calls reach all beneficiaries. The videos build on the 12 animated DFLT videos developed by SDPI in collaboration with BISP for DFLT Phase I, and e-guide versions of the handbook will be shared through WhatsApp.</w:t>
      </w:r>
      <w:r>
        <w:rPr>
          <w:rStyle w:val="FootnoteReference"/>
        </w:rPr>
        <w:footnoteReference w:id="3"/>
      </w:r>
    </w:p>
    <w:p>
      <w:pPr>
        <w:spacing w:after="120" w:before="100" w:line="276"/>
        <w:jc w:val="both"/>
      </w:pPr>
      <w:r>
        <w:t xml:space="preserve">Each IVR call is a short audio drama in the beneficiary's language that teaches one rule and tests it with a keypad question. For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press 1 to share it, or press 2 to refuse."</w:t>
      </w:r>
    </w:p>
    <w:p>
      <w:pPr>
        <w:spacing w:after="120" w:before="100" w:line="276"/>
        <w:jc w:val="both"/>
      </w:pPr>
      <w:r>
        <w:t xml:space="preserve">All physical and digital content will be approved by Karandaaz and BISP before deployment.</w:t>
      </w:r>
    </w:p>
    <w:p>
      <w:pPr>
        <w:pStyle w:val="Heading2"/>
        <w:spacing w:after="120" w:before="240"/>
      </w:pPr>
      <w:r>
        <w:t xml:space="preserve">3.1(f) Gender-Intentional Content</w:t>
      </w:r>
    </w:p>
    <w:p>
      <w:pPr>
        <w:spacing w:after="120" w:before="100" w:line="276"/>
        <w:jc w:val="both"/>
      </w:pPr>
      <w:r>
        <w:t xml:space="preserve">Gender is built into all content rather than added as a separate module. In DFLT Phase II, all pictorial content was led by women characters, and the handbook's protagonists, Naila and Shumaila and Akbari and Asghari, became widely popular among BISP beneficiaries, who saw themselves in their story of learning and taking decisions. These characters will carry the content across the handbook, videos, IVR dramas and flyers, addressing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building, each trainer will engage one female peer educator, who may belong to the trainer's household or the local community, or be the literate daughter of a beneficiary. The peer educator will support mobilisation, help women set up WhatsApp and practise their balance check, share digital content with women who do not have a phone, and follow up with those who miss a session. In addition, each trainer will hold a monthly community session at a payment checkpoint,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of the DFLT National Pilot, DFLT Phase I and DFLT Phase II are attached in Annex A.</w:t>
      </w:r>
    </w:p>
  </w:footnote>
  <w:footnote w:id="2">
    <w:p>
      <w:r>
        <w:rPr>
          <w:rStyle w:val="FootnoteReference"/>
        </w:rPr>
        <w:footnoteRef/>
      </w:r>
      <w:r>
        <w:rPr>
          <w:sz w:val="16"/>
          <w:szCs w:val="16"/>
        </w:rPr>
        <w:t xml:space="preserve">Each tehsil is matched to its Pakistan Bureau of Statistics Census 2023 urban population share. In line with the 50:50 urban–rural design of DFLT Phase II, the tehsils are divided into two equal halves: the 73 tehsils with an urban share of 22.8% or more are shown as urban and the remaining 74 as rural.</w:t>
      </w:r>
    </w:p>
  </w:footnote>
  <w:footnote w:id="3">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ab7e5e0e9014fcc6e8eff8df7920822b0700304.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2026-10-18T19:31:24.948Z</dcterms:created>
  <dcterms:modified xsi:type="dcterms:W3CDTF">2026-10-18T19:31:24.948Z</dcterms:modified>
</cp:coreProperties>
</file>

<file path=docProps/custom.xml><?xml version="1.0" encoding="utf-8"?>
<Properties xmlns="http://schemas.openxmlformats.org/officeDocument/2006/custom-properties" xmlns:vt="http://schemas.openxmlformats.org/officeDocument/2006/docPropsVTypes"/>
</file>