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Link do WBS: https://miro.com/app/board/uXjVGw_hs0I=/?share_link_id=329669700203</w:t>
      </w:r>
    </w:p>
    <w:p w:rsidR="00000000" w:rsidDel="00000000" w:rsidP="00000000" w:rsidRDefault="00000000" w:rsidRPr="00000000" w14:paraId="00000006">
      <w:pPr>
        <w:spacing w:after="60" w:before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Wypełnij poniższą tabelę krok po kroku —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nie patrz na WBS podczas podawania estymacji top-down.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705"/>
        <w:gridCol w:w="1905"/>
        <w:gridCol w:w="2700"/>
        <w:gridCol w:w="1680"/>
        <w:gridCol w:w="1800"/>
        <w:tblGridChange w:id="0">
          <w:tblGrid>
            <w:gridCol w:w="705"/>
            <w:gridCol w:w="1905"/>
            <w:gridCol w:w="2700"/>
            <w:gridCol w:w="168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 robisz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Twoja estymacja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56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Różnica vs bottom-up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Top-down — intuicja (Ty)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Bez patrzenia na WBS — ile godzin zająłby cały projekt RetailPro?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600h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18"/>
                <w:szCs w:val="18"/>
                <w:rtl w:val="0"/>
              </w:rPr>
              <w:t xml:space="preserve">— (baza)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.26" w:hRule="atLeast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Top-down — średnia grupy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Porównaj ze Slido (pyt. 2 z sek. 3) — wpisz śrenią z odpowiedzi grupy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600h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212,5%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Bottom-up — suma WBS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Zsumuj wszystkie pakiety z kolumny „Estymacja (h)” w Twojej tabeli WBS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192h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18"/>
                <w:szCs w:val="18"/>
                <w:rtl w:val="0"/>
              </w:rPr>
              <w:t xml:space="preserve">— (referencja)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6567e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Oblicz różnicę (krok 1 vs krok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((top-down − bottom-up) / bottom-up) ×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212,5%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12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Wniosek (zapisz w 1–2 zdaniach):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Moja różnica wyniosła 212,5 %. Wynika to z:  moja różnica wyniosła 212,5 %. Wynika to z tego, że estymacja top-down była wykonana intuicyjnie bez rozbicia projektu na szczegółowe zadania, natomiast metoda bottom-up uwzględnia konkretne pakiety pracy z WBS.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40" w:lineRule="auto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Gdybym robił/a ten projekt w rzeczywistości, użył/abym metody: obu, bo top-down pozwala szybko oszacować skalę projektu na początku, a bottom-up daje dokładniejszą estymację po rozbiciu projektu na mniejsze zadania.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