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Use Case – Zapis danych do pliku XML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Nazwa use case'u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Zapisanie bieżących danych o wypożyczeniach do lokalnego pliku XML.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Wstęp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case opisuje proces zapisu aktualnej kolekcji wypożyczeń do pliku XML przez użytkownika końcowego.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Cel use case'u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Umożliwienie zapisania danych wypożyczeń w celu ich późniejszego odczytu lub archiwizacji.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Lista aktorów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4.1 Aktor inicjujący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Pracownik wypożyczalni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4.2 Uczestnicy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System MovieRental (aplikacja WPF)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5. Przebieg use case'u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Pracownik uruchamia aplikację MovieRental.</w:t>
        <w:br w:type="textWrapping"/>
        <w:t xml:space="preserve">2. Pracownik klika przycisk „Save Data”.</w:t>
        <w:br w:type="textWrapping"/>
        <w:t xml:space="preserve">3. System otwiera okno dialogowe zapisu pliku (filtr: *.xml).</w:t>
        <w:br w:type="textWrapping"/>
        <w:t xml:space="preserve">4. Pracownik wybiera lokalizację i nazwę pliku do zapisu.</w:t>
        <w:br w:type="textWrapping"/>
        <w:t xml:space="preserve">5. System serializuje bieżącą kolekcję RentalsCollection do formatu XML.</w:t>
        <w:br w:type="textWrapping"/>
        <w:t xml:space="preserve">6. System zapisuje dane do wskazanego pliku.</w:t>
        <w:br w:type="textWrapping"/>
        <w:t xml:space="preserve">7. System kończy operację zapisu.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6. Wyjątki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Użytkownik anuluje okno zapisu – system przerywa operację bez komunikatu.</w:t>
        <w:br w:type="textWrapping"/>
        <w:t xml:space="preserve">- Błąd zapisu pliku – system może zgłosić wyjątek (np. brak uprawnień, zajęty plik).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7. Przebiegi alternatywne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4a. Użytkownik podaje nazwę istniejącego pliku – system nadpisuje istniejący plik (bez ostrzeżenia).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8. Zagadnienia implementacyjne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Serializacja musi odwzorować strukturę klasy ObservableCollection&lt;Rental&gt;.</w:t>
        <w:br w:type="textWrapping"/>
        <w:t xml:space="preserve">- Możliwość dodania komunikatu potwierdzającego poprawny zapis danych.</w:t>
        <w:br w:type="textWrapping"/>
        <w:t xml:space="preserve">- Obsługa błędów zapisu do pliku (np. IOException).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9. Warunki rozpoczęcia use case'u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Aplikacja MovieRental jest uruchomiona.</w:t>
        <w:br w:type="textWrapping"/>
        <w:t xml:space="preserve">- Kolekcja RentalsCollection zawiera dane do zapisania.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10. Stan końcowy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Dane o wypożyczeniach zostały zapisane w pliku XML.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11. Nierozwiązane problemy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Czy system powinien ostrzegać przed nadpisaniem istniejącego pliku?</w:t>
        <w:br w:type="textWrapping"/>
        <w:t xml:space="preserve">- Czy dane powinny być walidowane przed zapisem?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YD52dBIpR1dhVlVWyCSQ0ZpTlQ==">CgMxLjA4AHIhMTRKbTNfRWNZc3RWSmxzTFRfRmpjbFFlVS1hUEk4Z3Nq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