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przeskoki: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jeden to 1 września 16:38 =&gt; 2 września 8:00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drugi to 7 kwietnia 9:00 =&gt; 8 kwietnia 9:31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więc nie używać na razie rekordów w polach: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sierpien_wrzesien_31_6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marzec_kwiecien_24_20</w:t>
      </w:r>
    </w:p>
    <w:p w:rsidR="00000000" w:rsidDel="00000000" w:rsidP="00000000" w:rsidRDefault="00000000" w:rsidRPr="00000000" w14:paraId="00000007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należy je podzielić na 4 rekordy!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center"/>
        <w:rPr>
          <w:rFonts w:ascii="Nunito" w:cs="Nunito" w:eastAsia="Nunito" w:hAnsi="Nunito"/>
          <w:b w:val="1"/>
          <w:color w:val="6aa84f"/>
          <w:sz w:val="36"/>
          <w:szCs w:val="36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6aa84f"/>
          <w:sz w:val="36"/>
          <w:szCs w:val="36"/>
          <w:u w:val="single"/>
          <w:rtl w:val="0"/>
        </w:rPr>
        <w:t xml:space="preserve">POPRAWKA została wykonana, więc każde pole struktury nadaje się do przetwarzania. Jest ich o 2 więcej, zostało dodane pole periods (okresy próbkowania), są nierównomierne tak czy siak.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center"/>
        <w:rPr>
          <w:rFonts w:ascii="Nunito" w:cs="Nunito" w:eastAsia="Nunito" w:hAnsi="Nunito"/>
          <w:b w:val="1"/>
          <w:color w:val="6aa84f"/>
          <w:sz w:val="36"/>
          <w:szCs w:val="36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6aa84f"/>
          <w:sz w:val="36"/>
          <w:szCs w:val="36"/>
          <w:u w:val="single"/>
          <w:rtl w:val="0"/>
        </w:rPr>
        <w:t xml:space="preserve">Dane zostały uzupełnione o interpolację sygnału z okresem 5 minut.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pola “val” “datetime” oraz “seconds” są analogiczne do plików .mat babci.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Lista rekordów Richarda: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733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Czyli 1 to 3.12 =&gt; 17.12 2018 r., pozostałe to już 2019 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Ostatni to 21.10 =&gt; 04.11.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analogicznie zostały nazwane pola struktury: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 miesiąc, ewentualnie 2 miesiąc, dzień pierwszy, dzień ostatni)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3533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