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DejaVu Sans Light" w:hAnsi="DejaVu Sans Light" w:cs="DejaVu Sans Light" w:eastAsia="DejaVu Sans Light"/>
          <w:b w:val="false"/>
          <w:sz w:val="48"/>
        </w:rPr>
      </w:pPr>
      <w:r>
        <w:rPr>
          <w:rFonts w:ascii="DejaVu Sans Light" w:hAnsi="DejaVu Sans Light" w:cs="DejaVu Sans Light" w:eastAsia="DejaVu Sans Light"/>
          <w:b w:val="false"/>
          <w:sz w:val="48"/>
        </w:rPr>
      </w:r>
      <w:r>
        <w:rPr>
          <w:rFonts w:ascii="DejaVu Sans Light" w:hAnsi="DejaVu Sans Light" w:cs="DejaVu Sans Light" w:eastAsia="DejaVu Sans Light"/>
          <w:b w:val="false"/>
          <w:sz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42663" cy="244266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2669" cy="244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2.3pt;height:192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6"/>
        </w:rPr>
      </w:pPr>
      <w:r>
        <w:rPr>
          <w:rFonts w:ascii="DejaVu Sans Light" w:hAnsi="DejaVu Sans Light" w:cs="DejaVu Sans Light" w:eastAsia="DejaVu Sans Light"/>
          <w:b w:val="false"/>
          <w:sz w:val="36"/>
        </w:rPr>
        <w:t xml:space="preserve">Katedra Biosensorów i Przetwarzania Sygnałów Biomedycznych</w:t>
      </w:r>
      <w:r>
        <w:rPr>
          <w:rFonts w:ascii="DejaVu Sans Light" w:hAnsi="DejaVu Sans Light" w:cs="DejaVu Sans Light" w:eastAsia="DejaVu Sans Light"/>
          <w:b w:val="false"/>
          <w:sz w:val="36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16"/>
        </w:rPr>
      </w:pPr>
      <w:r>
        <w:rPr>
          <w:rFonts w:ascii="DejaVu Sans Light" w:hAnsi="DejaVu Sans Light" w:cs="DejaVu Sans Light" w:eastAsia="DejaVu Sans Light"/>
          <w:b w:val="false"/>
          <w:sz w:val="16"/>
        </w:rPr>
      </w:r>
      <w:r>
        <w:rPr>
          <w:rFonts w:ascii="DejaVu Sans Light" w:hAnsi="DejaVu Sans Light" w:cs="DejaVu Sans Light" w:eastAsia="DejaVu Sans Light"/>
          <w:b w:val="false"/>
          <w:sz w:val="16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  <w:t xml:space="preserve">Programowanie Python</w:t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sz w:val="32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  <w:u w:val="none"/>
        </w:rPr>
      </w:pPr>
      <w:r>
        <w:rPr>
          <w:rFonts w:ascii="DejaVu Sans Light" w:hAnsi="DejaVu Sans Light" w:cs="DejaVu Sans Light" w:eastAsia="DejaVu Sans Light"/>
          <w:b w:val="false"/>
          <w:sz w:val="32"/>
          <w:u w:val="none"/>
        </w:rPr>
      </w:r>
      <w:r>
        <w:rPr>
          <w:rFonts w:ascii="DejaVu Sans Light" w:hAnsi="DejaVu Sans Light" w:cs="DejaVu Sans Light" w:eastAsia="DejaVu Sans Light"/>
          <w:b w:val="false"/>
          <w:sz w:val="32"/>
          <w:u w:val="none"/>
        </w:rPr>
        <w:t xml:space="preserve">Projekt</w:t>
      </w:r>
      <w:r>
        <w:rPr>
          <w:b w:val="false"/>
          <w:sz w:val="32"/>
          <w:u w:val="none"/>
        </w:rPr>
      </w:r>
      <w:r/>
    </w:p>
    <w:p>
      <w:pPr>
        <w:jc w:val="center"/>
      </w:pPr>
      <w:r>
        <w:rPr>
          <w:rFonts w:ascii="DejaVu Sans Light" w:hAnsi="DejaVu Sans Light" w:cs="DejaVu Sans Light" w:eastAsia="DejaVu Sans Light"/>
          <w:sz w:val="32"/>
        </w:rPr>
        <w:t xml:space="preserve">Narzędzie CLI do konwersji częstotliwości próbkowania</w:t>
      </w:r>
      <w:r/>
    </w:p>
    <w:p>
      <w:pPr>
        <w:jc w:val="center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  <w:t xml:space="preserve">Suchanek Kamil</w:t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sz w:val="32"/>
        </w:rPr>
        <w:t xml:space="preserve">PiAIB semestr 2</w:t>
      </w:r>
      <w:r>
        <w:rPr>
          <w:rFonts w:ascii="DejaVu Sans Light" w:hAnsi="DejaVu Sans Light" w:cs="DejaVu Sans Light" w:eastAsia="DejaVu Sans Light"/>
          <w:b w:val="false"/>
          <w:i w:val="false"/>
          <w:sz w:val="40"/>
        </w:rPr>
        <w:br w:type="page"/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rFonts w:ascii="DejaVu Sans Light" w:hAnsi="DejaVu Sans Light" w:cs="DejaVu Sans Light" w:eastAsia="DejaVu Sans Light"/>
          <w:sz w:val="40"/>
        </w:rPr>
        <w:t xml:space="preserve">Spis treści</w:t>
      </w:r>
      <w:r>
        <w:rPr>
          <w:rFonts w:ascii="DejaVu Sans Light" w:hAnsi="DejaVu Sans Light" w:cs="DejaVu Sans Light" w:eastAsia="DejaVu Sans Light"/>
        </w:rPr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765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sz w:val="28"/>
            </w:rPr>
            <w:fldChar w:fldCharType="begin"/>
            <w:instrText xml:space="preserve">TOC \o "1-9" </w:instrText>
            <w:fldChar w:fldCharType="separate"/>
          </w:r>
          <w:r>
            <w:rPr>
              <w:rFonts w:ascii="DejaVu Sans Light" w:hAnsi="DejaVu Sans Light" w:cs="DejaVu Sans Light" w:eastAsia="DejaVu Sans Light"/>
            </w:rPr>
            <w:t xml:space="preserve">1.</w:t>
          </w:r>
          <w:r>
            <w:tab/>
          </w:r>
          <w:r>
            <w:rPr>
              <w:rFonts w:ascii="DejaVu Sans Light" w:hAnsi="DejaVu Sans Light" w:cs="DejaVu Sans Light" w:eastAsia="DejaVu Sans Light"/>
              <w:b w:val="false"/>
              <w:i w:val="false"/>
            </w:rPr>
            <w:t xml:space="preserve">Cel i założenia</w:t>
          </w:r>
          <w:r>
            <w:tab/>
          </w:r>
          <w:r>
            <w:fldChar w:fldCharType="begin"/>
            <w:instrText xml:space="preserve">PAGEREF _Toc5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5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</w:t>
          </w:r>
          <w:r>
            <w:tab/>
          </w:r>
          <w:r>
            <w:t xml:space="preserve">Wstęp teoretyczny</w:t>
          </w:r>
          <w:r>
            <w:tab/>
          </w:r>
          <w:r>
            <w:fldChar w:fldCharType="begin"/>
            <w:instrText xml:space="preserve">PAGEREF _Toc6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6"/>
            <w:tabs>
              <w:tab w:val="left" w:pos="941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2.1.</w:t>
          </w:r>
          <w:r>
            <w:tab/>
          </w:r>
          <w:r>
            <w:rPr>
              <w:rFonts w:ascii="DejaVu Sans Light" w:hAnsi="DejaVu Sans Light" w:cs="DejaVu Sans Light" w:eastAsia="DejaVu Sans Light"/>
            </w:rPr>
            <w:t xml:space="preserve">Interpolacja</w:t>
          </w:r>
          <w:r>
            <w:tab/>
          </w:r>
          <w:r>
            <w:fldChar w:fldCharType="begin"/>
            <w:instrText xml:space="preserve">PAGEREF _Toc7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6"/>
            <w:tabs>
              <w:tab w:val="left" w:pos="941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2.2.</w:t>
          </w:r>
          <w:r>
            <w:tab/>
          </w:r>
          <w:r>
            <w:rPr>
              <w:rFonts w:ascii="DejaVu Sans Light" w:hAnsi="DejaVu Sans Light" w:cs="DejaVu Sans Light" w:eastAsia="DejaVu Sans Light"/>
            </w:rPr>
            <w:t xml:space="preserve">Ekspansja sygnału</w:t>
          </w:r>
          <w:r>
            <w:tab/>
          </w:r>
          <w:r>
            <w:fldChar w:fldCharType="begin"/>
            <w:instrText xml:space="preserve">PAGEREF _Toc8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5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3.</w:t>
          </w:r>
          <w:r>
            <w:tab/>
          </w:r>
          <w:r>
            <w:t xml:space="preserve">Realizacja projektu</w:t>
          </w:r>
          <w:r>
            <w:tab/>
          </w:r>
          <w:r>
            <w:fldChar w:fldCharType="begin"/>
            <w:instrText xml:space="preserve">PAGEREF _Toc9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5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4.</w:t>
          </w:r>
          <w:r>
            <w:tab/>
          </w:r>
          <w:r>
            <w:t xml:space="preserve">Specyfikacja wewnętrzna</w:t>
          </w:r>
          <w:r>
            <w:tab/>
          </w:r>
          <w:r>
            <w:fldChar w:fldCharType="begin"/>
            <w:instrText xml:space="preserve">PAGEREF _Toc10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6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4.1.</w:t>
          </w:r>
          <w:r>
            <w:tab/>
          </w:r>
          <w:r>
            <w:t xml:space="preserve">Wskazówki dla użytkownika</w:t>
          </w:r>
          <w:r>
            <w:tab/>
          </w:r>
          <w:r>
            <w:fldChar w:fldCharType="begin"/>
            <w:instrText xml:space="preserve">PAGEREF _Toc11 \h</w:instrText>
            <w:fldChar w:fldCharType="separate"/>
            <w:t xml:space="preserve">4</w:t>
            <w:fldChar w:fldCharType="end"/>
          </w:r>
          <w:r/>
        </w:p>
        <w:p>
          <w:pPr>
            <w:pStyle w:val="766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4.2.</w:t>
          </w:r>
          <w:r>
            <w:tab/>
          </w:r>
          <w:r>
            <w:t xml:space="preserve">Załadowanie potrzebnych modułów</w:t>
          </w:r>
          <w:r>
            <w:tab/>
          </w:r>
          <w:r>
            <w:fldChar w:fldCharType="begin"/>
            <w:instrText xml:space="preserve">PAGEREF _Toc12 \h</w:instrText>
            <w:fldChar w:fldCharType="separate"/>
            <w:t xml:space="preserve">5</w:t>
            <w:fldChar w:fldCharType="end"/>
          </w:r>
          <w:r/>
        </w:p>
        <w:p>
          <w:pPr>
            <w:pStyle w:val="766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4.3.</w:t>
          </w:r>
          <w:r>
            <w:tab/>
          </w:r>
          <w:r>
            <w:t xml:space="preserve">Funkcja resampleit(path, target_frequency)</w:t>
          </w:r>
          <w:r>
            <w:tab/>
          </w:r>
          <w:r>
            <w:fldChar w:fldCharType="begin"/>
            <w:instrText xml:space="preserve">PAGEREF _Toc13 \h</w:instrText>
            <w:fldChar w:fldCharType="separate"/>
            <w:t xml:space="preserve">6</w:t>
            <w:fldChar w:fldCharType="end"/>
          </w:r>
          <w:r/>
        </w:p>
        <w:p>
          <w:pPr>
            <w:pStyle w:val="765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5.</w:t>
          </w:r>
          <w:r>
            <w:tab/>
          </w:r>
          <w:r>
            <w:t xml:space="preserve">Specyfikacja zewnętrzna</w:t>
          </w:r>
          <w:r>
            <w:tab/>
          </w:r>
          <w:r>
            <w:fldChar w:fldCharType="begin"/>
            <w:instrText xml:space="preserve">PAGEREF _Toc14 \h</w:instrText>
            <w:fldChar w:fldCharType="separate"/>
            <w:t xml:space="preserve">7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pStyle w:val="765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6.</w:t>
          </w:r>
          <w:r>
            <w:tab/>
          </w:r>
          <w:bookmarkStart w:id="4" w:name="_Toc4"/>
          <w:r>
            <w:t xml:space="preserve">Podsumowanie</w:t>
          </w:r>
          <w:r>
            <w:tab/>
          </w:r>
          <w:r>
            <w:fldChar w:fldCharType="begin"/>
            <w:instrText xml:space="preserve">PAGEREF _Toc15 \h</w:instrText>
            <w:fldChar w:fldCharType="separate"/>
            <w:t xml:space="preserve">8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  <w:r/>
        </w:p>
        <w:p>
          <w:pPr>
            <w:spacing w:lineRule="auto" w:line="360"/>
            <w:rPr>
              <w:sz w:val="28"/>
            </w:rPr>
          </w:pPr>
          <w:r>
            <w:rPr>
              <w:sz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shd w:val="nil" w:color="auto" w:fill="FFFFFF"/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  <w:br w:type="page"/>
      </w:r>
      <w:r/>
    </w:p>
    <w:p>
      <w:pPr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pStyle w:val="776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5" w:name="_Toc5"/>
      <w:r>
        <w:rPr>
          <w:rFonts w:ascii="DejaVu Sans Light" w:hAnsi="DejaVu Sans Light" w:cs="DejaVu Sans Light" w:eastAsia="DejaVu Sans Light"/>
          <w:b w:val="false"/>
          <w:i w:val="false"/>
          <w:sz w:val="32"/>
        </w:rPr>
        <w:t xml:space="preserve">Cel i założenia</w:t>
      </w:r>
      <w:bookmarkEnd w:id="5"/>
      <w:r/>
      <w:r/>
    </w:p>
    <w:p>
      <w:pPr>
        <w:ind w:left="0" w:firstLine="0"/>
        <w:shd w:val="nil" w:color="auto" w:fill="000000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ind w:firstLine="0"/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  <w:t xml:space="preserve">Celem projektu jest stworzenie narzędzia linii poleceń, służącego do konwersji częstotliwości próbkowania jednowymiarowych sygnałów bioelektrycznych. </w:t>
      </w:r>
      <w:r>
        <w:rPr>
          <w:rFonts w:ascii="DejaVu Sans Light" w:hAnsi="DejaVu Sans Light" w:cs="DejaVu Sans Light" w:eastAsia="DejaVu Sans Light"/>
        </w:rPr>
      </w:r>
      <w:r/>
    </w:p>
    <w:p>
      <w:pPr>
        <w:ind w:left="0" w:firstLine="708"/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  <w:t xml:space="preserve">Narzędzie umożliwi konwersję częstotliwości próbkowania z</w:t>
      </w:r>
      <w:r>
        <w:rPr>
          <w:rFonts w:ascii="DejaVu Sans Light" w:hAnsi="DejaVu Sans Light" w:cs="DejaVu Sans Light" w:eastAsia="DejaVu Sans Light"/>
        </w:rPr>
      </w:r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rPr>
          <w:rFonts w:ascii="DejaVu Sans Light" w:hAnsi="DejaVu Sans Light" w:cs="DejaVu Sans Light" w:eastAsia="DejaVu Sans Light"/>
        </w:rPr>
        <w:t xml:space="preserve">dowolnym czynnikiem poprzez </w:t>
      </w:r>
      <w:r>
        <w:rPr>
          <w:rFonts w:ascii="DejaVu Sans Light" w:hAnsi="DejaVu Sans Light" w:cs="DejaVu Sans Light" w:eastAsia="DejaVu Sans Light"/>
        </w:rPr>
        <w:t xml:space="preserve">wprowadzenie odpowiednich flag-argumentów oraz wskazania ścieżki do pliku z sygnałem.</w:t>
      </w:r>
      <w:r>
        <w:rPr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76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  <w:sz w:val="32"/>
        </w:rPr>
      </w:pPr>
      <w:r/>
      <w:bookmarkStart w:id="6" w:name="_Toc6"/>
      <w:r>
        <w:t xml:space="preserve">Wstęp teoretyczny</w:t>
      </w:r>
      <w:bookmarkEnd w:id="6"/>
      <w:r/>
      <w:r/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jc w:val="both"/>
        <w:rPr>
          <w:rFonts w:ascii="DejaVu Sans Light" w:hAnsi="DejaVu Sans Light" w:cs="DejaVu Sans Light" w:eastAsia="DejaVu Sans Light"/>
          <w:sz w:val="24"/>
        </w:rPr>
      </w:pPr>
      <w:r>
        <w:rPr>
          <w:rFonts w:ascii="DejaVu Sans Light" w:hAnsi="DejaVu Sans Light" w:cs="DejaVu Sans Light" w:eastAsia="DejaVu Sans Light"/>
          <w:sz w:val="24"/>
        </w:rPr>
        <w:t xml:space="preserve">Konwersja częstotliwości próbkowania sygnału realizowana jest poprzez ekspansję i</w:t>
      </w:r>
      <w:r>
        <w:rPr>
          <w:rFonts w:ascii="DejaVu Sans Light" w:hAnsi="DejaVu Sans Light" w:cs="DejaVu Sans Light" w:eastAsia="DejaVu Sans Light"/>
          <w:sz w:val="24"/>
        </w:rPr>
        <w:t xml:space="preserve"> podpróbkowanie sygnału. </w:t>
      </w:r>
      <w:r>
        <w:rPr>
          <w:sz w:val="28"/>
        </w:rPr>
      </w:r>
      <w:r/>
    </w:p>
    <w:p>
      <w:pPr>
        <w:jc w:val="both"/>
        <w:rPr>
          <w:rFonts w:ascii="DejaVu Sans Light" w:hAnsi="DejaVu Sans Light" w:cs="DejaVu Sans Light" w:eastAsia="DejaVu Sans Light"/>
          <w:sz w:val="24"/>
        </w:rPr>
      </w:pPr>
      <w:r>
        <w:rPr>
          <w:rFonts w:ascii="DejaVu Sans Light" w:hAnsi="DejaVu Sans Light" w:cs="DejaVu Sans Light" w:eastAsia="DejaVu Sans Light"/>
          <w:sz w:val="24"/>
        </w:rPr>
      </w:r>
      <w:r>
        <w:rPr>
          <w:rFonts w:ascii="DejaVu Sans Light" w:hAnsi="DejaVu Sans Light" w:cs="DejaVu Sans Light" w:eastAsia="DejaVu Sans Light"/>
          <w:sz w:val="24"/>
        </w:rPr>
      </w:r>
      <w:r/>
    </w:p>
    <w:p>
      <w:pPr>
        <w:pStyle w:val="777"/>
        <w:rPr>
          <w:rFonts w:ascii="DejaVu Sans Light" w:hAnsi="DejaVu Sans Light" w:cs="DejaVu Sans Light" w:eastAsia="DejaVu Sans Light"/>
          <w:sz w:val="28"/>
        </w:rPr>
      </w:pPr>
      <w:r/>
      <w:bookmarkStart w:id="7" w:name="_Toc7"/>
      <w:r>
        <w:rPr>
          <w:rFonts w:ascii="DejaVu Sans Light" w:hAnsi="DejaVu Sans Light" w:cs="DejaVu Sans Light" w:eastAsia="DejaVu Sans Light"/>
          <w:sz w:val="28"/>
        </w:rPr>
        <w:t xml:space="preserve">Interpolacja</w:t>
      </w:r>
      <w:r>
        <w:rPr>
          <w:rFonts w:ascii="DejaVu Sans Light" w:hAnsi="DejaVu Sans Light" w:cs="DejaVu Sans Light" w:eastAsia="DejaVu Sans Light"/>
          <w:sz w:val="28"/>
        </w:rPr>
      </w:r>
      <w:bookmarkEnd w:id="7"/>
      <w:r/>
      <w:r/>
    </w:p>
    <w:p>
      <w:pPr>
        <w:ind w:left="0" w:right="0" w:firstLine="0"/>
        <w:spacing w:lineRule="auto" w:line="276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Wartości sygnału cyfrowego znane są w dyskretnych punktach czasu. W</w:t>
      </w:r>
      <w:r/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t xml:space="preserve">przypadku równomiernie próbkowanych sygnałów, odstęp między próbkami jest stały i równy </w:t>
      </w:r>
      <w:r>
        <w:t xml:space="preserve">okresowi </w:t>
      </w:r>
      <w:r>
        <w:t xml:space="preserve">próbkowania </w:t>
      </w:r>
      <m:oMath>
        <m:r>
          <w:rPr>
            <w:rFonts w:ascii="Cambria Math" w:hAnsi="Cambria Math" w:cs="Cambria Math" w:eastAsia="Cambria Math"/>
          </w:rPr>
          <m:rPr>
            <m:sty m:val="i"/>
          </m:rPr>
          <m:t>T=</m:t>
        </m:r>
        <m:f>
          <m:fPr>
            <m:ctrlPr>
              <w:rPr>
                <w:rFonts w:ascii="Cambria Math" w:hAnsi="Cambria Math" w:cs="Cambria Math" w:eastAsia="Cambria Math" w:hint="default"/>
                <w:i/>
              </w:rPr>
            </m:ctrlPr>
          </m:fPr>
          <m:num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fs</m:t>
            </m:r>
          </m:den>
        </m:f>
      </m:oMath>
      <w:r>
        <w:t xml:space="preserve">, gdzie </w:t>
      </w:r>
      <m:oMath>
        <m:r>
          <w:rPr>
            <w:rFonts w:ascii="Cambria Math" w:hAnsi="Cambria Math" w:cs="Cambria Math" w:eastAsia="Cambria Math"/>
          </w:rPr>
          <m:rPr/>
          <m:t>fs</m:t>
        </m:r>
      </m:oMath>
      <w:r>
        <w:t xml:space="preserve"> oznacza </w:t>
      </w:r>
      <w:r/>
      <w:r>
        <w:t xml:space="preserve">częstotliw</w:t>
      </w:r>
      <w:r>
        <w:t xml:space="preserve">ość próbkowania, czyli liczbę próbek przypadających na jedną sekundę sygnału. Zdarza się, że zachodzi potrzeba uzyskania innej częstotliwości próbkowania niż pierwotna , albo potrzebna jest wartość w</w:t>
      </w:r>
      <w:r/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t xml:space="preserve">chwili nie zdeterminowanej dyskretną próbką sygnału [1].</w:t>
      </w:r>
      <w:r/>
    </w:p>
    <w:p>
      <w:pPr>
        <w:spacing w:lineRule="auto" w:line="276"/>
      </w:pPr>
      <w:r>
        <w:tab/>
        <w:t xml:space="preserve">Interpolacja sygnału cyfrowego polega na obliczeniu wartości sygnału w</w:t>
      </w:r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t xml:space="preserve">dowolnym punkcie między próbk</w:t>
      </w:r>
      <w:r>
        <w:t xml:space="preserve">ami. Należy zaznaczyć, że interpolacja nie tworzy nowych danych </w:t>
      </w:r>
      <w:r>
        <w:t xml:space="preserve">sygnału</w:t>
      </w:r>
      <w:r>
        <w:t xml:space="preserve">, powstały sygnał nie będzie identyczny z</w:t>
      </w:r>
      <w:r/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t xml:space="preserve">odpowiednikiem rejestrowanym z większą częstotliwością próbkowania. Wartości w dodatkowych punktach są estymowane na podstawie dostępnych [1]. </w:t>
      </w:r>
      <w:r/>
    </w:p>
    <w:p>
      <w:r/>
      <w:r/>
    </w:p>
    <w:p>
      <w:r/>
      <w:r/>
    </w:p>
    <w:p>
      <w:r/>
      <w:r/>
    </w:p>
    <w:p>
      <w:pPr>
        <w:pStyle w:val="777"/>
        <w:rPr>
          <w:rFonts w:ascii="DejaVu Sans Light" w:hAnsi="DejaVu Sans Light" w:cs="DejaVu Sans Light" w:eastAsia="DejaVu Sans Light"/>
        </w:rPr>
      </w:pPr>
      <w:r/>
      <w:bookmarkStart w:id="8" w:name="_Toc8"/>
      <w:r>
        <w:rPr>
          <w:rFonts w:ascii="DejaVu Sans Light" w:hAnsi="DejaVu Sans Light" w:cs="DejaVu Sans Light" w:eastAsia="DejaVu Sans Light"/>
          <w:sz w:val="28"/>
        </w:rPr>
        <w:t xml:space="preserve">Ekspansja sygnału</w:t>
      </w:r>
      <w:bookmarkEnd w:id="8"/>
      <w:r/>
      <w:r/>
    </w:p>
    <w:p>
      <w:r>
        <w:t xml:space="preserve">Ekspansja polega na “poszerzeniu” sygnału o dodatkowe próbki, zwiększając częstotliwość próbkowania. Operacja ta przeprowadzona w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>
        <w:t xml:space="preserve">dziedzinie czasu powoduje zwężenie się widma częstotliwościowego, objawiające się poprzez wystąpienie niskich częstotliwości.</w:t>
      </w:r>
      <w:r/>
    </w:p>
    <w:p>
      <w:pPr>
        <w:ind w:left="0" w:right="0" w:firstLine="0"/>
        <w:jc w:val="left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76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9" w:name="_Toc9"/>
      <w:r>
        <w:t xml:space="preserve">Realizacja projektu</w:t>
      </w:r>
      <w:bookmarkEnd w:id="9"/>
      <w:r/>
      <w:r/>
    </w:p>
    <w:p>
      <w:pPr>
        <w:shd w:val="nil" w:color="auto" w:fill="000000"/>
        <w:rPr>
          <w:sz w:val="32"/>
        </w:rPr>
      </w:pPr>
      <w:r>
        <w:rPr>
          <w:sz w:val="32"/>
        </w:rPr>
      </w:r>
      <w:r/>
    </w:p>
    <w:p>
      <w:pPr>
        <w:shd w:val="nil" w:color="auto" w:fill="000000"/>
        <w:rPr>
          <w:sz w:val="28"/>
        </w:rPr>
      </w:pPr>
      <w:r>
        <w:rPr>
          <w:sz w:val="24"/>
        </w:rPr>
      </w:r>
      <w:r>
        <w:t xml:space="preserve">Zastosowano moduł docopt do sformułowania narzędzia CLI ze skryptu Pythona. W celu przetwarzania sygnałów zastosowano wrapper do narzędzi WFDB służących do tworzenia, odczytywania, przetwarzania i</w:t>
      </w:r>
      <w:r/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t xml:space="preserve">zaopatrywania w adnotacje sygnałów w serwisie PhysioNet. </w:t>
      </w:r>
      <w:r>
        <w:rPr>
          <w:sz w:val="28"/>
        </w:rPr>
      </w:r>
      <w:r/>
    </w:p>
    <w:p>
      <w:pPr>
        <w:ind w:left="0" w:right="0" w:firstLine="0"/>
        <w:jc w:val="left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76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0" w:name="_Toc10"/>
      <w:r>
        <w:t xml:space="preserve">Specyfikacja wewnętrzna</w:t>
      </w:r>
      <w:r>
        <w:rPr>
          <w:rFonts w:ascii="DejaVu Sans Light" w:hAnsi="DejaVu Sans Light" w:cs="DejaVu Sans Light" w:eastAsia="DejaVu Sans Light"/>
        </w:rPr>
      </w:r>
      <w:bookmarkEnd w:id="10"/>
      <w:r/>
      <w:r/>
    </w:p>
    <w:p>
      <w:pPr>
        <w:shd w:val="nil" w:color="auto" w:fill="000000"/>
        <w:rPr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shd w:val="nil" w:color="auto" w:fill="000000"/>
      </w:pPr>
      <w:r>
        <w:t xml:space="preserve">Skrypt narzędzia CLI składa się z czterech części:</w:t>
      </w:r>
      <w:r/>
    </w:p>
    <w:p>
      <w:pPr>
        <w:pStyle w:val="794"/>
        <w:numPr>
          <w:ilvl w:val="0"/>
          <w:numId w:val="108"/>
        </w:numPr>
        <w:shd w:val="nil" w:color="auto" w:fill="000000"/>
      </w:pPr>
      <w:r>
        <w:t xml:space="preserve">Wskazówki dla użytkownika,</w:t>
      </w:r>
      <w:r/>
    </w:p>
    <w:p>
      <w:pPr>
        <w:pStyle w:val="794"/>
        <w:numPr>
          <w:ilvl w:val="0"/>
          <w:numId w:val="108"/>
        </w:numPr>
        <w:shd w:val="nil" w:color="auto" w:fill="000000"/>
      </w:pPr>
      <w:r>
        <w:t xml:space="preserve">Załadowanie potrzebnych modułów,</w:t>
      </w:r>
      <w:r/>
    </w:p>
    <w:p>
      <w:pPr>
        <w:pStyle w:val="794"/>
        <w:numPr>
          <w:ilvl w:val="0"/>
          <w:numId w:val="108"/>
        </w:numPr>
        <w:shd w:val="nil" w:color="auto" w:fill="000000"/>
      </w:pPr>
      <w:r>
        <w:t xml:space="preserve">Funkcja spełniająca zadanie narzędzia,</w:t>
      </w:r>
      <w:r/>
    </w:p>
    <w:p>
      <w:pPr>
        <w:pStyle w:val="794"/>
        <w:numPr>
          <w:ilvl w:val="0"/>
          <w:numId w:val="108"/>
        </w:numPr>
        <w:shd w:val="nil" w:color="auto" w:fill="000000"/>
      </w:pPr>
      <w:r>
        <w:t xml:space="preserve">Fragment  warunkujący uruchomienie narzędzia z argumentami i bez nich.</w:t>
      </w:r>
      <w:r/>
    </w:p>
    <w:p>
      <w:pPr>
        <w:ind w:left="0" w:firstLine="0"/>
        <w:shd w:val="nil" w:color="auto" w:fill="000000"/>
      </w:pPr>
      <w:r/>
      <w:r/>
    </w:p>
    <w:p>
      <w:pPr>
        <w:pStyle w:val="777"/>
        <w:rPr>
          <w:sz w:val="32"/>
        </w:rPr>
      </w:pPr>
      <w:r/>
      <w:bookmarkStart w:id="11" w:name="_Toc11"/>
      <w:r>
        <w:t xml:space="preserve">Wskazówki dla użytkownika</w:t>
      </w:r>
      <w:bookmarkEnd w:id="11"/>
      <w:r/>
      <w:r/>
    </w:p>
    <w:p>
      <w:r/>
      <w:r/>
    </w:p>
    <w:p>
      <w:r>
        <w:t xml:space="preserve">Na samej górze skryptu znajduję się notatka wskazująca na prawidłowe użycie narzędzia.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8815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248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195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97"/>
        <w:jc w:val="center"/>
      </w:pPr>
      <w:r>
        <w:t xml:space="preserve">Rys. 1 - Wskazówka do wykorzystania narzędzia CLI</w:t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777"/>
      </w:pPr>
      <w:r/>
      <w:bookmarkStart w:id="12" w:name="_Toc12"/>
      <w:r>
        <w:t xml:space="preserve">Załadowanie potrzebnych modułów</w:t>
      </w:r>
      <w:bookmarkEnd w:id="12"/>
      <w:r/>
      <w:r/>
    </w:p>
    <w:p>
      <w:r/>
      <w:r/>
    </w:p>
    <w:p>
      <w:r>
        <w:t xml:space="preserve">Narzędzie wykorzystuje następujące moduły:</w:t>
      </w:r>
      <w:r/>
    </w:p>
    <w:p>
      <w:pPr>
        <w:pStyle w:val="794"/>
        <w:numPr>
          <w:ilvl w:val="0"/>
          <w:numId w:val="110"/>
        </w:numPr>
      </w:pPr>
      <w:r>
        <w:t xml:space="preserve">docopt - narzędzie do formułowania narzędzi CLI,</w:t>
      </w:r>
      <w:r/>
    </w:p>
    <w:p>
      <w:pPr>
        <w:pStyle w:val="794"/>
        <w:numPr>
          <w:ilvl w:val="0"/>
          <w:numId w:val="110"/>
        </w:numPr>
      </w:pPr>
      <w:r>
        <w:t xml:space="preserve">numpy - pakiet narzędzi numerycznych i nie tylko,</w:t>
      </w:r>
      <w:r/>
    </w:p>
    <w:p>
      <w:pPr>
        <w:pStyle w:val="794"/>
        <w:numPr>
          <w:ilvl w:val="0"/>
          <w:numId w:val="110"/>
        </w:numPr>
      </w:pPr>
      <w:r>
        <w:t xml:space="preserve">wfdb - narzędzia wspomniane w punkcie 3 - Realizacja projektu,</w:t>
      </w:r>
      <w:r/>
    </w:p>
    <w:p>
      <w:pPr>
        <w:pStyle w:val="794"/>
        <w:numPr>
          <w:ilvl w:val="0"/>
          <w:numId w:val="110"/>
        </w:numPr>
      </w:pPr>
      <w:r>
        <w:t xml:space="preserve">zenipy - narzędzie do interaktywnego wyboru plików i folderów, wygodne i zachowujące natywny wygląd bieżącego interfejsu.</w:t>
      </w:r>
      <w:r/>
    </w:p>
    <w:p>
      <w:pPr>
        <w:ind w:left="0" w:firstLine="0"/>
      </w:pPr>
      <w:r/>
      <w:r/>
    </w:p>
    <w:p>
      <w:pPr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0953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57525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0.8pt;height:86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97"/>
      </w:pPr>
      <w:r>
        <w:t xml:space="preserve">Rys. 2 - Zależności narzędzia</w:t>
      </w:r>
      <w:r/>
    </w:p>
    <w:p>
      <w:pPr>
        <w:ind w:left="0" w:firstLine="0"/>
        <w:shd w:val="nil" w:color="auto" w:fill="000000"/>
      </w:pPr>
      <w:r/>
      <w:r/>
    </w:p>
    <w:p>
      <w:pPr>
        <w:shd w:val="nil" w:color="auto" w:fill="FFFFFF"/>
        <w:rPr>
          <w:sz w:val="32"/>
        </w:rPr>
      </w:pPr>
      <w:r>
        <w:rPr>
          <w:sz w:val="32"/>
        </w:rPr>
        <w:br w:type="page"/>
      </w:r>
      <w:r/>
    </w:p>
    <w:p>
      <w:pPr>
        <w:pStyle w:val="777"/>
        <w:rPr>
          <w:sz w:val="28"/>
        </w:rPr>
      </w:pPr>
      <w:r/>
      <w:bookmarkStart w:id="13" w:name="_Toc13"/>
      <w:r>
        <w:rPr>
          <w:sz w:val="28"/>
        </w:rPr>
        <w:t xml:space="preserve">Funkcja resampleit(path, target_frequency)</w:t>
      </w:r>
      <w:bookmarkEnd w:id="13"/>
      <w:r>
        <w:rPr>
          <w:sz w:val="28"/>
        </w:rPr>
      </w:r>
      <w:r/>
    </w:p>
    <w:p>
      <w:r/>
      <w:r/>
    </w:p>
    <w:p>
      <w:r>
        <w:t xml:space="preserve">Funkcja wykonuje kolejno następujące czynności:</w:t>
      </w:r>
      <w:r/>
    </w:p>
    <w:p>
      <w:pPr>
        <w:pStyle w:val="794"/>
        <w:numPr>
          <w:ilvl w:val="0"/>
          <w:numId w:val="112"/>
        </w:numPr>
      </w:pPr>
      <w:r>
        <w:t xml:space="preserve">usunięcie z pełnej ścieżki do pliku rozszerzenia .hea / .dat,</w:t>
      </w:r>
      <w:r/>
    </w:p>
    <w:p>
      <w:pPr>
        <w:pStyle w:val="794"/>
        <w:numPr>
          <w:ilvl w:val="0"/>
          <w:numId w:val="112"/>
        </w:numPr>
      </w:pPr>
      <w:r>
        <w:t xml:space="preserve">wczytanie rekordu WFDB jako obiektu Python,</w:t>
      </w:r>
      <w:r/>
    </w:p>
    <w:p>
      <w:pPr>
        <w:pStyle w:val="794"/>
        <w:numPr>
          <w:ilvl w:val="0"/>
          <w:numId w:val="112"/>
        </w:numPr>
      </w:pPr>
      <w:r>
        <w:t xml:space="preserve">dostosowanie formy tablicy do celów obliczeniowych,</w:t>
      </w:r>
      <w:r/>
    </w:p>
    <w:p>
      <w:pPr>
        <w:pStyle w:val="794"/>
        <w:numPr>
          <w:ilvl w:val="0"/>
          <w:numId w:val="112"/>
        </w:numPr>
      </w:pPr>
      <w:r>
        <w:t xml:space="preserve">przepróbkowanie sygnału,</w:t>
      </w:r>
      <w:r/>
    </w:p>
    <w:p>
      <w:pPr>
        <w:pStyle w:val="794"/>
        <w:numPr>
          <w:ilvl w:val="0"/>
          <w:numId w:val="112"/>
        </w:numPr>
      </w:pPr>
      <w:r>
        <w:t xml:space="preserve">stworzenie rekordu WFDB z przepróbkowanym sygnałem,</w:t>
      </w:r>
      <w:r/>
    </w:p>
    <w:p>
      <w:pPr>
        <w:pStyle w:val="794"/>
        <w:numPr>
          <w:ilvl w:val="0"/>
          <w:numId w:val="112"/>
        </w:numPr>
      </w:pPr>
      <w:r>
        <w:t xml:space="preserve">informacja zwrotna.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44506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3445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1.3pt;height:271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797"/>
      </w:pPr>
      <w:r>
        <w:t xml:space="preserve">Rys. 3 - Funkcja resampleit.</w:t>
      </w:r>
      <w:r/>
    </w:p>
    <w:p>
      <w:pPr>
        <w:ind w:left="0" w:right="0" w:firstLine="0"/>
        <w:jc w:val="left"/>
      </w:pPr>
      <w:r/>
      <w:r/>
    </w:p>
    <w:p>
      <w:pPr>
        <w:shd w:val="nil" w:color="auto" w:fill="FFFFFF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  <w:br w:type="page"/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ind w:left="0" w:right="0" w:firstLine="0"/>
        <w:jc w:val="left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76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4" w:name="_Toc14"/>
      <w:r>
        <w:t xml:space="preserve">Specyfikacja zewnętrzna</w:t>
      </w:r>
      <w:r>
        <w:rPr>
          <w:rFonts w:ascii="DejaVu Sans Light" w:hAnsi="DejaVu Sans Light" w:cs="DejaVu Sans Light" w:eastAsia="DejaVu Sans Light"/>
        </w:rPr>
      </w:r>
      <w:bookmarkEnd w:id="14"/>
      <w:r/>
      <w:r/>
    </w:p>
    <w:p>
      <w:pPr>
        <w:shd w:val="nil" w:color="auto" w:fill="000000"/>
      </w:pPr>
      <w:r>
        <w:rPr>
          <w:sz w:val="32"/>
        </w:rPr>
      </w:r>
      <w:r>
        <w:rPr>
          <w:sz w:val="32"/>
        </w:rPr>
      </w:r>
      <w:r/>
    </w:p>
    <w:p>
      <w:pPr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  <w:t xml:space="preserve">Istnieją dwie metody użycia narzędzia:</w:t>
      </w:r>
      <w:r/>
    </w:p>
    <w:p>
      <w:pPr>
        <w:pStyle w:val="794"/>
        <w:numPr>
          <w:ilvl w:val="0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Wraz z argumentami:</w:t>
      </w:r>
      <w:r>
        <w:rPr>
          <w:sz w:val="24"/>
        </w:rPr>
      </w:r>
      <w:r/>
    </w:p>
    <w:p>
      <w:pPr>
        <w:pStyle w:val="794"/>
        <w:numPr>
          <w:ilvl w:val="1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przykład zastosowania:</w:t>
      </w:r>
      <w:r>
        <w:rPr>
          <w:sz w:val="24"/>
        </w:rPr>
      </w:r>
      <w:r/>
    </w:p>
    <w:p>
      <w:pPr>
        <w:pStyle w:val="794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wywołanie interpretera “python3”,</w:t>
      </w:r>
      <w:r>
        <w:rPr>
          <w:sz w:val="24"/>
        </w:rPr>
      </w:r>
      <w:r/>
    </w:p>
    <w:p>
      <w:pPr>
        <w:pStyle w:val="794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wskazanie pliku narzędzia “resampleit_py”,</w:t>
      </w:r>
      <w:r>
        <w:rPr>
          <w:sz w:val="24"/>
        </w:rPr>
      </w:r>
      <w:r/>
    </w:p>
    <w:p>
      <w:pPr>
        <w:pStyle w:val="794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argument pierwszy - częstotliwość docelowa “200”,</w:t>
      </w:r>
      <w:r>
        <w:rPr>
          <w:sz w:val="24"/>
        </w:rPr>
      </w:r>
      <w:r/>
    </w:p>
    <w:p>
      <w:pPr>
        <w:pStyle w:val="794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argument drugi - pełna ścieżka do rekordu wfdb, jak poniżej:</w:t>
      </w:r>
      <w:r>
        <w:rPr>
          <w:sz w:val="24"/>
        </w:rPr>
      </w:r>
      <w:r/>
    </w:p>
    <w:p>
      <w:pPr>
        <w:pStyle w:val="792"/>
        <w:rPr>
          <w:b/>
          <w:i w:val="false"/>
          <w:sz w:val="24"/>
        </w:rPr>
      </w:pPr>
      <w:r>
        <w:rPr>
          <w:b/>
          <w:i w:val="false"/>
          <w:sz w:val="24"/>
        </w:rPr>
      </w:r>
      <w:r>
        <w:rPr>
          <w:b/>
          <w:i w:val="false"/>
          <w:sz w:val="24"/>
        </w:rPr>
        <w:t xml:space="preserve">&gt;&gt; python3 resampleit.py 200 "/home/ciarambola/Pulpit/semestr 2/PP/ResapleIt_CLI/data/ansiaami-ec13-test-waveforms-1.0.0/aami3a.dat"</w:t>
      </w:r>
      <w:r>
        <w:rPr>
          <w:b/>
          <w:i w:val="false"/>
          <w:sz w:val="24"/>
        </w:rPr>
      </w:r>
      <w:r/>
    </w:p>
    <w:p>
      <w:pPr>
        <w:pStyle w:val="794"/>
        <w:numPr>
          <w:ilvl w:val="1"/>
          <w:numId w:val="115"/>
        </w:numPr>
        <w:shd w:val="nil" w:color="auto" w:fill="000000"/>
      </w:pPr>
      <w:r>
        <w:rPr>
          <w:sz w:val="24"/>
        </w:rPr>
        <w:t xml:space="preserve">widok terminala:</w:t>
      </w:r>
      <w:r/>
    </w:p>
    <w:p>
      <w:pPr>
        <w:shd w:val="nil" w:color="auto" w:fill="000000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1057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1105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1.3pt;height:87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</w:rPr>
      </w:r>
      <w:r/>
    </w:p>
    <w:p>
      <w:pPr>
        <w:pStyle w:val="797"/>
      </w:pPr>
      <w:r>
        <w:t xml:space="preserve">Rys. 4 - Widok terminala przy zastosowaniu narzędzia z argumentami.</w:t>
      </w:r>
      <w:r/>
    </w:p>
    <w:p>
      <w:pPr>
        <w:ind w:left="0" w:firstLine="0"/>
      </w:pPr>
      <w:r/>
      <w:r/>
    </w:p>
    <w:p>
      <w:pPr>
        <w:pStyle w:val="794"/>
        <w:numPr>
          <w:ilvl w:val="0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Bez argumentów:</w:t>
      </w:r>
      <w:r/>
    </w:p>
    <w:p>
      <w:pPr>
        <w:pStyle w:val="794"/>
        <w:numPr>
          <w:ilvl w:val="1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przykład zastosowania:</w:t>
      </w:r>
      <w:r/>
    </w:p>
    <w:p>
      <w:pPr>
        <w:pStyle w:val="794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wywołanie interpretera python3 oraz użycie narzędzia resampleit.py bez argumentów:</w:t>
      </w:r>
      <w:r>
        <w:rPr>
          <w:sz w:val="24"/>
        </w:rPr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72593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09" cy="72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1.3pt;height:57.2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97"/>
      </w:pPr>
      <w:r>
        <w:t xml:space="preserve">Rys. 5 - Widok terminala przy zastosowaniu narzędzia bez argumentów.</w:t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w:t xml:space="preserve">Ewentualne powiadomienia w terminalu należy zignorować o ile nie informują o błędzie, przerywając działanie narzędzia.</w:t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w:t xml:space="preserve">Od razu po wpisaniu polecenia do konsoli powinno pojawić się okno wyboru pliku.</w:t>
      </w:r>
      <w:r>
        <w:rPr>
          <w:sz w:val="24"/>
        </w:rPr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11659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09" cy="1116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3pt;height:87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</w:rPr>
      </w:r>
      <w:r/>
    </w:p>
    <w:p>
      <w:pPr>
        <w:pStyle w:val="797"/>
      </w:pPr>
      <w:r>
        <w:t xml:space="preserve">Rys. 6 - Okno wyboru pliku.</w:t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794"/>
        <w:numPr>
          <w:ilvl w:val="2"/>
          <w:numId w:val="116"/>
        </w:numPr>
        <w:shd w:val="nil" w:color="auto" w:fill="000000"/>
        <w:rPr>
          <w:sz w:val="24"/>
        </w:rPr>
      </w:pPr>
      <w:r>
        <w:rPr>
          <w:sz w:val="24"/>
        </w:rPr>
        <w:t xml:space="preserve">następnie należy wprowadzić w oknie terminala docelową częstotliwość próbkowania i zatwierdzić wybór.</w:t>
      </w:r>
      <w:r/>
    </w:p>
    <w:p>
      <w:pPr>
        <w:ind w:left="0" w:firstLine="0"/>
        <w:jc w:val="center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79057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91049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1.5pt;height:62.3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97"/>
      </w:pPr>
      <w:r>
        <w:t xml:space="preserve">Rys. 7 - Widok terminala po wprowadzeniu i zatwierdzeniu docelowej częstotliwości próbkowania.</w:t>
      </w:r>
      <w:r/>
    </w:p>
    <w:p>
      <w:r>
        <w:t xml:space="preserve">Wynik działania narzędzia znajduje się w bieżącej pozycji terminala, w</w:t>
      </w:r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/>
      <w:r>
        <w:t xml:space="preserve">przykładach jest to folder  “program”.</w:t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pStyle w:val="776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5" w:name="_Toc15"/>
      <w:r/>
      <w:r>
        <w:t xml:space="preserve">Podsumowanie</w:t>
      </w:r>
      <w:bookmarkEnd w:id="15"/>
      <w:r/>
      <w:r/>
    </w:p>
    <w:p>
      <w:pPr>
        <w:shd w:val="nil" w:color="auto" w:fill="FFFFFF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shd w:val="nil" w:color="auto" w:fill="000000"/>
      </w:pPr>
      <w:r>
        <w:rPr>
          <w:rFonts w:ascii="DejaVu Sans Light" w:hAnsi="DejaVu Sans Light" w:cs="DejaVu Sans Light" w:eastAsia="DejaVu Sans Light"/>
          <w:sz w:val="24"/>
        </w:rPr>
        <w:t xml:space="preserve">Utworzono zgodne z założeniami narzędzie do konwersji częstotliwości próbkowania. Można go używać zarówno w formie interaktywnej oraz w</w:t>
      </w:r>
      <w:r>
        <w:rPr>
          <w:rFonts w:ascii="DejaVu Sans Light" w:hAnsi="DejaVu Sans Light" w:cs="DejaVu Sans Light" w:eastAsia="DejaVu Sans Light"/>
          <w:sz w:val="24"/>
        </w:rPr>
      </w:r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/>
      <w:r>
        <w:rPr>
          <w:rFonts w:ascii="DejaVu Sans Light" w:hAnsi="DejaVu Sans Light" w:cs="DejaVu Sans Light" w:eastAsia="DejaVu Sans Light"/>
          <w:sz w:val="24"/>
        </w:rPr>
        <w:t xml:space="preserve">innym skrypcie podając potrzebne argumenty. </w:t>
        <w:br w:type="page"/>
      </w:r>
      <w:r>
        <w:rPr>
          <w:rFonts w:ascii="DejaVu Sans Light" w:hAnsi="DejaVu Sans Light" w:cs="DejaVu Sans Light" w:eastAsia="DejaVu Sans Light"/>
          <w:sz w:val="24"/>
        </w:rPr>
      </w:r>
      <w:r/>
    </w:p>
    <w:p>
      <w:pPr>
        <w:jc w:val="right"/>
        <w:shd w:val="nil" w:color="auto" w:fill="000000"/>
        <w:rPr>
          <w:sz w:val="40"/>
        </w:rPr>
      </w:pPr>
      <w:r>
        <w:rPr>
          <w:sz w:val="40"/>
        </w:rPr>
      </w:r>
      <w:r>
        <w:rPr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sz w:val="40"/>
        </w:rPr>
        <w:t xml:space="preserve">Bibliografia</w:t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pacing w:lineRule="auto" w:line="360" w:after="431" w:afterAutospacing="0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pStyle w:val="794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Opracowanie w notatniku Jupyter -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hyperlink r:id="rId20" w:history="1">
        <w:r>
          <w:rPr>
            <w:rStyle w:val="761"/>
            <w:rFonts w:ascii="DejaVu Sans Light" w:hAnsi="DejaVu Sans Light" w:cs="DejaVu Sans Light" w:eastAsia="DejaVu Sans Light"/>
            <w:color w:val="000000" w:themeColor="text1"/>
            <w:sz w:val="24"/>
            <w:u w:val="none"/>
          </w:rPr>
          <w:t xml:space="preserve">https://sound.eti.pg.gda.pl/~greg/dsp/05-Interpolacja.html</w:t>
        </w:r>
      </w:hyperlink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[dostęp: 19.10.2019]</w:t>
      </w:r>
      <w:r>
        <w:rPr>
          <w:u w:val="none"/>
        </w:rPr>
      </w:r>
      <w:r/>
    </w:p>
    <w:p>
      <w:pPr>
        <w:pStyle w:val="794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Wykłady, Zaawansowane metody analizy sygnałów biologicznych, Prof. dr hab. inż. Ewaryst Tkacz</w:t>
      </w:r>
      <w:r>
        <w:rPr>
          <w:u w:val="none"/>
        </w:rPr>
      </w:r>
      <w:r/>
    </w:p>
    <w:p>
      <w:pPr>
        <w:pStyle w:val="794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Instrukcja do Laboratorium Cyfrowego przetwarzania sygnałów, Ćwiczenie 5 - Wieloczęstotliwościowe przetwarzanie sygnałów - intepolacja i decymacja - </w:t>
      </w:r>
      <w:hyperlink r:id="rId21" w:history="1">
        <w:r>
          <w:rPr>
            <w:rStyle w:val="761"/>
            <w:rFonts w:ascii="DejaVu Sans Light" w:hAnsi="DejaVu Sans Light" w:cs="DejaVu Sans Light" w:eastAsia="DejaVu Sans Light"/>
            <w:color w:val="000000" w:themeColor="text1"/>
            <w:sz w:val="24"/>
            <w:u w:val="none"/>
          </w:rPr>
          <w:t xml:space="preserve">https://ioisp.el.pcz.pl/images/instrukcje/air/Cyfrowe%20Przetwarzanie%20Sygnalow/Laboratoria/Cw.5%20Wieloczestotliwosciowe%20przetwarzanie%20sygnalow%20–%20interpolacja%20i%20decymacja.pdf</w:t>
        </w:r>
      </w:hyperlink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[dostęp: 19.10.2019]</w:t>
      </w:r>
      <w:r>
        <w:rPr>
          <w:u w:val="none"/>
        </w:rPr>
      </w:r>
      <w:r/>
    </w:p>
    <w:p>
      <w:pPr>
        <w:pStyle w:val="794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Przetwarzanie sygnałów, Ćwiczenie 3 - Właściwości przekształcenia Fouriera -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http://www.w12.pwr.wroc.pl/ps/instrukcje/PS4.pdf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[dostęp: 19.10.2019]</w:t>
      </w:r>
      <w:r>
        <w:rPr>
          <w:u w:val="none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1906" w:h="16838" w:orient="portrait"/>
      <w:pgMar w:top="1440" w:right="1440" w:bottom="1440" w:left="1440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B0604020202020204"/>
  </w:font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DejaVu Sans Light">
    <w:panose1 w:val="020B02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7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787"/>
      <w:tabs>
        <w:tab w:val="clear" w:pos="4677" w:leader="none"/>
        <w:tab w:val="clear" w:pos="9355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  <w:rPr>
        <w:rFonts w:ascii="DejaVu Sans Light" w:hAnsi="DejaVu Sans Light" w:cs="DejaVu Sans Light" w:eastAsia="DejaVu Sans Light"/>
        <w:sz w:val="24"/>
      </w:rPr>
    </w:pPr>
    <w:r>
      <w:rPr>
        <w:rFonts w:ascii="DejaVu Sans Light" w:hAnsi="DejaVu Sans Light" w:cs="DejaVu Sans Light" w:eastAsia="DejaVu Sans Light"/>
        <w:sz w:val="24"/>
      </w:rPr>
    </w:r>
    <w:r>
      <w:rPr>
        <w:rFonts w:ascii="DejaVu Sans Light" w:hAnsi="DejaVu Sans Light" w:cs="DejaVu Sans Light" w:eastAsia="DejaVu Sans Light"/>
        <w:sz w:val="24"/>
      </w:rPr>
      <w:t xml:space="preserve">Prowadzący projekt: Mgr inż. Konrad Duraj</w:t>
    </w:r>
    <w:r/>
  </w:p>
  <w:p>
    <w:pPr>
      <w:jc w:val="center"/>
      <w:rPr>
        <w:rFonts w:ascii="DejaVu Sans Light" w:hAnsi="DejaVu Sans Light" w:cs="DejaVu Sans Light" w:eastAsia="DejaVu Sans Light"/>
      </w:rPr>
    </w:pPr>
    <w:r>
      <w:rPr>
        <w:rFonts w:ascii="DejaVu Sans Light" w:hAnsi="DejaVu Sans Light" w:cs="DejaVu Sans Light" w:eastAsia="DejaVu Sans Light"/>
        <w:sz w:val="24"/>
      </w:rPr>
    </w:r>
    <w:r>
      <w:rPr>
        <w:rFonts w:ascii="DejaVu Sans Light" w:hAnsi="DejaVu Sans Light" w:cs="DejaVu Sans Light" w:eastAsia="DejaVu Sans Light"/>
        <w:sz w:val="24"/>
      </w:rPr>
    </w:r>
    <w:r/>
  </w:p>
  <w:p>
    <w:pPr>
      <w:jc w:val="center"/>
      <w:rPr>
        <w:rFonts w:ascii="DejaVu Sans Light" w:hAnsi="DejaVu Sans Light" w:cs="DejaVu Sans Light" w:eastAsia="DejaVu Sans Light"/>
      </w:rPr>
    </w:pPr>
    <w:r>
      <w:rPr>
        <w:rFonts w:ascii="DejaVu Sans Light" w:hAnsi="DejaVu Sans Light" w:cs="DejaVu Sans Light" w:eastAsia="DejaVu Sans Light"/>
        <w:sz w:val="24"/>
      </w:rPr>
      <w:t xml:space="preserve">Bytom, 8 stycznia 2019r.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tabs>
        <w:tab w:val="clear" w:pos="4677" w:leader="none"/>
        <w:tab w:val="clear" w:pos="9355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DejaVu Sans Light" w:hAnsi="DejaVu Sans Light" w:cs="DejaVu Sans Light" w:eastAsia="DejaVu Sans Light"/>
        <w:b/>
        <w:sz w:val="48"/>
      </w:rPr>
    </w:pPr>
    <w:r>
      <w:rPr>
        <w:rFonts w:ascii="DejaVu Sans Light" w:hAnsi="DejaVu Sans Light" w:cs="DejaVu Sans Light" w:eastAsia="DejaVu Sans Light"/>
        <w:b/>
        <w:sz w:val="48"/>
      </w:rPr>
      <w:t xml:space="preserve">POLITECHNIKA ŚLĄSKA</w:t>
    </w:r>
    <w:r>
      <w:rPr>
        <w:b/>
      </w:rPr>
    </w:r>
    <w:r/>
  </w:p>
  <w:p>
    <w:pPr>
      <w:jc w:val="center"/>
      <w:rPr>
        <w:rFonts w:ascii="DejaVu Sans Light" w:hAnsi="DejaVu Sans Light" w:cs="DejaVu Sans Light" w:eastAsia="DejaVu Sans Light"/>
        <w:b/>
      </w:rPr>
    </w:pPr>
    <w:r>
      <w:rPr>
        <w:rFonts w:ascii="DejaVu Sans Light" w:hAnsi="DejaVu Sans Light" w:cs="DejaVu Sans Light" w:eastAsia="DejaVu Sans Light"/>
        <w:b/>
        <w:sz w:val="48"/>
      </w:rPr>
      <w:t xml:space="preserve">WYDZIAŁ INŻYNIERII BIOMEDYCZNEJ</w:t>
    </w:r>
    <w:r>
      <w:rPr>
        <w:b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41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2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25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45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5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5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5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5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5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5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5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5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i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  <w:rPr>
        <w:sz w:val="26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849" w:hanging="417"/>
      </w:pPr>
      <w:rPr>
        <w:i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25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45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65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45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45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65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45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45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65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45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65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45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45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65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45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45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65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50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28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38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70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74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78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82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86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790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66" w:hanging="1428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8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48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68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48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48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68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48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48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68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8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28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48"/>
      </w:pPr>
      <w:rPr>
        <w:rFonts w:ascii="Symbol" w:hAnsi="Symbol" w:cs="Symbol" w:eastAsia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48"/>
      </w:pPr>
      <w:rPr>
        <w:rFonts w:ascii="Symbol" w:hAnsi="Symbol" w:cs="Symbol" w:eastAsia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48"/>
      </w:pPr>
      <w:rPr>
        <w:rFonts w:ascii="Symbol" w:hAnsi="Symbol" w:cs="Symbol" w:eastAsia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9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1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3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1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9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3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9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  <w:rPr>
        <w:sz w:val="26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5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2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49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3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8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2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7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1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3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0"/>
      </w:pPr>
      <w:rPr>
        <w:rFonts w:ascii="Symbol" w:hAnsi="Symbol" w:cs="Symbol" w:eastAsia="Symbol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7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30"/>
      </w:pPr>
    </w:lvl>
  </w:abstractNum>
  <w:abstractNum w:abstractNumId="42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1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1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1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1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1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1"/>
      </w:pPr>
      <w:rPr>
        <w:rFonts w:ascii="Symbol" w:hAnsi="Symbol" w:cs="Symbol" w:eastAsia="Symbol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2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72"/>
      </w:p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0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3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55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55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55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55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55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55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55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55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55"/>
      </w:pPr>
      <w:rPr>
        <w:rFonts w:ascii="Symbol" w:hAnsi="Symbol" w:cs="Symbol" w:eastAsia="Symbol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5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6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8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80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83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4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58"/>
      </w:pPr>
      <w:rPr>
        <w:rFonts w:ascii="Symbol" w:hAnsi="Symbol" w:cs="Symbol" w:eastAsia="Symbol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1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2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3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4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58"/>
      </w:pPr>
      <w:rPr>
        <w:rFonts w:ascii="Symbol" w:hAnsi="Symbol" w:cs="Symbol" w:eastAsia="Symbol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  <w:sz w:val="24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8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9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9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9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9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9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9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9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9"/>
      </w:pPr>
      <w:rPr>
        <w:rFonts w:ascii="Symbol" w:hAnsi="Symbol" w:cs="Symbol" w:eastAsia="Symbol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9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9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9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9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9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9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9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9"/>
      </w:pPr>
      <w:rPr>
        <w:rFonts w:ascii="Symbol" w:hAnsi="Symbol" w:cs="Symbol" w:eastAsia="Symbol"/>
      </w:rPr>
    </w:lvl>
  </w:abstractNum>
  <w:abstractNum w:abstractNumId="101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2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3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4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5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6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08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0">
    <w:multiLevelType w:val="hybridMultilevel"/>
    <w:lvl w:ilvl="0">
      <w:start w:val="1"/>
      <w:numFmt w:val="decimal"/>
      <w:pStyle w:val="776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77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78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79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ascii="Symbol" w:hAnsi="Symbol" w:cs="Symbol" w:eastAsia="Symbol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pl-PL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18">
    <w:name w:val="Table Grid Light"/>
    <w:basedOn w:val="78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Plain Table 1"/>
    <w:basedOn w:val="78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20">
    <w:name w:val="Plain Table 2"/>
    <w:basedOn w:val="78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21">
    <w:name w:val="Plain Table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22">
    <w:name w:val="Plain Table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Plain Table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24">
    <w:name w:val="Grid Table 1 Light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5">
    <w:name w:val="Grid Table 1 Light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6">
    <w:name w:val="Grid Table 1 Light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7">
    <w:name w:val="Grid Table 1 Light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8">
    <w:name w:val="Grid Table 1 Light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9">
    <w:name w:val="Grid Table 1 Light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0">
    <w:name w:val="Grid Table 1 Light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1">
    <w:name w:val="Grid Table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32">
    <w:name w:val="Grid Table 2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33">
    <w:name w:val="Grid Table 2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4">
    <w:name w:val="Grid Table 2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35">
    <w:name w:val="Grid Table 2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6">
    <w:name w:val="Grid Table 2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7">
    <w:name w:val="Grid Table 2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38">
    <w:name w:val="Grid Table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9">
    <w:name w:val="Grid Table 3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0">
    <w:name w:val="Grid Table 3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1">
    <w:name w:val="Grid Table 3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2">
    <w:name w:val="Grid Table 3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3">
    <w:name w:val="Grid Table 3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4">
    <w:name w:val="Grid Table 3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5">
    <w:name w:val="Grid Table 4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46">
    <w:name w:val="Grid Table 4 - Accent 1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47">
    <w:name w:val="Grid Table 4 - Accent 2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48">
    <w:name w:val="Grid Table 4 - Accent 3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49">
    <w:name w:val="Grid Table 4 - Accent 4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50">
    <w:name w:val="Grid Table 4 - Accent 5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51">
    <w:name w:val="Grid Table 4 - Accent 6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52">
    <w:name w:val="Grid Table 5 Dark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653">
    <w:name w:val="Grid Table 5 Dark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654">
    <w:name w:val="Grid Table 5 Dark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655">
    <w:name w:val="Grid Table 5 Dark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656">
    <w:name w:val="Grid Table 5 Dark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657">
    <w:name w:val="Grid Table 5 Dark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658">
    <w:name w:val="Grid Table 5 Dark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659">
    <w:name w:val="Grid Table 6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60">
    <w:name w:val="Grid Table 6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1">
    <w:name w:val="Grid Table 6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2">
    <w:name w:val="Grid Table 6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63">
    <w:name w:val="Grid Table 6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64">
    <w:name w:val="Grid Table 6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65">
    <w:name w:val="Grid Table 6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66">
    <w:name w:val="Grid Table 7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7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7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7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7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7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7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List Table 1 Light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List Table 1 Light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List Table 1 Light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List Table 1 Light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List Table 1 Light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List Table 1 Light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List Table 1 Light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81">
    <w:name w:val="List Table 2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2">
    <w:name w:val="List Table 2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3">
    <w:name w:val="List Table 2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4">
    <w:name w:val="List Table 2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85">
    <w:name w:val="List Table 2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86">
    <w:name w:val="List Table 2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87">
    <w:name w:val="List Table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List Table 3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List Table 3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List Table 3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List Table 3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4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4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5 Dark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2">
    <w:name w:val="List Table 5 Dark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3">
    <w:name w:val="List Table 5 Dark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6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09">
    <w:name w:val="List Table 6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0">
    <w:name w:val="List Table 6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List Table 6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2">
    <w:name w:val="List Table 6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List Table 6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4">
    <w:name w:val="List Table 6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5">
    <w:name w:val="List Table 7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16">
    <w:name w:val="List Table 7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7">
    <w:name w:val="List Table 7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8">
    <w:name w:val="List Table 7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9">
    <w:name w:val="List Table 7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0">
    <w:name w:val="List Table 7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1">
    <w:name w:val="List Table 7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22">
    <w:name w:val="Lined - Accent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23">
    <w:name w:val="Bordered &amp; Lined - Accent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724">
    <w:name w:val="Heading 1 Char"/>
    <w:link w:val="776"/>
    <w:uiPriority w:val="9"/>
    <w:rPr>
      <w:rFonts w:ascii="Arial" w:hAnsi="Arial" w:cs="Arial" w:eastAsia="Arial"/>
      <w:sz w:val="40"/>
      <w:szCs w:val="40"/>
    </w:rPr>
  </w:style>
  <w:style w:type="character" w:styleId="725">
    <w:name w:val="Heading 2 Char"/>
    <w:link w:val="777"/>
    <w:uiPriority w:val="9"/>
    <w:rPr>
      <w:rFonts w:ascii="Arial" w:hAnsi="Arial" w:cs="Arial" w:eastAsia="Arial"/>
      <w:sz w:val="34"/>
    </w:rPr>
  </w:style>
  <w:style w:type="character" w:styleId="726">
    <w:name w:val="Heading 3 Char"/>
    <w:link w:val="778"/>
    <w:uiPriority w:val="9"/>
    <w:rPr>
      <w:rFonts w:ascii="Arial" w:hAnsi="Arial" w:cs="Arial" w:eastAsia="Arial"/>
      <w:sz w:val="30"/>
      <w:szCs w:val="30"/>
    </w:rPr>
  </w:style>
  <w:style w:type="character" w:styleId="727">
    <w:name w:val="Heading 4 Char"/>
    <w:link w:val="779"/>
    <w:uiPriority w:val="9"/>
    <w:rPr>
      <w:rFonts w:ascii="Arial" w:hAnsi="Arial" w:cs="Arial" w:eastAsia="Arial"/>
      <w:b/>
      <w:bCs/>
      <w:sz w:val="26"/>
      <w:szCs w:val="26"/>
    </w:rPr>
  </w:style>
  <w:style w:type="character" w:styleId="728">
    <w:name w:val="Heading 5 Char"/>
    <w:link w:val="780"/>
    <w:uiPriority w:val="9"/>
    <w:rPr>
      <w:rFonts w:ascii="Arial" w:hAnsi="Arial" w:cs="Arial" w:eastAsia="Arial"/>
      <w:b/>
      <w:bCs/>
      <w:sz w:val="24"/>
      <w:szCs w:val="24"/>
    </w:rPr>
  </w:style>
  <w:style w:type="character" w:styleId="729">
    <w:name w:val="Heading 6 Char"/>
    <w:link w:val="781"/>
    <w:uiPriority w:val="9"/>
    <w:rPr>
      <w:rFonts w:ascii="Arial" w:hAnsi="Arial" w:cs="Arial" w:eastAsia="Arial"/>
      <w:b/>
      <w:bCs/>
      <w:sz w:val="22"/>
      <w:szCs w:val="22"/>
    </w:rPr>
  </w:style>
  <w:style w:type="character" w:styleId="730">
    <w:name w:val="Heading 7 Char"/>
    <w:link w:val="7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1">
    <w:name w:val="Heading 8 Char"/>
    <w:link w:val="783"/>
    <w:uiPriority w:val="9"/>
    <w:rPr>
      <w:rFonts w:ascii="Arial" w:hAnsi="Arial" w:cs="Arial" w:eastAsia="Arial"/>
      <w:i/>
      <w:iCs/>
      <w:sz w:val="22"/>
      <w:szCs w:val="22"/>
    </w:rPr>
  </w:style>
  <w:style w:type="character" w:styleId="732">
    <w:name w:val="Heading 9 Char"/>
    <w:link w:val="784"/>
    <w:uiPriority w:val="9"/>
    <w:rPr>
      <w:rFonts w:ascii="Arial" w:hAnsi="Arial" w:cs="Arial" w:eastAsia="Arial"/>
      <w:i/>
      <w:iCs/>
      <w:sz w:val="21"/>
      <w:szCs w:val="21"/>
    </w:rPr>
  </w:style>
  <w:style w:type="character" w:styleId="733">
    <w:name w:val="Title Char"/>
    <w:link w:val="793"/>
    <w:uiPriority w:val="10"/>
    <w:rPr>
      <w:sz w:val="48"/>
      <w:szCs w:val="48"/>
    </w:rPr>
  </w:style>
  <w:style w:type="character" w:styleId="734">
    <w:name w:val="Subtitle Char"/>
    <w:link w:val="791"/>
    <w:uiPriority w:val="11"/>
    <w:rPr>
      <w:sz w:val="24"/>
      <w:szCs w:val="24"/>
    </w:rPr>
  </w:style>
  <w:style w:type="character" w:styleId="735">
    <w:name w:val="Quote Char"/>
    <w:link w:val="790"/>
    <w:uiPriority w:val="29"/>
    <w:rPr>
      <w:i/>
    </w:rPr>
  </w:style>
  <w:style w:type="character" w:styleId="736">
    <w:name w:val="Intense Quote Char"/>
    <w:link w:val="792"/>
    <w:uiPriority w:val="30"/>
    <w:rPr>
      <w:i/>
    </w:rPr>
  </w:style>
  <w:style w:type="character" w:styleId="737">
    <w:name w:val="Header Char"/>
    <w:link w:val="788"/>
    <w:uiPriority w:val="99"/>
  </w:style>
  <w:style w:type="character" w:styleId="738">
    <w:name w:val="Footer Char"/>
    <w:link w:val="787"/>
    <w:uiPriority w:val="99"/>
  </w:style>
  <w:style w:type="table" w:styleId="739">
    <w:name w:val="Table Grid"/>
    <w:basedOn w:val="78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Lined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41">
    <w:name w:val="Lined - Accent 1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42">
    <w:name w:val="Lined - Accent 2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43">
    <w:name w:val="Lined - Accent 3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744">
    <w:name w:val="Lined - Accent 4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45">
    <w:name w:val="Lined - Accent 5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746">
    <w:name w:val="Lined - Accent 6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747">
    <w:name w:val="Bordered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748">
    <w:name w:val="Bordered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749">
    <w:name w:val="Bordered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50">
    <w:name w:val="Bordered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51">
    <w:name w:val="Bordered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52">
    <w:name w:val="Bordered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53">
    <w:name w:val="Bordered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54">
    <w:name w:val="Bordered &amp; Lined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5">
    <w:name w:val="Bordered &amp; Lined - Accent 1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56">
    <w:name w:val="Bordered &amp; Lined - Accent 2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57">
    <w:name w:val="Bordered &amp; Lined - Accent 3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58">
    <w:name w:val="Bordered &amp; Lined - Accent 4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59">
    <w:name w:val="Bordered &amp; Lined - Accent 5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760">
    <w:name w:val="Bordered &amp; Lined - Accent 6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761">
    <w:name w:val="Hyperlink"/>
    <w:uiPriority w:val="99"/>
    <w:unhideWhenUsed/>
    <w:rPr>
      <w:color w:val="0000FF" w:themeColor="hyperlink"/>
      <w:u w:val="single"/>
    </w:rPr>
  </w:style>
  <w:style w:type="paragraph" w:styleId="762">
    <w:name w:val="footnote text"/>
    <w:basedOn w:val="775"/>
    <w:link w:val="763"/>
    <w:uiPriority w:val="99"/>
    <w:semiHidden/>
    <w:unhideWhenUsed/>
    <w:rPr>
      <w:sz w:val="18"/>
    </w:rPr>
    <w:pPr>
      <w:spacing w:lineRule="auto" w:line="240" w:after="40"/>
    </w:pPr>
  </w:style>
  <w:style w:type="character" w:styleId="763">
    <w:name w:val="Footnote Text Char"/>
    <w:link w:val="762"/>
    <w:uiPriority w:val="99"/>
    <w:rPr>
      <w:sz w:val="18"/>
    </w:rPr>
  </w:style>
  <w:style w:type="character" w:styleId="764">
    <w:name w:val="footnote reference"/>
    <w:uiPriority w:val="99"/>
    <w:unhideWhenUsed/>
    <w:rPr>
      <w:vertAlign w:val="superscript"/>
    </w:rPr>
  </w:style>
  <w:style w:type="paragraph" w:styleId="765">
    <w:name w:val="toc 1"/>
    <w:basedOn w:val="775"/>
    <w:next w:val="775"/>
    <w:uiPriority w:val="39"/>
    <w:unhideWhenUsed/>
    <w:pPr>
      <w:ind w:left="0" w:right="0" w:firstLine="0"/>
      <w:spacing w:after="57"/>
    </w:pPr>
  </w:style>
  <w:style w:type="paragraph" w:styleId="766">
    <w:name w:val="toc 2"/>
    <w:basedOn w:val="775"/>
    <w:next w:val="775"/>
    <w:uiPriority w:val="39"/>
    <w:unhideWhenUsed/>
    <w:pPr>
      <w:ind w:left="283" w:right="0" w:firstLine="0"/>
      <w:spacing w:after="57"/>
    </w:pPr>
  </w:style>
  <w:style w:type="paragraph" w:styleId="767">
    <w:name w:val="toc 3"/>
    <w:basedOn w:val="775"/>
    <w:next w:val="775"/>
    <w:uiPriority w:val="39"/>
    <w:unhideWhenUsed/>
    <w:pPr>
      <w:ind w:left="567" w:right="0" w:firstLine="0"/>
      <w:spacing w:after="57"/>
    </w:pPr>
  </w:style>
  <w:style w:type="paragraph" w:styleId="768">
    <w:name w:val="toc 4"/>
    <w:basedOn w:val="775"/>
    <w:next w:val="775"/>
    <w:uiPriority w:val="39"/>
    <w:unhideWhenUsed/>
    <w:pPr>
      <w:ind w:left="850" w:right="0" w:firstLine="0"/>
      <w:spacing w:after="57"/>
    </w:pPr>
  </w:style>
  <w:style w:type="paragraph" w:styleId="769">
    <w:name w:val="toc 5"/>
    <w:basedOn w:val="775"/>
    <w:next w:val="775"/>
    <w:uiPriority w:val="39"/>
    <w:unhideWhenUsed/>
    <w:pPr>
      <w:ind w:left="1134" w:right="0" w:firstLine="0"/>
      <w:spacing w:after="57"/>
    </w:pPr>
  </w:style>
  <w:style w:type="paragraph" w:styleId="770">
    <w:name w:val="toc 6"/>
    <w:basedOn w:val="775"/>
    <w:next w:val="775"/>
    <w:uiPriority w:val="39"/>
    <w:unhideWhenUsed/>
    <w:pPr>
      <w:ind w:left="1417" w:right="0" w:firstLine="0"/>
      <w:spacing w:after="57"/>
    </w:pPr>
  </w:style>
  <w:style w:type="paragraph" w:styleId="771">
    <w:name w:val="toc 7"/>
    <w:basedOn w:val="775"/>
    <w:next w:val="775"/>
    <w:uiPriority w:val="39"/>
    <w:unhideWhenUsed/>
    <w:pPr>
      <w:ind w:left="1701" w:right="0" w:firstLine="0"/>
      <w:spacing w:after="57"/>
    </w:pPr>
  </w:style>
  <w:style w:type="paragraph" w:styleId="772">
    <w:name w:val="toc 8"/>
    <w:basedOn w:val="775"/>
    <w:next w:val="775"/>
    <w:uiPriority w:val="39"/>
    <w:unhideWhenUsed/>
    <w:pPr>
      <w:ind w:left="1984" w:right="0" w:firstLine="0"/>
      <w:spacing w:after="57"/>
    </w:pPr>
  </w:style>
  <w:style w:type="paragraph" w:styleId="773">
    <w:name w:val="toc 9"/>
    <w:basedOn w:val="775"/>
    <w:next w:val="775"/>
    <w:uiPriority w:val="39"/>
    <w:unhideWhenUsed/>
    <w:pPr>
      <w:ind w:left="2268" w:right="0" w:firstLine="0"/>
      <w:spacing w:after="57"/>
    </w:pPr>
  </w:style>
  <w:style w:type="paragraph" w:styleId="774">
    <w:name w:val="TOC Heading"/>
    <w:uiPriority w:val="39"/>
    <w:unhideWhenUsed/>
  </w:style>
  <w:style w:type="paragraph" w:styleId="775" w:default="1">
    <w:name w:val="Normal"/>
    <w:qFormat/>
    <w:rPr>
      <w:rFonts w:ascii="DejaVu Sans Light" w:hAnsi="DejaVu Sans Light" w:cs="DejaVu Sans Light" w:eastAsia="DejaVu Sans Light"/>
      <w:color w:val="000000"/>
      <w:sz w:val="24"/>
    </w:rPr>
    <w:pPr>
      <w:jc w:val="both"/>
    </w:pPr>
  </w:style>
  <w:style w:type="paragraph" w:styleId="776">
    <w:name w:val="Heading 1"/>
    <w:basedOn w:val="794"/>
    <w:next w:val="775"/>
    <w:qFormat/>
    <w:uiPriority w:val="9"/>
    <w:rPr>
      <w:rFonts w:ascii="DejaVu Sans Light" w:hAnsi="DejaVu Sans Light" w:cs="DejaVu Sans Light" w:eastAsia="DejaVu Sans Light"/>
      <w:b w:val="false"/>
      <w:i w:val="false"/>
      <w:sz w:val="32"/>
    </w:rPr>
    <w:pPr>
      <w:numPr>
        <w:ilvl w:val="0"/>
        <w:numId w:val="43"/>
      </w:numPr>
      <w:ind w:left="567"/>
      <w:jc w:val="right"/>
      <w:shd w:val="nil" w:color="auto" w:fill="000000"/>
    </w:pPr>
  </w:style>
  <w:style w:type="paragraph" w:styleId="777">
    <w:name w:val="Heading 2"/>
    <w:basedOn w:val="794"/>
    <w:next w:val="775"/>
    <w:qFormat/>
    <w:uiPriority w:val="9"/>
    <w:unhideWhenUsed/>
    <w:rPr>
      <w:rFonts w:ascii="DejaVu Sans Light" w:hAnsi="DejaVu Sans Light" w:cs="DejaVu Sans Light" w:eastAsia="DejaVu Sans Light"/>
      <w:i w:val="false"/>
      <w:sz w:val="28"/>
    </w:rPr>
    <w:pPr>
      <w:numPr>
        <w:ilvl w:val="1"/>
        <w:numId w:val="43"/>
      </w:numPr>
      <w:ind w:left="1134"/>
      <w:jc w:val="both"/>
    </w:pPr>
  </w:style>
  <w:style w:type="paragraph" w:styleId="778">
    <w:name w:val="Heading 3"/>
    <w:basedOn w:val="794"/>
    <w:next w:val="775"/>
    <w:qFormat/>
    <w:uiPriority w:val="9"/>
    <w:unhideWhenUsed/>
    <w:rPr>
      <w:sz w:val="26"/>
    </w:rPr>
    <w:pPr>
      <w:numPr>
        <w:ilvl w:val="2"/>
        <w:numId w:val="43"/>
      </w:numPr>
      <w:ind w:left="1701"/>
      <w:jc w:val="both"/>
    </w:pPr>
  </w:style>
  <w:style w:type="paragraph" w:styleId="779">
    <w:name w:val="Heading 4"/>
    <w:basedOn w:val="775"/>
    <w:next w:val="775"/>
    <w:qFormat/>
    <w:uiPriority w:val="9"/>
    <w:unhideWhenUsed/>
    <w:rPr>
      <w:rFonts w:ascii="DejaVu Sans Light" w:hAnsi="DejaVu Sans Light" w:cs="DejaVu Sans Light" w:eastAsia="DejaVu Sans Light"/>
      <w:color w:val="232323"/>
      <w:sz w:val="26"/>
      <w:szCs w:val="32"/>
    </w:rPr>
    <w:pPr>
      <w:numPr>
        <w:ilvl w:val="3"/>
        <w:numId w:val="43"/>
      </w:numPr>
      <w:keepLines/>
      <w:keepNext/>
      <w:spacing w:after="0" w:before="200"/>
      <w:outlineLvl w:val="3"/>
    </w:pPr>
  </w:style>
  <w:style w:type="paragraph" w:styleId="780">
    <w:name w:val="Heading 5"/>
    <w:basedOn w:val="775"/>
    <w:next w:val="77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81">
    <w:name w:val="Heading 6"/>
    <w:basedOn w:val="775"/>
    <w:next w:val="77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82">
    <w:name w:val="Heading 7"/>
    <w:basedOn w:val="775"/>
    <w:next w:val="77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83">
    <w:name w:val="Heading 8"/>
    <w:basedOn w:val="775"/>
    <w:next w:val="77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84">
    <w:name w:val="Heading 9"/>
    <w:basedOn w:val="775"/>
    <w:next w:val="77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7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6" w:default="1">
    <w:name w:val="No List"/>
    <w:uiPriority w:val="99"/>
    <w:semiHidden/>
    <w:unhideWhenUsed/>
  </w:style>
  <w:style w:type="paragraph" w:styleId="787">
    <w:name w:val="Footer"/>
    <w:basedOn w:val="77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88">
    <w:name w:val="Header"/>
    <w:basedOn w:val="77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89">
    <w:name w:val="No Spacing"/>
    <w:qFormat/>
    <w:uiPriority w:val="1"/>
    <w:pPr>
      <w:spacing w:lineRule="auto" w:line="240" w:after="0"/>
    </w:pPr>
  </w:style>
  <w:style w:type="paragraph" w:styleId="790">
    <w:name w:val="Quote"/>
    <w:basedOn w:val="775"/>
    <w:next w:val="77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91">
    <w:name w:val="Subtitle"/>
    <w:basedOn w:val="775"/>
    <w:next w:val="77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792">
    <w:name w:val="Intense Quote"/>
    <w:basedOn w:val="775"/>
    <w:next w:val="77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93">
    <w:name w:val="Title"/>
    <w:basedOn w:val="775"/>
    <w:next w:val="77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794">
    <w:name w:val="List Paragraph"/>
    <w:basedOn w:val="775"/>
    <w:qFormat/>
    <w:uiPriority w:val="34"/>
    <w:pPr>
      <w:contextualSpacing w:val="true"/>
      <w:ind w:left="720"/>
    </w:pPr>
  </w:style>
  <w:style w:type="character" w:styleId="795" w:default="1">
    <w:name w:val="Default Paragraph Font"/>
    <w:uiPriority w:val="1"/>
    <w:semiHidden/>
    <w:unhideWhenUsed/>
  </w:style>
  <w:style w:type="character" w:styleId="796" w:customStyle="1">
    <w:name w:val="opis_character"/>
    <w:link w:val="797"/>
    <w:rPr>
      <w:i/>
      <w:sz w:val="22"/>
    </w:rPr>
  </w:style>
  <w:style w:type="paragraph" w:styleId="797" w:customStyle="1">
    <w:name w:val="opis"/>
    <w:basedOn w:val="775"/>
    <w:link w:val="796"/>
    <w:qFormat/>
    <w:rPr>
      <w:i/>
      <w:sz w:val="22"/>
    </w:rPr>
    <w:pPr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sound.eti.pg.gda.pl/~greg/dsp/05-Interpolacja.html" TargetMode="External"/><Relationship Id="rId21" Type="http://schemas.openxmlformats.org/officeDocument/2006/relationships/hyperlink" Target="https://ioisp.el.pcz.pl/images/instrukcje/air/Cyfrowe%20Przetwarzanie%20Sygnalow/Laboratoria/Cw.5%20Wieloczestotliwosciowe%20przetwarzanie%20sygnalow%20%E2%80%93%20interpolacja%20i%20decymacja.pdf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2020-01-08T17:07:22Z</dcterms:modified>
</cp:coreProperties>
</file>