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E4D8" w14:textId="474B5842" w:rsidR="00C50027" w:rsidRPr="00D8360E" w:rsidRDefault="00D8360E" w:rsidP="00D8360E">
      <w:pPr>
        <w:pStyle w:val="Tytu"/>
        <w:spacing w:after="0"/>
        <w:jc w:val="center"/>
        <w:rPr>
          <w:rFonts w:cstheme="majorHAnsi"/>
          <w:b/>
          <w:bCs/>
        </w:rPr>
      </w:pPr>
      <w:r w:rsidRPr="00D8360E">
        <w:rPr>
          <w:rFonts w:cstheme="majorHAnsi"/>
          <w:b/>
          <w:bCs/>
        </w:rPr>
        <w:t>Automatyczna kasa biletowa – model architektury w języku AADL</w:t>
      </w:r>
    </w:p>
    <w:p w14:paraId="0D545BB3" w14:textId="77777777" w:rsidR="00D8360E" w:rsidRPr="00D8360E" w:rsidRDefault="00D8360E" w:rsidP="00D8360E">
      <w:pPr>
        <w:rPr>
          <w:rFonts w:asciiTheme="majorHAnsi" w:hAnsiTheme="majorHAnsi" w:cstheme="majorHAnsi"/>
        </w:rPr>
      </w:pPr>
    </w:p>
    <w:p w14:paraId="5E136598" w14:textId="67E8D281" w:rsidR="00D8360E" w:rsidRPr="00D8360E" w:rsidRDefault="00D8360E" w:rsidP="00D836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  <w:t xml:space="preserve">2. </w:t>
      </w:r>
      <w:r w:rsidRPr="00D8360E"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  <w:t>Opis modelowanego systemu</w:t>
      </w:r>
    </w:p>
    <w:p w14:paraId="41351D4D" w14:textId="77777777" w:rsidR="00EB415B" w:rsidRPr="00EB415B" w:rsidRDefault="00EB415B" w:rsidP="00EB41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2.1. Opis ogólny</w:t>
      </w:r>
    </w:p>
    <w:p w14:paraId="2DB1F3DB" w14:textId="77777777" w:rsidR="00EB415B" w:rsidRPr="00EB415B" w:rsidRDefault="00EB415B" w:rsidP="00EB41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Model architektury AADL przedstawia uproszczoną automatykę stacjonarnej kasy biletowej, składającą się z czterech podstawowych komponentów:</w:t>
      </w:r>
    </w:p>
    <w:p w14:paraId="1EE4ED14" w14:textId="77777777" w:rsidR="00EB415B" w:rsidRPr="00EB415B" w:rsidRDefault="00EB415B" w:rsidP="00EB4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User_Interface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ui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– interfejs użytkownika z panelem dotykowym do wyboru i potwierdzania parametrów biletu oraz do wyświetlania komunikatów.</w:t>
      </w:r>
    </w:p>
    <w:p w14:paraId="4F67EDE8" w14:textId="77777777" w:rsidR="00EB415B" w:rsidRPr="00EB415B" w:rsidRDefault="00EB415B" w:rsidP="00EB4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Ticket_Processor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tp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– jednostka przetwarzająca, która odbiera żądania z interfejsu, zarządza logiką transakcji i steruje modułami płatności oraz drukarki.</w:t>
      </w:r>
    </w:p>
    <w:p w14:paraId="611ECEB9" w14:textId="77777777" w:rsidR="00EB415B" w:rsidRPr="00EB415B" w:rsidRDefault="00EB415B" w:rsidP="00EB4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Payment_Unit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pay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– urządzenie odpowiedzialne za inicjację i weryfikację operacji kartą płatniczą.</w:t>
      </w:r>
    </w:p>
    <w:p w14:paraId="75ED6931" w14:textId="77777777" w:rsidR="00EB415B" w:rsidRPr="00EB415B" w:rsidRDefault="00EB415B" w:rsidP="00EB4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Printer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prt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– urządzenie drukujące papierowy bilet.</w:t>
      </w:r>
    </w:p>
    <w:p w14:paraId="2FE982C6" w14:textId="77777777" w:rsidR="00EB415B" w:rsidRPr="00EB415B" w:rsidRDefault="00EB415B" w:rsidP="00EB41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Komponenty są połączone portami zdarzeń i danych w topologii „gwiazda”: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ui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→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tp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→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pay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→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tp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→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→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tp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. Model uwzględnia podstawowe przepływy zdarzeń („wybór biletu”, „polecenie płatności”, „status płatności”, „polecenie druku”, „status druku”) i stanowi bazę do dalszej analizy opóźnień (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latency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) oraz budżetu zasobów (CPU, pamięć, magistrala).</w:t>
      </w:r>
    </w:p>
    <w:p w14:paraId="2C4AB714" w14:textId="77777777" w:rsidR="00EB415B" w:rsidRPr="00EB415B" w:rsidRDefault="00EB415B" w:rsidP="00EB41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2.2. Opis z perspektywy użytkownika</w:t>
      </w:r>
    </w:p>
    <w:p w14:paraId="495E493D" w14:textId="77777777" w:rsidR="00EB415B" w:rsidRPr="00EB415B" w:rsidRDefault="00EB415B" w:rsidP="00EB4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Wybór biletu</w:t>
      </w:r>
    </w:p>
    <w:p w14:paraId="412C943C" w14:textId="77777777" w:rsidR="00EB415B" w:rsidRPr="00EB415B" w:rsidRDefault="00EB415B" w:rsidP="00EB41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Użytkownik na panelu dotykowym wybiera trasę i typ biletu. Interfejs wysyła sygnał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sel_out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do procesora.</w:t>
      </w:r>
    </w:p>
    <w:p w14:paraId="663F8AED" w14:textId="77777777" w:rsidR="00EB415B" w:rsidRPr="00EB415B" w:rsidRDefault="00EB415B" w:rsidP="00EB4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Płatność</w:t>
      </w:r>
    </w:p>
    <w:p w14:paraId="2EC18ABA" w14:textId="77777777" w:rsidR="00EB415B" w:rsidRPr="00EB415B" w:rsidRDefault="00EB415B" w:rsidP="00EB41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Procesor, po otrzymaniu żądania, wysyła komendę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pay_cmd_out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do modułu kart (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pay_cmd_in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).</w:t>
      </w:r>
    </w:p>
    <w:p w14:paraId="51F3D93C" w14:textId="77777777" w:rsidR="00EB415B" w:rsidRPr="00EB415B" w:rsidRDefault="00EB415B" w:rsidP="00EB41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Po autoryzacji karta zwraca sygnał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pay_stat_out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, który trafia do procesora jako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pay_stat_in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.</w:t>
      </w:r>
    </w:p>
    <w:p w14:paraId="12E1C092" w14:textId="77777777" w:rsidR="00EB415B" w:rsidRPr="00EB415B" w:rsidRDefault="00EB415B" w:rsidP="00EB4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Drukowanie</w:t>
      </w:r>
    </w:p>
    <w:p w14:paraId="79A5587C" w14:textId="77777777" w:rsidR="00EB415B" w:rsidRPr="00EB415B" w:rsidRDefault="00EB415B" w:rsidP="00EB41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Jeżeli płatność zakończy się sukcesem, procesor wysyła sygnał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prt_cmd_out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do drukarki (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prt_cmd_in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).</w:t>
      </w:r>
    </w:p>
    <w:p w14:paraId="574076C5" w14:textId="77777777" w:rsidR="00EB415B" w:rsidRPr="00EB415B" w:rsidRDefault="00EB415B" w:rsidP="00EB41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Drukarka, po wydaniu biletu, zgłasza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prt_stat_out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powrotnie do procesora (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prt_stat_in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).</w:t>
      </w:r>
    </w:p>
    <w:p w14:paraId="5F1948CB" w14:textId="77777777" w:rsidR="00EB415B" w:rsidRPr="00EB415B" w:rsidRDefault="00EB415B" w:rsidP="00EB4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Obsługa błędów</w:t>
      </w:r>
    </w:p>
    <w:p w14:paraId="680A7CCB" w14:textId="77777777" w:rsidR="00EB415B" w:rsidRPr="00EB415B" w:rsidRDefault="00EB415B" w:rsidP="00EB41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W przypadku odrzucenia karty lub braku papieru w drukarce, procesor generuje odpowiedni komunikat zwrotny przez port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msg_in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i wyświetla go w interfejsie.</w:t>
      </w:r>
    </w:p>
    <w:p w14:paraId="75626AE8" w14:textId="77777777" w:rsidR="00EB415B" w:rsidRPr="00EB415B" w:rsidRDefault="00EB415B" w:rsidP="00EB41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Cały cykl trwa od momentu wyboru biletu do wydruku i sygnalizacji zakończenia operacji.</w:t>
      </w:r>
    </w:p>
    <w:p w14:paraId="267436B6" w14:textId="77777777" w:rsidR="00D8360E" w:rsidRPr="00D8360E" w:rsidRDefault="00D8360E" w:rsidP="00D83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2F7EEB19" w14:textId="2FE8D458" w:rsidR="00D8360E" w:rsidRPr="00D8360E" w:rsidRDefault="00D8360E" w:rsidP="00D836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pl-PL"/>
          <w14:ligatures w14:val="none"/>
        </w:rPr>
      </w:pPr>
      <w:r w:rsidRPr="00D8360E">
        <w:rPr>
          <w:rFonts w:eastAsia="Times New Roman" w:cstheme="minorHAnsi"/>
          <w:b/>
          <w:bCs/>
          <w:kern w:val="0"/>
          <w:sz w:val="28"/>
          <w:szCs w:val="28"/>
          <w:lang w:eastAsia="pl-PL"/>
          <w14:ligatures w14:val="none"/>
        </w:rPr>
        <w:t>3. Spis komponentów AADL z komentarzem</w:t>
      </w:r>
    </w:p>
    <w:tbl>
      <w:tblPr>
        <w:tblW w:w="101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802"/>
        <w:gridCol w:w="4440"/>
        <w:gridCol w:w="3092"/>
      </w:tblGrid>
      <w:tr w:rsidR="00EB415B" w:rsidRPr="00EB415B" w14:paraId="0D94F25F" w14:textId="77777777" w:rsidTr="00EB415B">
        <w:trPr>
          <w:trHeight w:val="3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3A211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B415B">
              <w:rPr>
                <w:rFonts w:cstheme="minorHAnsi"/>
                <w:b/>
                <w:bCs/>
                <w:sz w:val="24"/>
                <w:szCs w:val="24"/>
              </w:rPr>
              <w:t>Komponent</w:t>
            </w:r>
          </w:p>
        </w:tc>
        <w:tc>
          <w:tcPr>
            <w:tcW w:w="0" w:type="auto"/>
            <w:vAlign w:val="center"/>
            <w:hideMark/>
          </w:tcPr>
          <w:p w14:paraId="190D427D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B415B">
              <w:rPr>
                <w:rFonts w:cstheme="minorHAnsi"/>
                <w:b/>
                <w:bCs/>
                <w:sz w:val="24"/>
                <w:szCs w:val="24"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2CBC86DC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B415B">
              <w:rPr>
                <w:rFonts w:cstheme="minorHAnsi"/>
                <w:b/>
                <w:bCs/>
                <w:sz w:val="24"/>
                <w:szCs w:val="24"/>
              </w:rPr>
              <w:t>Interfejs (porty)</w:t>
            </w:r>
          </w:p>
        </w:tc>
        <w:tc>
          <w:tcPr>
            <w:tcW w:w="0" w:type="auto"/>
            <w:vAlign w:val="center"/>
            <w:hideMark/>
          </w:tcPr>
          <w:p w14:paraId="578E6A68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B415B">
              <w:rPr>
                <w:rFonts w:cstheme="minorHAnsi"/>
                <w:b/>
                <w:bCs/>
                <w:sz w:val="24"/>
                <w:szCs w:val="24"/>
              </w:rPr>
              <w:t>Opis działania</w:t>
            </w:r>
          </w:p>
        </w:tc>
      </w:tr>
      <w:tr w:rsidR="00EB415B" w:rsidRPr="00EB415B" w14:paraId="3EC10645" w14:textId="77777777" w:rsidTr="00EB415B">
        <w:trPr>
          <w:trHeight w:val="1590"/>
          <w:tblCellSpacing w:w="15" w:type="dxa"/>
        </w:trPr>
        <w:tc>
          <w:tcPr>
            <w:tcW w:w="0" w:type="auto"/>
            <w:vAlign w:val="center"/>
            <w:hideMark/>
          </w:tcPr>
          <w:p w14:paraId="2622F124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ui</w:t>
            </w:r>
            <w:proofErr w:type="spellEnd"/>
            <w:r w:rsidRPr="00EB415B">
              <w:rPr>
                <w:rFonts w:cstheme="minorHAnsi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User_Interface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9C89F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31E24DBC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sel_out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out event data port – wysyła sygnał wybranego biletu-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msg_in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in event data port – odbiera komunikaty zwrotne</w:t>
            </w:r>
          </w:p>
        </w:tc>
        <w:tc>
          <w:tcPr>
            <w:tcW w:w="0" w:type="auto"/>
            <w:vAlign w:val="center"/>
            <w:hideMark/>
          </w:tcPr>
          <w:p w14:paraId="51CCF432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>Ekran dotykowy wraz z logiką prezentowania dostępnych opcji i wyświetlania komunikatów o stanie systemu</w:t>
            </w:r>
          </w:p>
        </w:tc>
      </w:tr>
      <w:tr w:rsidR="00EB415B" w:rsidRPr="00EB415B" w14:paraId="777DCC1C" w14:textId="77777777" w:rsidTr="00EB415B">
        <w:trPr>
          <w:trHeight w:val="2865"/>
          <w:tblCellSpacing w:w="15" w:type="dxa"/>
        </w:trPr>
        <w:tc>
          <w:tcPr>
            <w:tcW w:w="0" w:type="auto"/>
            <w:vAlign w:val="center"/>
            <w:hideMark/>
          </w:tcPr>
          <w:p w14:paraId="0E1A5252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tp</w:t>
            </w:r>
            <w:proofErr w:type="spellEnd"/>
            <w:r w:rsidRPr="00EB415B">
              <w:rPr>
                <w:rFonts w:cstheme="minorHAnsi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Ticket_Processor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4D1AF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B415B">
              <w:rPr>
                <w:rFonts w:cstheme="minorHAnsi"/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CDB66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ui_req_in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in event data port – odbiera wybór z interfejsu użytkownika-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pay_cmd_out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out event data port – inicjuje płatność-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pay_stat_in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in event data port – odbiera status płatności-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prt_cmd_out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out event data port – inicjuje druk-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prt_stat_in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in event data port – odbiera status druku</w:t>
            </w:r>
          </w:p>
        </w:tc>
        <w:tc>
          <w:tcPr>
            <w:tcW w:w="0" w:type="auto"/>
            <w:vAlign w:val="center"/>
            <w:hideMark/>
          </w:tcPr>
          <w:p w14:paraId="25F9B412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>Centralny proces sterujący kolejnością operacji: przyjmuje żądania od UI, kolejno uruchamia moduły płatności i druku oraz przetwarza ich odpowiedzi</w:t>
            </w:r>
          </w:p>
        </w:tc>
      </w:tr>
      <w:tr w:rsidR="00EB415B" w:rsidRPr="00EB415B" w14:paraId="21AADC92" w14:textId="77777777" w:rsidTr="00EB415B">
        <w:trPr>
          <w:trHeight w:val="1603"/>
          <w:tblCellSpacing w:w="15" w:type="dxa"/>
        </w:trPr>
        <w:tc>
          <w:tcPr>
            <w:tcW w:w="0" w:type="auto"/>
            <w:vAlign w:val="center"/>
            <w:hideMark/>
          </w:tcPr>
          <w:p w14:paraId="300C4981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pay</w:t>
            </w:r>
            <w:proofErr w:type="spellEnd"/>
            <w:r w:rsidRPr="00EB415B">
              <w:rPr>
                <w:rFonts w:cstheme="minorHAnsi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Payment_Unit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CB31A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B415B">
              <w:rPr>
                <w:rFonts w:cstheme="minorHAnsi"/>
                <w:sz w:val="24"/>
                <w:szCs w:val="24"/>
              </w:rPr>
              <w:t>device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FD318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pay_cmd_in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in event data port – odbiera polecenie autoryzacji płatności-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pay_stat_out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out event data port – wysyła wynik autoryzacji</w:t>
            </w:r>
          </w:p>
        </w:tc>
        <w:tc>
          <w:tcPr>
            <w:tcW w:w="0" w:type="auto"/>
            <w:vAlign w:val="center"/>
            <w:hideMark/>
          </w:tcPr>
          <w:p w14:paraId="02F23A15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>Czytnik kart płatniczych, odpowiadający za komunikację z systemem bankowym i raportowanie wyniku</w:t>
            </w:r>
          </w:p>
        </w:tc>
      </w:tr>
      <w:tr w:rsidR="00EB415B" w:rsidRPr="00EB415B" w14:paraId="4B9EEB66" w14:textId="77777777" w:rsidTr="00EB415B">
        <w:trPr>
          <w:trHeight w:val="1590"/>
          <w:tblCellSpacing w:w="15" w:type="dxa"/>
        </w:trPr>
        <w:tc>
          <w:tcPr>
            <w:tcW w:w="0" w:type="auto"/>
            <w:vAlign w:val="center"/>
            <w:hideMark/>
          </w:tcPr>
          <w:p w14:paraId="32DC9593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prt</w:t>
            </w:r>
            <w:proofErr w:type="spellEnd"/>
            <w:r w:rsidRPr="00EB415B">
              <w:rPr>
                <w:rFonts w:cstheme="minorHAnsi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Printer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2EC49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B415B">
              <w:rPr>
                <w:rFonts w:cstheme="minorHAnsi"/>
                <w:sz w:val="24"/>
                <w:szCs w:val="24"/>
              </w:rPr>
              <w:t>device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F9C17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prt_cmd_in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in event data port – odbiera polecenie wydruku biletu- </w:t>
            </w: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prt_stat_out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: out event data port – wysyła status wydruku</w:t>
            </w:r>
          </w:p>
        </w:tc>
        <w:tc>
          <w:tcPr>
            <w:tcW w:w="0" w:type="auto"/>
            <w:vAlign w:val="center"/>
            <w:hideMark/>
          </w:tcPr>
          <w:p w14:paraId="12E3E398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>Drukarka termiczna generująca papierowy bilet oraz raportująca zakończenie lub błąd operacji druku</w:t>
            </w:r>
          </w:p>
        </w:tc>
      </w:tr>
      <w:tr w:rsidR="00EB415B" w:rsidRPr="00EB415B" w14:paraId="506E7ABA" w14:textId="77777777" w:rsidTr="00EB415B">
        <w:trPr>
          <w:trHeight w:val="1590"/>
          <w:tblCellSpacing w:w="15" w:type="dxa"/>
        </w:trPr>
        <w:tc>
          <w:tcPr>
            <w:tcW w:w="0" w:type="auto"/>
            <w:vAlign w:val="center"/>
            <w:hideMark/>
          </w:tcPr>
          <w:p w14:paraId="2AB99633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B415B">
              <w:rPr>
                <w:rFonts w:cstheme="minorHAnsi"/>
                <w:b/>
                <w:bCs/>
                <w:sz w:val="24"/>
                <w:szCs w:val="24"/>
              </w:rPr>
              <w:t>Ticket_Machine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3FCD1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75C6B30B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>– bez własnych portów –</w:t>
            </w:r>
          </w:p>
        </w:tc>
        <w:tc>
          <w:tcPr>
            <w:tcW w:w="0" w:type="auto"/>
            <w:vAlign w:val="center"/>
            <w:hideMark/>
          </w:tcPr>
          <w:p w14:paraId="62CF9405" w14:textId="77777777" w:rsidR="00EB415B" w:rsidRPr="00EB415B" w:rsidRDefault="00EB415B" w:rsidP="00EB415B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EB415B">
              <w:rPr>
                <w:rFonts w:cstheme="minorHAnsi"/>
                <w:sz w:val="24"/>
                <w:szCs w:val="24"/>
              </w:rPr>
              <w:t xml:space="preserve">System nadrzędny zawierający wszystkie </w:t>
            </w:r>
            <w:proofErr w:type="spellStart"/>
            <w:r w:rsidRPr="00EB415B">
              <w:rPr>
                <w:rFonts w:cstheme="minorHAnsi"/>
                <w:sz w:val="24"/>
                <w:szCs w:val="24"/>
              </w:rPr>
              <w:t>subkomponenty</w:t>
            </w:r>
            <w:proofErr w:type="spellEnd"/>
            <w:r w:rsidRPr="00EB415B">
              <w:rPr>
                <w:rFonts w:cstheme="minorHAnsi"/>
                <w:sz w:val="24"/>
                <w:szCs w:val="24"/>
              </w:rPr>
              <w:t xml:space="preserve"> i definiujący ich wzajemne połączenia</w:t>
            </w:r>
          </w:p>
        </w:tc>
      </w:tr>
    </w:tbl>
    <w:p w14:paraId="125B3B32" w14:textId="77777777" w:rsidR="00EB415B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8C97292" w14:textId="77777777" w:rsidR="00EB415B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7C0A39EA" w14:textId="77777777" w:rsidR="00EB415B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15AE3179" w14:textId="77777777" w:rsidR="00EB415B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4544EF8C" w14:textId="2F5CC995" w:rsidR="00D8360E" w:rsidRDefault="00D8360E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D8360E">
        <w:rPr>
          <w:rFonts w:cstheme="minorHAnsi"/>
          <w:sz w:val="28"/>
          <w:szCs w:val="28"/>
        </w:rPr>
        <w:lastRenderedPageBreak/>
        <w:t>4. Model – rysunek</w:t>
      </w:r>
    </w:p>
    <w:p w14:paraId="2A89852A" w14:textId="6186F068" w:rsidR="00231ABE" w:rsidRDefault="00B00DE6" w:rsidP="00231ABE">
      <w:pPr>
        <w:keepNext/>
        <w:spacing w:before="100" w:beforeAutospacing="1" w:after="100" w:afterAutospacing="1" w:line="240" w:lineRule="auto"/>
      </w:pPr>
      <w:r w:rsidRPr="00B00DE6">
        <w:rPr>
          <w:noProof/>
        </w:rPr>
        <w:drawing>
          <wp:inline distT="0" distB="0" distL="0" distR="0" wp14:anchorId="10C1BE7E" wp14:editId="5AB95E9C">
            <wp:extent cx="5760720" cy="2613025"/>
            <wp:effectExtent l="0" t="0" r="0" b="0"/>
            <wp:docPr id="668995560" name="Obraz 1" descr="Obraz zawierający tekst, diagram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95560" name="Obraz 1" descr="Obraz zawierający tekst, diagram, zrzut ekranu, lini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4C08" w14:textId="62CFABB6" w:rsidR="00D8360E" w:rsidRDefault="00231ABE" w:rsidP="00231ABE">
      <w:pPr>
        <w:pStyle w:val="Legenda"/>
      </w:pPr>
      <w:r>
        <w:t xml:space="preserve">Rys. 1. Diagram instancji </w:t>
      </w:r>
      <w:proofErr w:type="spellStart"/>
      <w:r w:rsidR="005E1C37" w:rsidRPr="005E1C37">
        <w:t>Ticket</w:t>
      </w:r>
      <w:proofErr w:type="spellEnd"/>
      <w:r w:rsidR="005E1C37" w:rsidRPr="005E1C37">
        <w:t xml:space="preserve"> Machine</w:t>
      </w:r>
    </w:p>
    <w:p w14:paraId="38C363C8" w14:textId="77777777" w:rsidR="00EB415B" w:rsidRPr="00EB415B" w:rsidRDefault="00EB415B" w:rsidP="00EB415B"/>
    <w:p w14:paraId="1F283D12" w14:textId="77777777" w:rsidR="00491A3A" w:rsidRDefault="005E1C37" w:rsidP="00491A3A">
      <w:pPr>
        <w:keepNext/>
      </w:pPr>
      <w:r w:rsidRPr="005E1C37">
        <w:rPr>
          <w:noProof/>
        </w:rPr>
        <w:drawing>
          <wp:inline distT="0" distB="0" distL="0" distR="0" wp14:anchorId="23CCF410" wp14:editId="5B3018BC">
            <wp:extent cx="5760720" cy="2360930"/>
            <wp:effectExtent l="0" t="0" r="0" b="1270"/>
            <wp:docPr id="2120001580" name="Obraz 1" descr="Obraz zawierający zrzut ekranu, komputer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01580" name="Obraz 1" descr="Obraz zawierający zrzut ekranu, komputer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9C67" w14:textId="7DD8E05C" w:rsidR="005E1C37" w:rsidRPr="005E1C37" w:rsidRDefault="00491A3A" w:rsidP="00491A3A">
      <w:pPr>
        <w:pStyle w:val="Legenda"/>
      </w:pPr>
      <w:r>
        <w:t xml:space="preserve">Rys. 2. Raport spójności portów – 0 </w:t>
      </w:r>
      <w:proofErr w:type="spellStart"/>
      <w:r>
        <w:t>niez</w:t>
      </w:r>
      <w:proofErr w:type="spellEnd"/>
      <w:r>
        <w:t xml:space="preserve"> </w:t>
      </w:r>
      <w:r>
        <w:fldChar w:fldCharType="begin"/>
      </w:r>
      <w:r>
        <w:instrText xml:space="preserve"> SEQ Rys._2._Raport_spójności_portów_–_0_niez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0EF212" w14:textId="77777777" w:rsidR="00231ABE" w:rsidRDefault="00231ABE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007CDFCA" w14:textId="77777777" w:rsidR="00EB415B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50787F60" w14:textId="77777777" w:rsidR="00EB415B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6647EAA6" w14:textId="77777777" w:rsidR="00EB415B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0F509576" w14:textId="77777777" w:rsidR="00EB415B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25072EE3" w14:textId="77777777" w:rsidR="00EB415B" w:rsidRPr="00D8360E" w:rsidRDefault="00EB415B" w:rsidP="00D8360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64454010" w14:textId="3158D09E" w:rsidR="00D8360E" w:rsidRPr="00EB415B" w:rsidRDefault="00D8360E" w:rsidP="00EB415B">
      <w:pPr>
        <w:pStyle w:val="Akapitzlist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8"/>
          <w:szCs w:val="28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8"/>
          <w:szCs w:val="28"/>
          <w:lang w:eastAsia="pl-PL"/>
          <w14:ligatures w14:val="none"/>
        </w:rPr>
        <w:lastRenderedPageBreak/>
        <w:t>Proponowane metody analizy modelu w OSATE i wyniki</w:t>
      </w:r>
    </w:p>
    <w:p w14:paraId="21FE423D" w14:textId="77777777" w:rsidR="00EB415B" w:rsidRPr="00EB415B" w:rsidRDefault="00EB415B" w:rsidP="00EB3EB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Check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Model (sprawdzanie spójności składniowej)</w:t>
      </w:r>
    </w:p>
    <w:p w14:paraId="323FE9B0" w14:textId="77777777" w:rsidR="00EB415B" w:rsidRPr="00EB415B" w:rsidRDefault="00EB415B" w:rsidP="00EB415B">
      <w:pPr>
        <w:pStyle w:val="Akapitzlist"/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Wbudowana w OSATE weryfikacja poprawności AADL (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Xtext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Check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Semantic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Checks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).</w:t>
      </w:r>
    </w:p>
    <w:p w14:paraId="58F4E25F" w14:textId="77777777" w:rsidR="00EB415B" w:rsidRPr="00EB415B" w:rsidRDefault="00EB415B" w:rsidP="00EB415B">
      <w:pPr>
        <w:pStyle w:val="Akapitzlist"/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Wynik: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„No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problems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found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” – brak błędów składniowych, wszystkie referencje do typów i portów rozwiązane poprawnie.</w:t>
      </w:r>
    </w:p>
    <w:p w14:paraId="459D43C2" w14:textId="77777777" w:rsidR="00EB415B" w:rsidRPr="00EB3EBC" w:rsidRDefault="00EB415B" w:rsidP="00EB3EB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EB3EBC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Flow</w:t>
      </w:r>
      <w:proofErr w:type="spellEnd"/>
      <w:r w:rsidRPr="00EB3EBC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B3EBC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Consistency</w:t>
      </w:r>
      <w:proofErr w:type="spellEnd"/>
      <w:r w:rsidRPr="00EB3EBC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Analysis</w:t>
      </w:r>
    </w:p>
    <w:p w14:paraId="3D3D3CDF" w14:textId="77777777" w:rsidR="00EB415B" w:rsidRPr="00EB415B" w:rsidRDefault="00EB415B" w:rsidP="00EB415B">
      <w:pPr>
        <w:pStyle w:val="Akapitzlist"/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Sprawdzenie zgodności definicji przepływów danych (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FlowSpecification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) i ich odwzorowania na rzeczywiste połączenia portów między komponentami.</w:t>
      </w:r>
    </w:p>
    <w:p w14:paraId="71551738" w14:textId="77777777" w:rsidR="00EB415B" w:rsidRPr="00EB415B" w:rsidRDefault="00EB415B" w:rsidP="00EB415B">
      <w:pPr>
        <w:pStyle w:val="Akapitzlist"/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Wynik: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Brak cyklicznych zależności ani niespójności w przepływach; każdy zadeklarowany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flow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ma odpowiadające mu połączenie c1…c5.</w:t>
      </w:r>
    </w:p>
    <w:p w14:paraId="6868A1DF" w14:textId="77777777" w:rsidR="00EB415B" w:rsidRPr="00EB415B" w:rsidRDefault="00EB415B" w:rsidP="00EB3EB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Port Connection </w:t>
      </w: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Consistency</w:t>
      </w:r>
      <w:proofErr w:type="spellEnd"/>
    </w:p>
    <w:p w14:paraId="1116E2D3" w14:textId="77777777" w:rsidR="00EB415B" w:rsidRPr="00EB415B" w:rsidRDefault="00EB415B" w:rsidP="00EB415B">
      <w:pPr>
        <w:pStyle w:val="Akapitzlist"/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Weryfikacja, czy kierunki portów (in/out) są zgodne z kierunkiem połączeń oraz czy typy portów są kompatybilne.</w:t>
      </w:r>
    </w:p>
    <w:p w14:paraId="360860F7" w14:textId="77777777" w:rsidR="00EB415B" w:rsidRPr="00EB415B" w:rsidRDefault="00EB415B" w:rsidP="00EB415B">
      <w:pPr>
        <w:pStyle w:val="Akapitzlist"/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Wynik: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Wszystkie połączenia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ui→tp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tp→pay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pay→tp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tp→prt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prt→tp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są poprawne – brak ostrzeżeń.</w:t>
      </w:r>
    </w:p>
    <w:p w14:paraId="7A7CB2ED" w14:textId="77777777" w:rsidR="00EB415B" w:rsidRPr="00EB415B" w:rsidRDefault="00EB415B" w:rsidP="00EB3EB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Latency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Analysis (analiza opóźnień)</w:t>
      </w:r>
    </w:p>
    <w:p w14:paraId="1CE92E14" w14:textId="77777777" w:rsidR="00EB415B" w:rsidRPr="00EB415B" w:rsidRDefault="00EB415B" w:rsidP="00EB415B">
      <w:pPr>
        <w:pStyle w:val="Akapitzlist"/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Przy użyciu wtyczki Cheddar lub wbudowanych w OSATE narzędzi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timingowych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można przydzielić czasy wykonania poszczególnych komponentów i obliczyć maksymalne opóźnienie od wejścia do wyjścia.</w:t>
      </w:r>
    </w:p>
    <w:p w14:paraId="38997209" w14:textId="77777777" w:rsidR="00EB415B" w:rsidRPr="00EB415B" w:rsidRDefault="00EB415B" w:rsidP="00EB415B">
      <w:pPr>
        <w:pStyle w:val="Akapitzlist"/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Wynik (symulacja wstępna):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Bez realnych wartości czasów aktywacji i priorytetów wszystkie komponenty traktowane są jako natychmiastowe, więc opóźnienie wynosi 0 ms. Po dodaniu właściwości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Compute_Execution_Time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i harmonogramu RR--FIFO (np.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WiPoc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) uzyskamy rzeczywiste wartości.</w:t>
      </w:r>
    </w:p>
    <w:p w14:paraId="7118ED58" w14:textId="77777777" w:rsidR="00EB415B" w:rsidRDefault="00EB415B" w:rsidP="00EB3EB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71B882A8" w14:textId="01067DE8" w:rsidR="00EB415B" w:rsidRPr="00EB415B" w:rsidRDefault="00EB415B" w:rsidP="00EB3EB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lastRenderedPageBreak/>
        <w:t>Resource Budget Analysis (analiza obciążenia zasobów)</w:t>
      </w:r>
    </w:p>
    <w:p w14:paraId="4E795A7F" w14:textId="77777777" w:rsidR="00EB415B" w:rsidRPr="00EB415B" w:rsidRDefault="00EB415B" w:rsidP="00EB415B">
      <w:pPr>
        <w:pStyle w:val="Akapitzlist"/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Ocena procentowego zużycia CPU i pamięci przez każdy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subkomponent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(współpraca z narzędziem Cheddar lub OSATE Budget).</w:t>
      </w:r>
    </w:p>
    <w:p w14:paraId="20919088" w14:textId="77777777" w:rsidR="00EB415B" w:rsidRPr="00EB415B" w:rsidRDefault="00EB415B" w:rsidP="00EB415B">
      <w:pPr>
        <w:pStyle w:val="Akapitzlist"/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Wynik (domyślne ustawienia bez obciążeń):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0 % użycia CPU i pamięci – model wymaga nadania właściwości zasobowych (m.in. WCET), aby uzyskać realistyczne wyniki.</w:t>
      </w:r>
    </w:p>
    <w:p w14:paraId="0B627572" w14:textId="77777777" w:rsidR="00EB415B" w:rsidRPr="00EB415B" w:rsidRDefault="00EB415B" w:rsidP="00EB3EB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Safety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/ Error </w:t>
      </w: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Propagation</w:t>
      </w:r>
      <w:proofErr w:type="spellEnd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Checks</w:t>
      </w:r>
      <w:proofErr w:type="spellEnd"/>
    </w:p>
    <w:p w14:paraId="5B404731" w14:textId="77777777" w:rsidR="00EB415B" w:rsidRPr="00EB415B" w:rsidRDefault="00EB415B" w:rsidP="00EB415B">
      <w:pPr>
        <w:pStyle w:val="Akapitzlist"/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(Opcjonalnie) analiza bezpieczeństwa przepływów błędów – czy sygnał błędu (np.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msg_in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z UI) trafia do wszystkich zainteresowanych komponentów i jak jest propagowany.</w:t>
      </w:r>
    </w:p>
    <w:p w14:paraId="4BF80628" w14:textId="77777777" w:rsidR="00EB415B" w:rsidRPr="00EB415B" w:rsidRDefault="00EB415B" w:rsidP="00EB415B">
      <w:pPr>
        <w:pStyle w:val="Akapitzlist"/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EB415B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Wynik:</w:t>
      </w:r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Przy braku formalnie zdefiniowanych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flow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dla sygnałów awarii nie wykonano tej analizy; można ją dołożyć, definiując dodatkowe porty „error” i </w:t>
      </w:r>
      <w:proofErr w:type="spellStart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flow</w:t>
      </w:r>
      <w:proofErr w:type="spellEnd"/>
      <w:r w:rsidRPr="00EB41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.</w:t>
      </w:r>
    </w:p>
    <w:p w14:paraId="14BE6CBA" w14:textId="77777777" w:rsidR="00D8360E" w:rsidRPr="00D8360E" w:rsidRDefault="00D8360E" w:rsidP="00D83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sectPr w:rsidR="00D8360E" w:rsidRPr="00D83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25"/>
    <w:multiLevelType w:val="multilevel"/>
    <w:tmpl w:val="34EE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6A6"/>
    <w:multiLevelType w:val="multilevel"/>
    <w:tmpl w:val="879A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F794F"/>
    <w:multiLevelType w:val="hybridMultilevel"/>
    <w:tmpl w:val="1C3C76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33ABE"/>
    <w:multiLevelType w:val="multilevel"/>
    <w:tmpl w:val="6132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61AB6"/>
    <w:multiLevelType w:val="multilevel"/>
    <w:tmpl w:val="6132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51D08"/>
    <w:multiLevelType w:val="multilevel"/>
    <w:tmpl w:val="D3E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06C1B"/>
    <w:multiLevelType w:val="multilevel"/>
    <w:tmpl w:val="6132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42748"/>
    <w:multiLevelType w:val="multilevel"/>
    <w:tmpl w:val="8078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17DCC"/>
    <w:multiLevelType w:val="multilevel"/>
    <w:tmpl w:val="976A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F2EFB"/>
    <w:multiLevelType w:val="multilevel"/>
    <w:tmpl w:val="D3E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90326"/>
    <w:multiLevelType w:val="hybridMultilevel"/>
    <w:tmpl w:val="C39E28E4"/>
    <w:lvl w:ilvl="0" w:tplc="4E929B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B7850"/>
    <w:multiLevelType w:val="multilevel"/>
    <w:tmpl w:val="6132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51C5B"/>
    <w:multiLevelType w:val="multilevel"/>
    <w:tmpl w:val="6132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055290">
    <w:abstractNumId w:val="10"/>
  </w:num>
  <w:num w:numId="2" w16cid:durableId="1001852992">
    <w:abstractNumId w:val="7"/>
  </w:num>
  <w:num w:numId="3" w16cid:durableId="398485322">
    <w:abstractNumId w:val="1"/>
  </w:num>
  <w:num w:numId="4" w16cid:durableId="181210463">
    <w:abstractNumId w:val="8"/>
  </w:num>
  <w:num w:numId="5" w16cid:durableId="101188850">
    <w:abstractNumId w:val="5"/>
  </w:num>
  <w:num w:numId="6" w16cid:durableId="869756514">
    <w:abstractNumId w:val="0"/>
  </w:num>
  <w:num w:numId="7" w16cid:durableId="1255625790">
    <w:abstractNumId w:val="2"/>
  </w:num>
  <w:num w:numId="8" w16cid:durableId="1309673394">
    <w:abstractNumId w:val="9"/>
  </w:num>
  <w:num w:numId="9" w16cid:durableId="1598708449">
    <w:abstractNumId w:val="4"/>
  </w:num>
  <w:num w:numId="10" w16cid:durableId="1993213421">
    <w:abstractNumId w:val="11"/>
  </w:num>
  <w:num w:numId="11" w16cid:durableId="1013266398">
    <w:abstractNumId w:val="12"/>
  </w:num>
  <w:num w:numId="12" w16cid:durableId="1062026692">
    <w:abstractNumId w:val="6"/>
  </w:num>
  <w:num w:numId="13" w16cid:durableId="252056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0E"/>
    <w:rsid w:val="00172E3B"/>
    <w:rsid w:val="0023151C"/>
    <w:rsid w:val="00231ABE"/>
    <w:rsid w:val="00283664"/>
    <w:rsid w:val="002E33EF"/>
    <w:rsid w:val="00363F21"/>
    <w:rsid w:val="00487341"/>
    <w:rsid w:val="00487789"/>
    <w:rsid w:val="00491A3A"/>
    <w:rsid w:val="005E1C37"/>
    <w:rsid w:val="00AC09B1"/>
    <w:rsid w:val="00AF41E1"/>
    <w:rsid w:val="00B00DE6"/>
    <w:rsid w:val="00C50027"/>
    <w:rsid w:val="00CD4D56"/>
    <w:rsid w:val="00D8360E"/>
    <w:rsid w:val="00D942DB"/>
    <w:rsid w:val="00EB3EBC"/>
    <w:rsid w:val="00EB415B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1E82"/>
  <w15:chartTrackingRefBased/>
  <w15:docId w15:val="{78424425-0956-41A6-92CB-50E9D4B8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3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3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3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83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360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360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360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360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360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360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360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360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360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3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360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360E"/>
    <w:rPr>
      <w:b/>
      <w:bCs/>
      <w:smallCaps/>
      <w:color w:val="2F5496" w:themeColor="accent1" w:themeShade="BF"/>
      <w:spacing w:val="5"/>
    </w:rPr>
  </w:style>
  <w:style w:type="character" w:styleId="HTML-kod">
    <w:name w:val="HTML Code"/>
    <w:basedOn w:val="Domylnaczcionkaakapitu"/>
    <w:uiPriority w:val="99"/>
    <w:semiHidden/>
    <w:unhideWhenUsed/>
    <w:rsid w:val="00D8360E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D8360E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31A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793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Lewandowski</dc:creator>
  <cp:keywords/>
  <dc:description/>
  <cp:lastModifiedBy>Piotr Lewandowski</cp:lastModifiedBy>
  <cp:revision>5</cp:revision>
  <dcterms:created xsi:type="dcterms:W3CDTF">2025-05-19T11:33:00Z</dcterms:created>
  <dcterms:modified xsi:type="dcterms:W3CDTF">2025-05-26T07:10:00Z</dcterms:modified>
</cp:coreProperties>
</file>