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D9" w:rsidRDefault="00ED1FD9" w:rsidP="00ED1FD9">
      <w:pPr>
        <w:pStyle w:val="Standard"/>
        <w:spacing w:line="480" w:lineRule="auto"/>
        <w:rPr>
          <w:rFonts w:ascii="Times New Roman" w:hAnsi="Times New Roman"/>
          <w:b/>
          <w:bCs/>
          <w:sz w:val="24"/>
          <w:szCs w:val="24"/>
        </w:rPr>
      </w:pPr>
      <w:bookmarkStart w:id="0" w:name="_GoBack"/>
      <w:bookmarkEnd w:id="0"/>
      <w:r>
        <w:rPr>
          <w:rFonts w:ascii="Times New Roman" w:hAnsi="Times New Roman"/>
          <w:b/>
          <w:bCs/>
          <w:sz w:val="24"/>
          <w:szCs w:val="24"/>
        </w:rPr>
        <w:t>Social Class Discussion</w:t>
      </w:r>
    </w:p>
    <w:p w:rsidR="00ED1FD9" w:rsidRDefault="00ED1FD9" w:rsidP="00ED1FD9">
      <w:pPr>
        <w:pStyle w:val="Standard"/>
        <w:spacing w:line="480" w:lineRule="auto"/>
      </w:pPr>
      <w:r>
        <w:rPr>
          <w:rFonts w:ascii="Times New Roman" w:hAnsi="Times New Roman"/>
          <w:sz w:val="24"/>
          <w:szCs w:val="24"/>
        </w:rPr>
        <w:t xml:space="preserve">In the proposed study, I combine theoretical approaches, especially bargaining and doing gender to explain the discrepancies in the division of the domestic labour and its change over time in Canada, using the ideas highlighted by Brines (1994) as a starting point. Brines (1994) focuses on one aspect of class, relative income, to analyze housework division. Here, I add another dimension, education, which I think is a better explaining factor of discrepancies in time spent on household tasks between women and men. The intersection of gender and class is long of great analytical interest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"Acker", "given" : "Joan", "non-dropping-particle" : "", "parse-names" : false, "suffix" : "" } ], "id" : "ITEM-1", "issued" : { "date-parts" : [ [ "1989" ] ] }, "publisher" : "Temple University Press", "publisher-place" : "Philadelphia", "title" : "Doing Comparable Worth: Gender, Class, and Pay Equity", "type" : "book" }, "uris" : [ "http://www.mendeley.com/documents/?uuid=e43c1b1c-70a5-4c57-8a3a-54cc3bd92fc2" ] } ], "mendeley" : { "formattedCitation" : "(Acker 1989)", "plainTextFormattedCitation" : "(Acker 1989)", "previouslyFormattedCitation" : "(Acker 1989)" }, "properties" : { "noteIndex" : 0 }, "schema" : "https://github.com/citation-style-language/schema/raw/master/csl-citation.json" }</w:instrText>
      </w:r>
      <w:r>
        <w:rPr>
          <w:rFonts w:ascii="Times New Roman" w:hAnsi="Times New Roman"/>
          <w:sz w:val="24"/>
          <w:szCs w:val="24"/>
        </w:rPr>
        <w:fldChar w:fldCharType="separate"/>
      </w:r>
      <w:r w:rsidRPr="002B2688">
        <w:rPr>
          <w:rFonts w:ascii="Times New Roman" w:hAnsi="Times New Roman"/>
          <w:noProof/>
          <w:sz w:val="24"/>
          <w:szCs w:val="24"/>
        </w:rPr>
        <w:t>(Acker 1989)</w:t>
      </w:r>
      <w:r>
        <w:rPr>
          <w:rFonts w:ascii="Times New Roman" w:hAnsi="Times New Roman"/>
          <w:sz w:val="24"/>
          <w:szCs w:val="24"/>
        </w:rPr>
        <w:fldChar w:fldCharType="end"/>
      </w:r>
      <w:r>
        <w:rPr>
          <w:rFonts w:ascii="Times New Roman" w:hAnsi="Times New Roman"/>
          <w:sz w:val="24"/>
          <w:szCs w:val="24"/>
        </w:rPr>
        <w:t xml:space="preserve">. Despite the recent fad of pronouncing the concept “class” dead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"Kingston", "given" : "Paul", "non-dropping-particle" : "", "parse-names" : false, "suffix" : "" } ], "id" : "ITEM-1", "issued" : { "date-parts" : [ [ "2000" ] ] }, "publisher" : "Standford University Press", "publisher-place" : "Standford University", "title" : "The Classless Society", "type" : "book" }, "uris" : [ "http://www.mendeley.com/documents/?uuid=9a6a8c88-4f24-41e7-973f-b2cbcbd3d0bf" ] } ], "mendeley" : { "formattedCitation" : "(Kingston 2000)", "plainTextFormattedCitation" : "(Kingston 2000)", "previouslyFormattedCitation" : "(Kingston 2000)" }, "properties" : { "noteIndex" : 0 }, "schema" : "https://github.com/citation-style-language/schema/raw/master/csl-citation.json" }</w:instrText>
      </w:r>
      <w:r>
        <w:rPr>
          <w:rFonts w:ascii="Times New Roman" w:hAnsi="Times New Roman"/>
          <w:sz w:val="24"/>
          <w:szCs w:val="24"/>
        </w:rPr>
        <w:fldChar w:fldCharType="separate"/>
      </w:r>
      <w:r w:rsidRPr="002B2688">
        <w:rPr>
          <w:rFonts w:ascii="Times New Roman" w:hAnsi="Times New Roman"/>
          <w:noProof/>
          <w:sz w:val="24"/>
          <w:szCs w:val="24"/>
        </w:rPr>
        <w:t>(Kingston 2000)</w:t>
      </w:r>
      <w:r>
        <w:rPr>
          <w:rFonts w:ascii="Times New Roman" w:hAnsi="Times New Roman"/>
          <w:sz w:val="24"/>
          <w:szCs w:val="24"/>
        </w:rPr>
        <w:fldChar w:fldCharType="end"/>
      </w:r>
      <w:r>
        <w:rPr>
          <w:rFonts w:ascii="Times New Roman" w:hAnsi="Times New Roman"/>
          <w:sz w:val="24"/>
          <w:szCs w:val="24"/>
        </w:rPr>
        <w:t xml:space="preserve">, with development and re-conceptualization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"Weeden", "given" : "Kim a", "non-dropping-particle" : "", "parse-names" : false, "suffix" : "" }, { "dropping-particle" : "", "family" : "Grusky", "given" : "David B", "non-dropping-particle" : "", "parse-names" : false, "suffix" : "" } ], "id" : "ITEM-1", "issue" : "1", "issued" : { "date-parts" : [ [ "2011" ] ] }, "page" : "141-212", "title" : "The Case for a New Class Map 1", "type" : "article-journal", "volume" : "111" }, "uris" : [ "http://www.mendeley.com/documents/?uuid=e844e5e2-1d2a-43ab-b7fd-5f054ed29fc7" ] }, { "id" : "ITEM-2", "itemData" : { "DOI" : "10.1177/0003122413491963", "ISSN" : "0003-1224", "abstract" : "Despite the burgeoning research on lifestyles, we have surprisingly little evidence to answer one of the literature's founding questions: Is the association between social class and lifestyles disappearing? I explore this inquiry with data from the past four decades. In analyzing the class-lifestyle association, I examine changes in the variability of lifestyles within and between social classes. Using data from the General Social Survey on informal social ties and formal membership ties to voluntary associations, I derive proxies for lifestyles and examine their relation to social class with latent class models. Results show that social classes' contemporary sociability patterns are substantively similar to traditional descriptions from empirical studies on analogous data from as early as the mid-twentieth century. The association between social classes and sociability patterns shows no sign of having weakened over the past four decades. In fact, recent trends of civic disengagement and social isolation in contemporary U.S. society, which these data corroborate, reinforce class differences in sociability.", "author" : [ { "dropping-particle" : "", "family" : "Petev", "given" : "I. D.", "non-dropping-particle" : "", "parse-names" : false, "suffix" : "" } ], "container-title" : "American Sociological Review", "id" : "ITEM-2", "issued" : { "date-parts" : [ [ "2013" ] ] }, "page" : "633-661", "title" : "The Association of Social Class and Lifestyles: Persistence in American Sociability, 1974 to 2010", "type" : "article-journal", "volume" : "78" }, "uris" : [ "http://www.mendeley.com/documents/?uuid=518404a4-4188-4ed0-8831-5f8f89e5fefa" ] } ], "mendeley" : { "formattedCitation" : "(Petev 2013; Weeden and Grusky 2011)", "plainTextFormattedCitation" : "(Petev 2013; Weeden and Grusky 2011)", "previouslyFormattedCitation" : "(Petev 2013; Weeden and Grusky 2011)" }, "properties" : { "noteIndex" : 0 }, "schema" : "https://github.com/citation-style-language/schema/raw/master/csl-citation.json" }</w:instrText>
      </w:r>
      <w:r>
        <w:rPr>
          <w:rFonts w:ascii="Times New Roman" w:hAnsi="Times New Roman"/>
          <w:sz w:val="24"/>
          <w:szCs w:val="24"/>
        </w:rPr>
        <w:fldChar w:fldCharType="separate"/>
      </w:r>
      <w:r w:rsidRPr="002B2688">
        <w:rPr>
          <w:rFonts w:ascii="Times New Roman" w:hAnsi="Times New Roman"/>
          <w:noProof/>
          <w:sz w:val="24"/>
          <w:szCs w:val="24"/>
        </w:rPr>
        <w:t>(Petev 2013; Weeden and Grusky 2011)</w:t>
      </w:r>
      <w:r>
        <w:rPr>
          <w:rFonts w:ascii="Times New Roman" w:hAnsi="Times New Roman"/>
          <w:sz w:val="24"/>
          <w:szCs w:val="24"/>
        </w:rPr>
        <w:fldChar w:fldCharType="end"/>
      </w:r>
      <w:r>
        <w:rPr>
          <w:rFonts w:ascii="Times New Roman" w:hAnsi="Times New Roman"/>
          <w:sz w:val="24"/>
          <w:szCs w:val="24"/>
        </w:rPr>
        <w:t xml:space="preserve"> class remains a relevant notion in the analysis of inequality. There are three main traditions in the conceptualization of class, which I refer to as Marxian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"Marx", "given" : "Karl", "non-dropping-particle" : "", "parse-names" : false, "suffix" : "" } ], "id" : "ITEM-1", "issued" : { "date-parts" : [ [ "1867" ] ] }, "publisher" : "Gateway", "publisher-place" : "New York", "title" : "Das Kapital", "type" : "book" }, "uris" : [ "http://www.mendeley.com/documents/?uuid=30be2d42-7621-4f97-bf3b-978a421fc8d9" ] } ], "mendeley" : { "formattedCitation" : "(Marx 1867)", "plainTextFormattedCitation" : "(Marx 1867)", "previouslyFormattedCitation" : "(Marx 1867)" }, "properties" : { "noteIndex" : 0 }, "schema" : "https://github.com/citation-style-language/schema/raw/master/csl-citation.json" }</w:instrText>
      </w:r>
      <w:r>
        <w:rPr>
          <w:rFonts w:ascii="Times New Roman" w:hAnsi="Times New Roman"/>
          <w:sz w:val="24"/>
          <w:szCs w:val="24"/>
        </w:rPr>
        <w:fldChar w:fldCharType="separate"/>
      </w:r>
      <w:r w:rsidRPr="00F40866">
        <w:rPr>
          <w:rFonts w:ascii="Times New Roman" w:hAnsi="Times New Roman"/>
          <w:noProof/>
          <w:sz w:val="24"/>
          <w:szCs w:val="24"/>
        </w:rPr>
        <w:t>(Marx 1867)</w:t>
      </w:r>
      <w:r>
        <w:rPr>
          <w:rFonts w:ascii="Times New Roman" w:hAnsi="Times New Roman"/>
          <w:sz w:val="24"/>
          <w:szCs w:val="24"/>
        </w:rPr>
        <w:fldChar w:fldCharType="end"/>
      </w:r>
      <w:r>
        <w:rPr>
          <w:rFonts w:ascii="Times New Roman" w:hAnsi="Times New Roman"/>
          <w:sz w:val="24"/>
          <w:szCs w:val="24"/>
        </w:rPr>
        <w:t xml:space="preserve">, Weberian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"Weber", "given" : "Max", "non-dropping-particle" : "", "parse-names" : false, "suffix" : "" } ], "editor" : [ { "dropping-particle" : "", "family" : "Roth", "given" : "Guenther", "non-dropping-particle" : "", "parse-names" : false, "suffix" : "" }, { "dropping-particle" : "", "family" : "Wittich", "given" : "Claus", "non-dropping-particle" : "", "parse-names" : false, "suffix" : "" } ], "id" : "ITEM-1", "issued" : { "date-parts" : [ [ "1978" ] ] }, "number-of-pages" : "1469", "publisher" : "University of California Press", "publisher-place" : "Berkeley, CA", "title" : "Economy and Society", "type" : "book" }, "uris" : [ "http://www.mendeley.com/documents/?uuid=70da3b2d-55b7-48df-b03c-e21e4c175c02" ] } ], "mendeley" : { "formattedCitation" : "(Weber 1978)", "plainTextFormattedCitation" : "(Weber 1978)", "previouslyFormattedCitation" : "(Weber 1978)" }, "properties" : { "noteIndex" : 0 }, "schema" : "https://github.com/citation-style-language/schema/raw/master/csl-citation.json" }</w:instrText>
      </w:r>
      <w:r>
        <w:rPr>
          <w:rFonts w:ascii="Times New Roman" w:hAnsi="Times New Roman"/>
          <w:sz w:val="24"/>
          <w:szCs w:val="24"/>
        </w:rPr>
        <w:fldChar w:fldCharType="separate"/>
      </w:r>
      <w:r w:rsidRPr="001F62DD">
        <w:rPr>
          <w:rFonts w:ascii="Times New Roman" w:hAnsi="Times New Roman"/>
          <w:noProof/>
          <w:sz w:val="24"/>
          <w:szCs w:val="24"/>
        </w:rPr>
        <w:t>(Weber 1978)</w:t>
      </w:r>
      <w:r>
        <w:rPr>
          <w:rFonts w:ascii="Times New Roman" w:hAnsi="Times New Roman"/>
          <w:sz w:val="24"/>
          <w:szCs w:val="24"/>
        </w:rPr>
        <w:fldChar w:fldCharType="end"/>
      </w:r>
      <w:r>
        <w:rPr>
          <w:rFonts w:ascii="Times New Roman" w:hAnsi="Times New Roman"/>
          <w:sz w:val="24"/>
          <w:szCs w:val="24"/>
        </w:rPr>
        <w:t xml:space="preserve">, and Bourdeusian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"Bourdieu", "given" : "Pierre", "non-dropping-particle" : "", "parse-names" : false, "suffix" : "" } ], "id" : "ITEM-1", "issued" : { "date-parts" : [ [ "1980" ] ] }, "publisher" : "Harvard University Press", "publisher-place" : "Cambridge, MA", "title" : "Distinction: A Social Critique of the Judgement of Taste", "type" : "book" }, "uris" : [ "http://www.mendeley.com/documents/?uuid=41991e76-22e9-4303-a342-b32ae6cd6c19" ] } ], "mendeley" : { "formattedCitation" : "(Bourdieu 1980)", "plainTextFormattedCitation" : "(Bourdieu 1980)", "previouslyFormattedCitation" : "(Bourdieu 1980)" }, "properties" : { "noteIndex" : 0 }, "schema" : "https://github.com/citation-style-language/schema/raw/master/csl-citation.json" }</w:instrText>
      </w:r>
      <w:r>
        <w:rPr>
          <w:rFonts w:ascii="Times New Roman" w:hAnsi="Times New Roman"/>
          <w:sz w:val="24"/>
          <w:szCs w:val="24"/>
        </w:rPr>
        <w:fldChar w:fldCharType="separate"/>
      </w:r>
      <w:r w:rsidRPr="00F40866">
        <w:rPr>
          <w:rFonts w:ascii="Times New Roman" w:hAnsi="Times New Roman"/>
          <w:noProof/>
          <w:sz w:val="24"/>
          <w:szCs w:val="24"/>
        </w:rPr>
        <w:t>(Bourdieu 1980)</w:t>
      </w:r>
      <w:r>
        <w:rPr>
          <w:rFonts w:ascii="Times New Roman" w:hAnsi="Times New Roman"/>
          <w:sz w:val="24"/>
          <w:szCs w:val="24"/>
        </w:rPr>
        <w:fldChar w:fldCharType="end"/>
      </w:r>
      <w:r>
        <w:rPr>
          <w:rFonts w:ascii="Times New Roman" w:hAnsi="Times New Roman"/>
          <w:sz w:val="24"/>
          <w:szCs w:val="24"/>
        </w:rPr>
        <w:t>.</w:t>
      </w:r>
    </w:p>
    <w:p w:rsidR="00ED1FD9" w:rsidRDefault="00ED1FD9" w:rsidP="00ED1FD9">
      <w:pPr>
        <w:pStyle w:val="Textbody"/>
        <w:spacing w:after="0" w:line="480" w:lineRule="auto"/>
        <w:rPr>
          <w:rFonts w:ascii="Times New Roman" w:hAnsi="Times New Roman"/>
          <w:sz w:val="24"/>
          <w:szCs w:val="24"/>
        </w:rPr>
      </w:pPr>
      <w:r>
        <w:rPr>
          <w:rFonts w:ascii="Times New Roman" w:hAnsi="Times New Roman"/>
          <w:sz w:val="24"/>
          <w:szCs w:val="24"/>
        </w:rPr>
        <w:t xml:space="preserve">One of the earliest formulations of the idea of class belongs to Karl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"Marx", "given" : "Karl", "non-dropping-particle" : "", "parse-names" : false, "suffix" : "" } ], "id" : "ITEM-1", "issued" : { "date-parts" : [ [ "1867" ] ] }, "publisher" : "Gateway", "publisher-place" : "New York", "title" : "Das Kapital", "type" : "book" }, "uris" : [ "http://www.mendeley.com/documents/?uuid=30be2d42-7621-4f97-bf3b-978a421fc8d9" ] } ], "mendeley" : { "formattedCitation" : "(Marx 1867)", "manualFormatting" : "Marx (1867)", "plainTextFormattedCitation" : "(Marx 1867)", "previouslyFormattedCitation" : "(Marx 1867)" }, "properties" : { "noteIndex" : 0 }, "schema" : "https://github.com/citation-style-language/schema/raw/master/csl-citation.json" }</w:instrText>
      </w:r>
      <w:r>
        <w:rPr>
          <w:rFonts w:ascii="Times New Roman" w:hAnsi="Times New Roman"/>
          <w:sz w:val="24"/>
          <w:szCs w:val="24"/>
        </w:rPr>
        <w:fldChar w:fldCharType="separate"/>
      </w:r>
      <w:r w:rsidRPr="00F40866">
        <w:rPr>
          <w:rFonts w:ascii="Times New Roman" w:hAnsi="Times New Roman"/>
          <w:noProof/>
          <w:sz w:val="24"/>
          <w:szCs w:val="24"/>
        </w:rPr>
        <w:t xml:space="preserve">Marx </w:t>
      </w:r>
      <w:r>
        <w:rPr>
          <w:rFonts w:ascii="Times New Roman" w:hAnsi="Times New Roman"/>
          <w:noProof/>
          <w:sz w:val="24"/>
          <w:szCs w:val="24"/>
        </w:rPr>
        <w:t>(</w:t>
      </w:r>
      <w:r w:rsidRPr="00F40866">
        <w:rPr>
          <w:rFonts w:ascii="Times New Roman" w:hAnsi="Times New Roman"/>
          <w:noProof/>
          <w:sz w:val="24"/>
          <w:szCs w:val="24"/>
        </w:rPr>
        <w:t>1867)</w:t>
      </w:r>
      <w:r>
        <w:rPr>
          <w:rFonts w:ascii="Times New Roman" w:hAnsi="Times New Roman"/>
          <w:sz w:val="24"/>
          <w:szCs w:val="24"/>
        </w:rPr>
        <w:fldChar w:fldCharType="end"/>
      </w:r>
      <w:r>
        <w:rPr>
          <w:rFonts w:ascii="Times New Roman" w:hAnsi="Times New Roman"/>
          <w:sz w:val="24"/>
          <w:szCs w:val="24"/>
        </w:rPr>
        <w:t>. In his vision, classes were distinguished by their relations to the means of production. Consequently, Weber (1922) and Bourdieu (1980) extended this narrow notion of class. The ideas of the latter, though heavily borrowing from frameworks offered by predecessors, are more apt for the analysis of unpaid work and non-market class situations compared to Marx's (1867) and Weber's (1922), which rely more on the economic manifestations of class.</w:t>
      </w:r>
    </w:p>
    <w:p w:rsidR="00ED1FD9" w:rsidRDefault="00ED1FD9" w:rsidP="00ED1FD9">
      <w:pPr>
        <w:pStyle w:val="Textbody"/>
        <w:spacing w:after="0" w:line="480" w:lineRule="auto"/>
        <w:rPr>
          <w:rFonts w:ascii="Times New Roman" w:hAnsi="Times New Roman"/>
          <w:sz w:val="24"/>
          <w:szCs w:val="24"/>
        </w:rPr>
      </w:pPr>
      <w:r>
        <w:rPr>
          <w:rFonts w:ascii="Times New Roman" w:hAnsi="Times New Roman"/>
          <w:sz w:val="24"/>
          <w:szCs w:val="24"/>
        </w:rPr>
        <w:t xml:space="preserve">There are differences in how Weberian and Bourdieusian perspectives approach class. Neo-Weberian scholars focus on life-chances as the outcomes of class, while the Bourdieusian camp include broader definitions of class together with lifestyle and sentiments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"Bourdieu", "given" : "Pierre", "non-dropping-particle" : "", "parse-names" : false, "suffix" : "" } ], "id" : "ITEM-1", "issued" : { "date-parts" : [ [ "1980" ] ] }, "publisher" : "Harvard University Press", "publisher-place" : "Cambridge, MA", "title" : "Distinction: A Social Critique of the Judgement of Taste", "type" : "book" }, "uris" : [ "http://www.mendeley.com/documents/?uuid=41991e76-22e9-4303-a342-b32ae6cd6c19" ] }, { "id" : "ITEM-2", "itemData" : { "author" : [ { "dropping-particle" : "", "family" : "Thompson", "given" : "Edward P", "non-dropping-particle" : "", "parse-names" : false, "suffix" : "" } ], "id" : "ITEM-2", "issued" : { "date-parts" : [ [ "1963" ] ] }, "publisher" : "Gollancz", "publisher-place" : "London", "title" : "The Making of the English Working Class", "type" : "book" }, "uris" : [ "http://www.mendeley.com/documents/?uuid=939d3d55-496d-4eb1-bae8-d2ce4a5b2b8f" ] } ], "mendeley" : { "formattedCitation" : "(Bourdieu 1980; Thompson 1963)", "plainTextFormattedCitation" : "(Bourdieu 1980; Thompson 1963)", "previouslyFormattedCitation" : "(Bourdieu 1980; Thompson 1963)" }, "properties" : { "noteIndex" : 0 }, "schema" : "https://github.com/citation-style-language/schema/raw/master/csl-citation.json" }</w:instrText>
      </w:r>
      <w:r>
        <w:rPr>
          <w:rFonts w:ascii="Times New Roman" w:hAnsi="Times New Roman"/>
          <w:sz w:val="24"/>
          <w:szCs w:val="24"/>
        </w:rPr>
        <w:fldChar w:fldCharType="separate"/>
      </w:r>
      <w:r w:rsidRPr="00F40866">
        <w:rPr>
          <w:rFonts w:ascii="Times New Roman" w:hAnsi="Times New Roman"/>
          <w:noProof/>
          <w:sz w:val="24"/>
          <w:szCs w:val="24"/>
        </w:rPr>
        <w:t>(Bourdieu 1980; Thompson 1963)</w:t>
      </w:r>
      <w:r>
        <w:rPr>
          <w:rFonts w:ascii="Times New Roman" w:hAnsi="Times New Roman"/>
          <w:sz w:val="24"/>
          <w:szCs w:val="24"/>
        </w:rPr>
        <w:fldChar w:fldCharType="end"/>
      </w:r>
      <w:r>
        <w:rPr>
          <w:rFonts w:ascii="Times New Roman" w:hAnsi="Times New Roman"/>
          <w:sz w:val="24"/>
          <w:szCs w:val="24"/>
        </w:rPr>
        <w:t xml:space="preserve">. In this regard,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"Weeden", "given" : "Kim a", "non-dropping-particle" : "", "parse-names" : false, "suffix" : "" }, { "dropping-particle" : "", "family" : "Grusky", "given" : "David B", "non-dropping-particle" : "", "parse-names" : false, "suffix" : "" } ], "id" : "ITEM-1", "issue" : "1", "issued" : { "date-parts" : [ [ "2011" ] ] }, "page" : "141-212", "title" : "The Case for a New Class Map 1", "type" : "article-journal", "volume" : "111" }, "uris" : [ "http://www.mendeley.com/documents/?uuid=e844e5e2-1d2a-43ab-b7fd-5f054ed29fc7" ] } ], "mendeley" : { "formattedCitation" : "(Weeden and Grusky 2011)", "manualFormatting" : "Weeden and Grusky (2011)", "plainTextFormattedCitation" : "(Weeden and Grusky 2011)", "previouslyFormattedCitation" : "(Weeden and Grusky 2011)" }, "properties" : { "noteIndex" : 0 }, "schema" : "https://github.com/citation-style-language/schema/raw/master/csl-citation.json" }</w:instrText>
      </w:r>
      <w:r>
        <w:rPr>
          <w:rFonts w:ascii="Times New Roman" w:hAnsi="Times New Roman"/>
          <w:sz w:val="24"/>
          <w:szCs w:val="24"/>
        </w:rPr>
        <w:fldChar w:fldCharType="separate"/>
      </w:r>
      <w:r w:rsidRPr="00F40866">
        <w:rPr>
          <w:rFonts w:ascii="Times New Roman" w:hAnsi="Times New Roman"/>
          <w:noProof/>
          <w:sz w:val="24"/>
          <w:szCs w:val="24"/>
        </w:rPr>
        <w:t xml:space="preserve">Weeden and Grusky </w:t>
      </w:r>
      <w:r>
        <w:rPr>
          <w:rFonts w:ascii="Times New Roman" w:hAnsi="Times New Roman"/>
          <w:noProof/>
          <w:sz w:val="24"/>
          <w:szCs w:val="24"/>
        </w:rPr>
        <w:t>(</w:t>
      </w:r>
      <w:r w:rsidRPr="00F40866">
        <w:rPr>
          <w:rFonts w:ascii="Times New Roman" w:hAnsi="Times New Roman"/>
          <w:noProof/>
          <w:sz w:val="24"/>
          <w:szCs w:val="24"/>
        </w:rPr>
        <w:t>2011)</w:t>
      </w:r>
      <w:r>
        <w:rPr>
          <w:rFonts w:ascii="Times New Roman" w:hAnsi="Times New Roman"/>
          <w:sz w:val="24"/>
          <w:szCs w:val="24"/>
        </w:rPr>
        <w:fldChar w:fldCharType="end"/>
      </w:r>
      <w:r>
        <w:rPr>
          <w:rFonts w:ascii="Times New Roman" w:hAnsi="Times New Roman"/>
          <w:sz w:val="24"/>
          <w:szCs w:val="24"/>
        </w:rPr>
        <w:t xml:space="preserve"> help to differentiate between specifically “(a) life chances (e.g., income, education, working conditions)” and “(b) lifestyles </w:t>
      </w:r>
      <w:r>
        <w:rPr>
          <w:rFonts w:ascii="Times New Roman" w:hAnsi="Times New Roman"/>
          <w:sz w:val="24"/>
          <w:szCs w:val="24"/>
        </w:rPr>
        <w:lastRenderedPageBreak/>
        <w:t xml:space="preserve">(e.g., consumption practices, institutional participation)” (Weeden and Grusky 2011).  It is worth noting that for Weber, lifestyles were foundations of status rather than class. Here, I employ a more inclusive definition of class developed by Bourdieu (1980) and at the same time avoid the duality of class and status proposed by Weber, by employing the notion of “habitus” instead in regards to class (Bourdieu 1980). </w:t>
      </w:r>
    </w:p>
    <w:p w:rsidR="00ED1FD9" w:rsidRDefault="00ED1FD9" w:rsidP="00ED1FD9">
      <w:pPr>
        <w:pStyle w:val="Standard"/>
        <w:spacing w:line="480" w:lineRule="auto"/>
      </w:pPr>
      <w:r>
        <w:rPr>
          <w:rFonts w:ascii="Times New Roman" w:hAnsi="Times New Roman"/>
          <w:sz w:val="24"/>
          <w:szCs w:val="24"/>
        </w:rPr>
        <w:t xml:space="preserve">There are two main contributions that I add to the framework of analyzing housework and gender. First, I add education as a similarly important factor to explain the gendered patterns, introduced by Brines (1994). Furthermore, to conventional discussions of social class as a bundle of reward packages (such as income), endowment (such as education), and working conditions (such as occupations)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"10.1177/0003122413491963", "ISSN" : "0003-1224", "abstract" : "Despite the burgeoning research on lifestyles, we have surprisingly little evidence to answer one of the literature's founding questions: Is the association between social class and lifestyles disappearing? I explore this inquiry with data from the past four decades. In analyzing the class-lifestyle association, I examine changes in the variability of lifestyles within and between social classes. Using data from the General Social Survey on informal social ties and formal membership ties to voluntary associations, I derive proxies for lifestyles and examine their relation to social class with latent class models. Results show that social classes' contemporary sociability patterns are substantively similar to traditional descriptions from empirical studies on analogous data from as early as the mid-twentieth century. The association between social classes and sociability patterns shows no sign of having weakened over the past four decades. In fact, recent trends of civic disengagement and social isolation in contemporary U.S. society, which these data corroborate, reinforce class differences in sociability.", "author" : [ { "dropping-particle" : "", "family" : "Petev", "given" : "I. D.", "non-dropping-particle" : "", "parse-names" : false, "suffix" : "" } ], "container-title" : "American Sociological Review", "id" : "ITEM-1", "issued" : { "date-parts" : [ [ "2013" ] ] }, "page" : "633-661", "title" : "The Association of Social Class and Lifestyles: Persistence in American Sociability, 1974 to 2010", "type" : "article-journal", "volume" : "78" }, "uris" : [ "http://www.mendeley.com/documents/?uuid=518404a4-4188-4ed0-8831-5f8f89e5fefa" ] } ], "mendeley" : { "formattedCitation" : "(Petev 2013)", "plainTextFormattedCitation" : "(Petev 2013)", "previouslyFormattedCitation" : "(Petev 2013)" }, "properties" : { "noteIndex" : 0 }, "schema" : "https://github.com/citation-style-language/schema/raw/master/csl-citation.json" }</w:instrText>
      </w:r>
      <w:r>
        <w:rPr>
          <w:rFonts w:ascii="Times New Roman" w:hAnsi="Times New Roman"/>
          <w:sz w:val="24"/>
          <w:szCs w:val="24"/>
        </w:rPr>
        <w:fldChar w:fldCharType="separate"/>
      </w:r>
      <w:r w:rsidRPr="00FC6B98">
        <w:rPr>
          <w:rFonts w:ascii="Times New Roman" w:hAnsi="Times New Roman"/>
          <w:noProof/>
          <w:sz w:val="24"/>
          <w:szCs w:val="24"/>
        </w:rPr>
        <w:t>(Petev 2013)</w:t>
      </w:r>
      <w:r>
        <w:rPr>
          <w:rFonts w:ascii="Times New Roman" w:hAnsi="Times New Roman"/>
          <w:sz w:val="24"/>
          <w:szCs w:val="24"/>
        </w:rPr>
        <w:fldChar w:fldCharType="end"/>
      </w:r>
      <w:r>
        <w:rPr>
          <w:rFonts w:ascii="Times New Roman" w:hAnsi="Times New Roman"/>
          <w:sz w:val="24"/>
          <w:szCs w:val="24"/>
        </w:rPr>
        <w:t>, I add the dimension of lifestyle, even it is not the main focus herein and is outside of the scope of the present paper. Lifestyle is another outcome of class because both lifestyles and life chances become very important for the class situations within non-market relations.</w:t>
      </w:r>
      <w:r>
        <w:rPr>
          <w:rStyle w:val="FootnoteReference"/>
          <w:rFonts w:ascii="Times New Roman" w:hAnsi="Times New Roman"/>
          <w:sz w:val="24"/>
          <w:szCs w:val="24"/>
        </w:rPr>
        <w:footnoteReference w:id="1"/>
      </w:r>
      <w:r>
        <w:rPr>
          <w:rFonts w:ascii="Times New Roman" w:hAnsi="Times New Roman"/>
          <w:sz w:val="24"/>
          <w:szCs w:val="24"/>
        </w:rPr>
        <w:t xml:space="preserve"> I avoid the aggregate “big” class notions on theoretical grounds because, first, “big classes” do not adequately capture the change since the era  of industrial revolution and macro-level working-class revolutionary agenda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"Weeden", "given" : "Kim a", "non-dropping-particle" : "", "parse-names" : false, "suffix" : "" }, { "dropping-particle" : "", "family" : "Grusky", "given" : "David B", "non-dropping-particle" : "", "parse-names" : false, "suffix" : "" } ], "id" : "ITEM-1", "issue" : "1", "issued" : { "date-parts" : [ [ "2011" ] ] }, "page" : "141-212", "title" : "The Case for a New Class Map 1", "type" : "article-journal", "volume" : "111" }, "uris" : [ "http://www.mendeley.com/documents/?uuid=e844e5e2-1d2a-43ab-b7fd-5f054ed29fc7" ] } ], "mendeley" : { "formattedCitation" : "(Weeden and Grusky 2011)", "plainTextFormattedCitation" : "(Weeden and Grusky 2011)", "previouslyFormattedCitation" : "(Weeden and Grusky 2011)" }, "properties" : { "noteIndex" : 0 }, "schema" : "https://github.com/citation-style-language/schema/raw/master/csl-citation.json" }</w:instrText>
      </w:r>
      <w:r>
        <w:rPr>
          <w:rFonts w:ascii="Times New Roman" w:hAnsi="Times New Roman"/>
          <w:sz w:val="24"/>
          <w:szCs w:val="24"/>
        </w:rPr>
        <w:fldChar w:fldCharType="separate"/>
      </w:r>
      <w:r w:rsidRPr="007D107D">
        <w:rPr>
          <w:rFonts w:ascii="Times New Roman" w:hAnsi="Times New Roman"/>
          <w:noProof/>
          <w:sz w:val="24"/>
          <w:szCs w:val="24"/>
        </w:rPr>
        <w:t>(Weeden and Grusky 2011)</w:t>
      </w:r>
      <w:r>
        <w:rPr>
          <w:rFonts w:ascii="Times New Roman" w:hAnsi="Times New Roman"/>
          <w:sz w:val="24"/>
          <w:szCs w:val="24"/>
        </w:rPr>
        <w:fldChar w:fldCharType="end"/>
      </w:r>
      <w:r>
        <w:rPr>
          <w:rFonts w:ascii="Times New Roman" w:hAnsi="Times New Roman"/>
          <w:sz w:val="24"/>
          <w:szCs w:val="24"/>
        </w:rPr>
        <w:t xml:space="preserve">, and second, the Bourdieusian framework fits the study of domestic work better and is preferred to the alternative of blindly following the tradition without contemplation of its contemporary and research-specific relevance. </w:t>
      </w:r>
    </w:p>
    <w:p w:rsidR="00FA31C4" w:rsidRDefault="00FA31C4"/>
    <w:sectPr w:rsidR="00FA31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B75" w:rsidRDefault="00806B75" w:rsidP="00ED1FD9">
      <w:pPr>
        <w:spacing w:after="0" w:line="240" w:lineRule="auto"/>
      </w:pPr>
      <w:r>
        <w:separator/>
      </w:r>
    </w:p>
  </w:endnote>
  <w:endnote w:type="continuationSeparator" w:id="0">
    <w:p w:rsidR="00806B75" w:rsidRDefault="00806B75" w:rsidP="00ED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B75" w:rsidRDefault="00806B75" w:rsidP="00ED1FD9">
      <w:pPr>
        <w:spacing w:after="0" w:line="240" w:lineRule="auto"/>
      </w:pPr>
      <w:r>
        <w:separator/>
      </w:r>
    </w:p>
  </w:footnote>
  <w:footnote w:type="continuationSeparator" w:id="0">
    <w:p w:rsidR="00806B75" w:rsidRDefault="00806B75" w:rsidP="00ED1FD9">
      <w:pPr>
        <w:spacing w:after="0" w:line="240" w:lineRule="auto"/>
      </w:pPr>
      <w:r>
        <w:continuationSeparator/>
      </w:r>
    </w:p>
  </w:footnote>
  <w:footnote w:id="1">
    <w:p w:rsidR="00ED1FD9" w:rsidRDefault="00ED1FD9" w:rsidP="00ED1FD9">
      <w:pPr>
        <w:pStyle w:val="FootnoteText"/>
      </w:pPr>
      <w:r>
        <w:rPr>
          <w:rStyle w:val="FootnoteReference"/>
        </w:rPr>
        <w:footnoteRef/>
      </w:r>
      <w:r>
        <w:t xml:space="preserve"> I also believe unlike Weeden and Grusky (2005) that demographic composition represents other types of societal differentiation which should be analyzed separately but in interaction with class.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D9"/>
    <w:rsid w:val="00243ED1"/>
    <w:rsid w:val="00806B75"/>
    <w:rsid w:val="008D2E23"/>
    <w:rsid w:val="00ED1FD9"/>
    <w:rsid w:val="00FA31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22EB8-0D6D-46F3-9FE2-D35C61B0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1FD9"/>
    <w:pPr>
      <w:suppressAutoHyphens/>
      <w:autoSpaceDN w:val="0"/>
      <w:spacing w:after="200" w:line="276" w:lineRule="auto"/>
      <w:textAlignment w:val="baseline"/>
    </w:pPr>
    <w:rPr>
      <w:rFonts w:ascii="Calibri" w:eastAsia="SimSun" w:hAnsi="Calibri" w:cs="Times New Roman"/>
      <w:color w:val="00000A"/>
      <w:kern w:val="3"/>
    </w:rPr>
  </w:style>
  <w:style w:type="paragraph" w:customStyle="1" w:styleId="Textbody">
    <w:name w:val="Text body"/>
    <w:basedOn w:val="Standard"/>
    <w:rsid w:val="00ED1FD9"/>
    <w:pPr>
      <w:spacing w:after="140" w:line="288" w:lineRule="auto"/>
    </w:pPr>
  </w:style>
  <w:style w:type="paragraph" w:styleId="FootnoteText">
    <w:name w:val="footnote text"/>
    <w:basedOn w:val="Standard"/>
    <w:link w:val="FootnoteTextChar"/>
    <w:rsid w:val="00ED1FD9"/>
    <w:pPr>
      <w:spacing w:after="0" w:line="240" w:lineRule="auto"/>
    </w:pPr>
    <w:rPr>
      <w:sz w:val="20"/>
      <w:szCs w:val="20"/>
    </w:rPr>
  </w:style>
  <w:style w:type="character" w:customStyle="1" w:styleId="FootnoteTextChar">
    <w:name w:val="Footnote Text Char"/>
    <w:basedOn w:val="DefaultParagraphFont"/>
    <w:link w:val="FootnoteText"/>
    <w:rsid w:val="00ED1FD9"/>
    <w:rPr>
      <w:rFonts w:ascii="Calibri" w:eastAsia="SimSun" w:hAnsi="Calibri" w:cs="Times New Roman"/>
      <w:color w:val="00000A"/>
      <w:kern w:val="3"/>
      <w:sz w:val="20"/>
      <w:szCs w:val="20"/>
    </w:rPr>
  </w:style>
  <w:style w:type="character" w:styleId="FootnoteReference">
    <w:name w:val="footnote reference"/>
    <w:basedOn w:val="DefaultParagraphFont"/>
    <w:rsid w:val="00ED1FD9"/>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Kolpashnikova</dc:creator>
  <cp:keywords/>
  <dc:description/>
  <cp:lastModifiedBy>Kamila Kolpashnikova</cp:lastModifiedBy>
  <cp:revision>2</cp:revision>
  <dcterms:created xsi:type="dcterms:W3CDTF">2015-09-23T17:35:00Z</dcterms:created>
  <dcterms:modified xsi:type="dcterms:W3CDTF">2015-09-23T17:35:00Z</dcterms:modified>
</cp:coreProperties>
</file>