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Должностная инструкция:</w:t>
        <w:br/>
        <w:t>сервисный инженер</w:t>
      </w:r>
    </w:p>
    <w:p>
      <w:pPr>
        <w:pStyle w:val="Subtitle"/>
      </w:pPr>
      <w:r>
        <w:t>Источник для демонстрационной генерации курса онбординга в Kamilya LMS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6F5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  <w:color w:val="0A8F8C"/>
              </w:rPr>
              <w:t xml:space="preserve">ВАЖНО: </w:t>
            </w:r>
            <w:r>
              <w:t>это полностью синтетический демонстрационный документ. Он не является документом ТОО «Керхер», не описывает реальные внутренние процессы компании и не заменяет утверждённые работодателем инструкции, обучение, допуски или инструктажи.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Подразделение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Сервис и техническое обслуживание</w:t>
            </w:r>
          </w:p>
        </w:tc>
      </w:tr>
      <w:tr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Сервисный инженер</w:t>
            </w:r>
          </w:p>
        </w:tc>
      </w:tr>
      <w:tr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Цель роли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Безопасно и последовательно принимать сервисные обращения, выполнять разрешённую диагностику и фиксировать результат.</w:t>
            </w:r>
          </w:p>
        </w:tc>
      </w:tr>
      <w:tr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Граница документа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Общий демонстрационный процесс без моделей оборудования, технических нормативов и опасных операций.</w:t>
            </w:r>
          </w:p>
        </w:tc>
      </w:tr>
    </w:tbl>
    <w:p>
      <w:pPr>
        <w:pStyle w:val="Heading1"/>
      </w:pPr>
      <w:r>
        <w:t>1. Назначение должности</w:t>
      </w:r>
    </w:p>
    <w:p>
      <w:r>
        <w:t>Сервисный инженер обеспечивает управляемое прохождение сервисной заявки от первичного уточнения до документирования результата. Главный принцип роли: выполнять только разрешённые действия в пределах подтверждённой компетенции, соблюдать требования безопасности и своевременно эскалировать нестандартные ситуации.</w:t>
      </w:r>
    </w:p>
    <w:p>
      <w:pPr>
        <w:pStyle w:val="Heading1"/>
      </w:pPr>
      <w:r>
        <w:t>2. Подчинение и взаимодействие</w:t>
      </w:r>
    </w:p>
    <w:p>
      <w:pPr>
        <w:pStyle w:val="ListBullet"/>
        <w:spacing w:after="60"/>
      </w:pPr>
      <w:r>
        <w:t>Получает задачи от назначенного руководителя сервисного подразделения.</w:t>
      </w:r>
    </w:p>
    <w:p>
      <w:pPr>
        <w:pStyle w:val="ListBullet"/>
        <w:spacing w:after="60"/>
      </w:pPr>
      <w:r>
        <w:t>Взаимодействует с координатором клиентских обращений по составу заявки, срокам и обратной связи.</w:t>
      </w:r>
    </w:p>
    <w:p>
      <w:pPr>
        <w:pStyle w:val="ListBullet"/>
        <w:spacing w:after="60"/>
      </w:pPr>
      <w:r>
        <w:t>Передаёт руководителю случаи, выходящие за пределы компетенции, регламента или безопасных условий работы.</w:t>
      </w:r>
    </w:p>
    <w:p>
      <w:pPr>
        <w:pStyle w:val="ListBullet"/>
        <w:spacing w:after="60"/>
      </w:pPr>
      <w:r>
        <w:t>Не изменяет коммерческие условия и не обещает сроки или результат без подтверждённого основания.</w:t>
      </w:r>
    </w:p>
    <w:p>
      <w:r>
        <w:br w:type="page"/>
      </w:r>
    </w:p>
    <w:p>
      <w:pPr>
        <w:pStyle w:val="Heading1"/>
      </w:pPr>
      <w:r>
        <w:t>3. Основные обязанности</w:t>
      </w:r>
    </w:p>
    <w:p>
      <w:pPr>
        <w:pStyle w:val="ListBullet"/>
        <w:spacing w:after="60"/>
      </w:pPr>
      <w:r>
        <w:t>Проверить полноту задания и идентифицировать объект обслуживания по разрешённым данным.</w:t>
      </w:r>
    </w:p>
    <w:p>
      <w:pPr>
        <w:pStyle w:val="ListBullet"/>
        <w:spacing w:after="60"/>
      </w:pPr>
      <w:r>
        <w:t>Уточнить симптомы и условия возникновения проблемы без предположений, выдаваемых за факт.</w:t>
      </w:r>
    </w:p>
    <w:p>
      <w:pPr>
        <w:pStyle w:val="ListBullet"/>
        <w:spacing w:after="60"/>
      </w:pPr>
      <w:r>
        <w:t>Подготовить безопасное рабочее место и использовать предусмотренные средства защиты.</w:t>
      </w:r>
    </w:p>
    <w:p>
      <w:pPr>
        <w:pStyle w:val="ListBullet"/>
        <w:spacing w:after="60"/>
      </w:pPr>
      <w:r>
        <w:t>Выполнить только разрешённую диагностику по актуальному внутреннему регламенту.</w:t>
      </w:r>
    </w:p>
    <w:p>
      <w:pPr>
        <w:pStyle w:val="ListBullet"/>
        <w:spacing w:after="60"/>
      </w:pPr>
      <w:r>
        <w:t>Зафиксировать выполненные действия, наблюдения, ограничения и следующий шаг.</w:t>
      </w:r>
    </w:p>
    <w:p>
      <w:pPr>
        <w:pStyle w:val="ListBullet"/>
        <w:spacing w:after="60"/>
      </w:pPr>
      <w:r>
        <w:t>Сообщить о риске, повторяемом дефекте или нехватке данных до продолжения работы.</w:t>
      </w:r>
    </w:p>
    <w:p>
      <w:pPr>
        <w:pStyle w:val="ListBullet"/>
        <w:spacing w:after="60"/>
      </w:pPr>
      <w:r>
        <w:t>Соблюдать конфиденциальность контактных и сервисных данных клиента.</w:t>
      </w:r>
    </w:p>
    <w:p>
      <w:pPr>
        <w:pStyle w:val="Heading1"/>
      </w:pPr>
      <w:r>
        <w:t>4. Базовый рабочий процесс</w:t>
      </w:r>
    </w:p>
    <w:p>
      <w:pPr>
        <w:pStyle w:val="ListNumber"/>
        <w:spacing w:after="120"/>
      </w:pPr>
      <w:r>
        <w:rPr>
          <w:b/>
        </w:rPr>
        <w:t xml:space="preserve">Принять заявку. </w:t>
      </w:r>
      <w:r>
        <w:t>Проверить источник, описание проблемы, объект и ожидаемый результат.</w:t>
      </w:r>
    </w:p>
    <w:p>
      <w:pPr>
        <w:pStyle w:val="ListNumber"/>
        <w:spacing w:after="120"/>
      </w:pPr>
      <w:r>
        <w:rPr>
          <w:b/>
        </w:rPr>
        <w:t xml:space="preserve">Классифицировать. </w:t>
      </w:r>
      <w:r>
        <w:t>Отнести заявку к типовой категории либо пометить как требующую уточнения или эскалации.</w:t>
      </w:r>
    </w:p>
    <w:p>
      <w:pPr>
        <w:pStyle w:val="ListNumber"/>
        <w:spacing w:after="120"/>
      </w:pPr>
      <w:r>
        <w:rPr>
          <w:b/>
        </w:rPr>
        <w:t xml:space="preserve">Оценить безопасность. </w:t>
      </w:r>
      <w:r>
        <w:t>Не начинать работу при неизвестном состоянии оборудования, признаках опасности, отсутствии допуска или необходимых средств защиты.</w:t>
      </w:r>
    </w:p>
    <w:p>
      <w:pPr>
        <w:pStyle w:val="ListNumber"/>
        <w:spacing w:after="120"/>
      </w:pPr>
      <w:r>
        <w:rPr>
          <w:b/>
        </w:rPr>
        <w:t xml:space="preserve">Выполнить разрешённые действия. </w:t>
      </w:r>
      <w:r>
        <w:t>Следовать актуальному внутреннему регламенту. Не применять неподтверждённые методы и не обходить защитные механизмы.</w:t>
      </w:r>
    </w:p>
    <w:p>
      <w:pPr>
        <w:pStyle w:val="ListNumber"/>
        <w:spacing w:after="120"/>
      </w:pPr>
      <w:r>
        <w:rPr>
          <w:b/>
        </w:rPr>
        <w:t xml:space="preserve">Проверить результат. </w:t>
      </w:r>
      <w:r>
        <w:t>Зафиксировать наблюдаемый результат и ограничения проверки; не формулировать неподтверждённые гарантии.</w:t>
      </w:r>
    </w:p>
    <w:p>
      <w:pPr>
        <w:pStyle w:val="ListNumber"/>
        <w:spacing w:after="120"/>
      </w:pPr>
      <w:r>
        <w:rPr>
          <w:b/>
        </w:rPr>
        <w:t xml:space="preserve">Закрыть или передать. </w:t>
      </w:r>
      <w:r>
        <w:t>Обновить статус, приложить требуемые записи и передать следующий шаг ответственному лицу.</w:t>
      </w:r>
    </w:p>
    <w:p>
      <w:pPr>
        <w:pStyle w:val="Heading1"/>
      </w:pPr>
      <w:r>
        <w:t>5. Обязательные условия остановки и эскалации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5100"/>
            <w:shd w:fill="123A6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Есть риск для людей, имущества или окружающей среды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Остановить действие и немедленно уведомить ответственного.</w:t>
            </w:r>
          </w:p>
        </w:tc>
      </w:tr>
      <w:tr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Операция требует допуска, которого нет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Не выполнять. Передать задачу уполномоченному специалисту.</w:t>
            </w:r>
          </w:p>
        </w:tc>
      </w:tr>
      <w:tr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Данные заявки противоречат наблюдениям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Зафиксировать расхождение и запросить уточнение.</w:t>
            </w:r>
          </w:p>
        </w:tc>
      </w:tr>
      <w:tr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Требуется обход защиты или неподтверждённая процедура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Отказаться от обхода и эскалировать руководителю.</w:t>
            </w:r>
          </w:p>
        </w:tc>
      </w:tr>
      <w:tr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Обнаружена лишняя персональная информация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Не копировать и не распространять; использовать только необходимый минимум.</w:t>
            </w:r>
          </w:p>
        </w:tc>
      </w:tr>
    </w:tbl>
    <w:p>
      <w:pPr>
        <w:pStyle w:val="Heading1"/>
      </w:pPr>
      <w:r>
        <w:t>6. Документирование результата</w:t>
      </w:r>
    </w:p>
    <w:p>
      <w:pPr>
        <w:pStyle w:val="ListBullet"/>
        <w:spacing w:after="60"/>
      </w:pPr>
      <w:r>
        <w:t>Статус заявки и дата выполнения действия.</w:t>
      </w:r>
    </w:p>
    <w:p>
      <w:pPr>
        <w:pStyle w:val="ListBullet"/>
        <w:spacing w:after="60"/>
      </w:pPr>
      <w:r>
        <w:t>Краткое описание наблюдения без избыточных персональных данных.</w:t>
      </w:r>
    </w:p>
    <w:p>
      <w:pPr>
        <w:pStyle w:val="ListBullet"/>
        <w:spacing w:after="60"/>
      </w:pPr>
      <w:r>
        <w:t>Что выполнено, что не выполнено и почему.</w:t>
      </w:r>
    </w:p>
    <w:p>
      <w:pPr>
        <w:pStyle w:val="ListBullet"/>
        <w:spacing w:after="60"/>
      </w:pPr>
      <w:r>
        <w:t>Результат контрольной проверки и известные ограничения.</w:t>
      </w:r>
    </w:p>
    <w:p>
      <w:pPr>
        <w:pStyle w:val="ListBullet"/>
        <w:spacing w:after="60"/>
      </w:pPr>
      <w:r>
        <w:t>Следующий ответственный и согласованный следующий шаг.</w:t>
      </w:r>
    </w:p>
    <w:p>
      <w:pPr>
        <w:pStyle w:val="Heading1"/>
      </w:pPr>
      <w:r>
        <w:t>7. Ожидаемый результат онбординга</w:t>
      </w:r>
    </w:p>
    <w:p>
      <w:r>
        <w:t>После прохождения ролевого курса сотрудник должен уметь:</w:t>
      </w:r>
    </w:p>
    <w:p>
      <w:pPr>
        <w:pStyle w:val="ListBullet"/>
        <w:spacing w:after="60"/>
      </w:pPr>
      <w:r>
        <w:t>объяснить путь сервисной заявки и собственную зону ответственности;</w:t>
      </w:r>
    </w:p>
    <w:p>
      <w:pPr>
        <w:pStyle w:val="ListBullet"/>
        <w:spacing w:after="60"/>
      </w:pPr>
      <w:r>
        <w:t>отличить типовую заявку от ситуации, требующей остановки или эскалации;</w:t>
      </w:r>
    </w:p>
    <w:p>
      <w:pPr>
        <w:pStyle w:val="ListBullet"/>
        <w:spacing w:after="60"/>
      </w:pPr>
      <w:r>
        <w:t>выбрать безопасную последовательность действий без технических предположений;</w:t>
      </w:r>
    </w:p>
    <w:p>
      <w:pPr>
        <w:pStyle w:val="ListBullet"/>
        <w:spacing w:after="60"/>
      </w:pPr>
      <w:r>
        <w:t>зафиксировать результат в достаточном, но не избыточном объёме;</w:t>
      </w:r>
    </w:p>
    <w:p>
      <w:pPr>
        <w:pStyle w:val="ListBullet"/>
        <w:spacing w:after="60"/>
      </w:pPr>
      <w:r>
        <w:t>соблюдать границы конфиденциальности и не передавать данные вне рабочего процесса.</w:t>
      </w:r>
    </w:p>
    <w:p>
      <w:pPr>
        <w:pStyle w:val="Heading1"/>
      </w:pPr>
      <w:r>
        <w:t>8. Основа демонстрационного курса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A8F8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3400"/>
            <w:shd w:fill="0A8F8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Практический результат</w:t>
            </w:r>
          </w:p>
        </w:tc>
        <w:tc>
          <w:tcPr>
            <w:tcW w:type="dxa" w:w="3400"/>
            <w:shd w:fill="0A8F8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Проверка знаний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1. Роль и маршрут заявки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Сотрудник видит этапы и участников процесса.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Определить следующий шаг по сценарию.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2. Безопасное начало работы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Сотрудник распознаёт условия остановки.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Выбрать действие в ситуации риска.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3. Разрешённая диагностика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Сотрудник действует по утверждённому регламенту.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Отличить наблюдение от предположения.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4. Эскалация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Сотрудник знает стоп-условия и канал передачи.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Выбрать адресата эскалации.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5. Фиксация результата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Сотрудник оставляет проверяемую запись.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Найти ошибки в примере записи.</w:t>
            </w:r>
          </w:p>
        </w:tc>
      </w:tr>
    </w:tbl>
    <w:p>
      <w:pPr>
        <w:pStyle w:val="Heading1"/>
      </w:pPr>
      <w:r>
        <w:t>9. Сценарии итоговой проверки</w:t>
      </w:r>
    </w:p>
    <w:p>
      <w:r>
        <w:rPr>
          <w:b/>
        </w:rPr>
        <w:t xml:space="preserve">Неполная заявка: </w:t>
      </w:r>
      <w:r>
        <w:t>Нет идентификации объекта и описания условий. Что уточнить до начала работы?</w:t>
      </w:r>
    </w:p>
    <w:p>
      <w:r>
        <w:rPr>
          <w:b/>
        </w:rPr>
        <w:t xml:space="preserve">Риск: </w:t>
      </w:r>
      <w:r>
        <w:t>Обнаружен признак потенциально опасного состояния. Какие действия допустимы?</w:t>
      </w:r>
    </w:p>
    <w:p>
      <w:r>
        <w:rPr>
          <w:b/>
        </w:rPr>
        <w:t xml:space="preserve">Выход за компетенцию: </w:t>
      </w:r>
      <w:r>
        <w:t>Клиент просит операцию, которой нет в доступном регламенте. Как поступить?</w:t>
      </w:r>
    </w:p>
    <w:p>
      <w:r>
        <w:rPr>
          <w:b/>
        </w:rPr>
        <w:t xml:space="preserve">Документирование: </w:t>
      </w:r>
      <w:r>
        <w:t>Что необходимо для передачи заявки и какая информация будет избыточной?</w:t>
      </w:r>
    </w:p>
    <w:p>
      <w:pPr>
        <w:pStyle w:val="Heading1"/>
      </w:pPr>
      <w:r>
        <w:t>10. Связь с общими курсами</w:t>
      </w:r>
    </w:p>
    <w:p>
      <w:r>
        <w:t>Ролевой курс не дублирует общие предустановленные программы. Для демонстрационного тенанта отдельно назначаются:</w:t>
      </w:r>
    </w:p>
    <w:p>
      <w:pPr>
        <w:pStyle w:val="ListBullet"/>
        <w:spacing w:after="60"/>
      </w:pPr>
      <w:r>
        <w:t>«Осведомлённость об информационной безопасности»;</w:t>
      </w:r>
    </w:p>
    <w:p>
      <w:pPr>
        <w:pStyle w:val="ListBullet"/>
        <w:spacing w:after="60"/>
      </w:pPr>
      <w:r>
        <w:t>«Вводный инструктаж по охране труда» (цифровая часть, требующая адаптации работодателем);</w:t>
      </w:r>
    </w:p>
    <w:p>
      <w:pPr>
        <w:pStyle w:val="ListBullet"/>
        <w:spacing w:after="60"/>
      </w:pPr>
      <w:r>
        <w:t>«Инструктаж по пожарной безопасности» (цифровая часть, требующая адаптации работодателем).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6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</w:rPr>
              <w:t xml:space="preserve">Демонстрационная граница: </w:t>
            </w:r>
            <w:r>
              <w:t>перед реальным использованием содержание проверяют и утверждают владельцы процесса. Система подтверждает прохождение цифрового курса, но не заменяет обязательные практические процедуры, инструктажи и допуски.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F84"/>
        <w:sz w:val="16"/>
      </w:rPr>
      <w:t xml:space="preserve">Синтетический материал | 27.08.2026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A8F8C"/>
        <w:sz w:val="16"/>
      </w:rPr>
      <w:t>KAMILYA LMS  |  ДЕМО-МАТЕРИАЛ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2C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3A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A6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4161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