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5F10" w14:textId="7AFB1AB7" w:rsidR="00845764" w:rsidRPr="00845764" w:rsidRDefault="00845764" w:rsidP="00E611AE">
      <w:pPr>
        <w:pStyle w:val="Heading1"/>
        <w:spacing w:before="360" w:after="120"/>
        <w:rPr>
          <w:color w:val="auto"/>
          <w:sz w:val="24"/>
          <w:szCs w:val="24"/>
          <w:lang w:val="en-US"/>
        </w:rPr>
      </w:pPr>
      <w:r>
        <w:rPr>
          <w:color w:val="auto"/>
          <w:sz w:val="24"/>
          <w:szCs w:val="24"/>
          <w:lang w:val="ru-RU"/>
        </w:rPr>
        <w:t>2</w:t>
      </w:r>
      <w:r>
        <w:rPr>
          <w:color w:val="auto"/>
          <w:sz w:val="24"/>
          <w:szCs w:val="24"/>
          <w:lang w:val="en-US"/>
        </w:rPr>
        <w:t>.1 Data Collection</w:t>
      </w:r>
    </w:p>
    <w:p w14:paraId="179D5A52" w14:textId="1406FD05" w:rsidR="006D51D3" w:rsidRPr="00E611AE" w:rsidRDefault="00BA75B7" w:rsidP="00E611AE">
      <w:pPr>
        <w:pStyle w:val="Heading1"/>
        <w:spacing w:before="360" w:after="120"/>
        <w:rPr>
          <w:color w:val="auto"/>
          <w:sz w:val="24"/>
          <w:szCs w:val="24"/>
          <w:lang w:val="ru-RU"/>
        </w:rPr>
      </w:pPr>
      <w:r w:rsidRPr="00BA75B7">
        <w:rPr>
          <w:color w:val="auto"/>
          <w:sz w:val="24"/>
          <w:szCs w:val="24"/>
        </w:rPr>
        <w:t>2.1.1. Overview of the Data Collection Strategy</w:t>
      </w:r>
    </w:p>
    <w:p w14:paraId="382677CD" w14:textId="77777777" w:rsidR="006D51D3" w:rsidRPr="00E611AE" w:rsidRDefault="006D51D3" w:rsidP="00E611AE">
      <w:pPr>
        <w:pStyle w:val="Heading1"/>
        <w:spacing w:before="360" w:after="120"/>
        <w:ind w:firstLine="720"/>
        <w:rPr>
          <w:color w:val="auto"/>
          <w:sz w:val="24"/>
          <w:szCs w:val="24"/>
          <w:lang w:val="en-US"/>
        </w:rPr>
      </w:pPr>
      <w:r w:rsidRPr="00E611AE">
        <w:rPr>
          <w:color w:val="auto"/>
          <w:sz w:val="24"/>
          <w:szCs w:val="24"/>
        </w:rPr>
        <w:t>In this study, the data collection strategy is designed to support two interrelated objectives: (1) providing enough labeled data to build and/or improve a machine learning model through training and/or adjusting, and (2) providing operational geospatial datasets to be used by the web service's analytical and visualization service functions. Several types of data sources are being collected and integrated into a single data collection strategy, including public benchmark datasets, multispectral satellite imagery, and vector field boundaries in GeoJSON format.</w:t>
      </w:r>
    </w:p>
    <w:p w14:paraId="35BD0A78" w14:textId="1C31A8D3" w:rsidR="006D51D3" w:rsidRPr="006D51D3" w:rsidRDefault="006D51D3" w:rsidP="00E611AE">
      <w:pPr>
        <w:pStyle w:val="Heading1"/>
        <w:spacing w:before="360" w:after="120"/>
        <w:ind w:firstLine="720"/>
        <w:rPr>
          <w:color w:val="auto"/>
          <w:sz w:val="24"/>
          <w:szCs w:val="24"/>
        </w:rPr>
      </w:pPr>
      <w:r w:rsidRPr="006D51D3">
        <w:rPr>
          <w:color w:val="auto"/>
          <w:sz w:val="24"/>
          <w:szCs w:val="24"/>
        </w:rPr>
        <w:t>The primary methodological decision of this research is to use a transfer-learning paradigm, rather than creating an entirely new, large-scale, annotated dataset from scratch. The effort required to create a high-quality labeled dataset for remote sensing (high cost, time, etc.) is significant because the dataset must involve an expert in annotating each image/composite, and the images must be of consistent quality and cover a broad spatial extent. When it comes to the classification of agricultural land-cover using satellite imagery, this annotation effort can be extremely demanding; in order to classify an individual image/composite into the correct land-use category, the spectral characteristics of each image must be accurately assessed, and the characteristics of one image/composite cannot always be visually distinguished from another.</w:t>
      </w:r>
    </w:p>
    <w:p w14:paraId="30477EB4" w14:textId="77777777" w:rsidR="006D51D3" w:rsidRPr="006D51D3" w:rsidRDefault="006D51D3" w:rsidP="00E611AE">
      <w:pPr>
        <w:pStyle w:val="Heading1"/>
        <w:spacing w:before="360" w:after="120"/>
        <w:ind w:firstLine="720"/>
        <w:rPr>
          <w:color w:val="auto"/>
          <w:sz w:val="24"/>
          <w:szCs w:val="24"/>
        </w:rPr>
      </w:pPr>
      <w:r w:rsidRPr="006D51D3">
        <w:rPr>
          <w:color w:val="auto"/>
          <w:sz w:val="24"/>
          <w:szCs w:val="24"/>
        </w:rPr>
        <w:t>Transfer learning can be considered an effective approach to address the limitations associated with limited labeled data in a domain by taking advantage of representations learned from a larger-scale dataset and fine-tuning them using a smaller set of target-specific datasets (Pan &amp; Yang, 2010). When the target dataset has been labeled and has a limited amount of labeled examples, the models built using this method have demonstrated strong performance, which is an important characteristic for agricultural remote sensing applications, where there is little to no readily available annotated data.</w:t>
      </w:r>
    </w:p>
    <w:p w14:paraId="41D48274" w14:textId="77777777" w:rsidR="006D51D3" w:rsidRPr="006D51D3" w:rsidRDefault="006D51D3" w:rsidP="00E611AE">
      <w:pPr>
        <w:pStyle w:val="Heading1"/>
        <w:spacing w:before="360" w:after="120"/>
        <w:ind w:firstLine="720"/>
        <w:rPr>
          <w:color w:val="auto"/>
          <w:sz w:val="24"/>
          <w:szCs w:val="24"/>
        </w:rPr>
      </w:pPr>
      <w:r w:rsidRPr="006D51D3">
        <w:rPr>
          <w:color w:val="auto"/>
          <w:sz w:val="24"/>
          <w:szCs w:val="24"/>
        </w:rPr>
        <w:t>Furthermore, this approach is reinforced by the use of publicly available open datasets. Open benchmark datasets (e.g., EuroSAT) contain standardized, peer-reviewed, and reproducible training data that has been validated by previous studies, and can be used in place of the custom data collection process and the associated risk factors (i.e., inconsistencies in labeling, data collection sampling bias, limited reproducibility) that make it difficult to obtain consistent results or make accurate comparisons with previously published results.</w:t>
      </w:r>
    </w:p>
    <w:p w14:paraId="109D656C" w14:textId="77777777" w:rsidR="006D51D3" w:rsidRPr="006D51D3" w:rsidRDefault="006D51D3" w:rsidP="00E611AE">
      <w:pPr>
        <w:pStyle w:val="Heading1"/>
        <w:spacing w:before="360" w:after="120"/>
        <w:ind w:firstLine="720"/>
        <w:rPr>
          <w:color w:val="auto"/>
          <w:sz w:val="24"/>
          <w:szCs w:val="24"/>
        </w:rPr>
      </w:pPr>
      <w:r w:rsidRPr="006D51D3">
        <w:rPr>
          <w:color w:val="auto"/>
          <w:sz w:val="24"/>
          <w:szCs w:val="24"/>
        </w:rPr>
        <w:t>From a system architecture perspective, the system operates on two primary data streams: a static dataset that contains labeled images for model training and evaluation, and a second set of dynamic images taken by remote sensing from satellite images that will be used to support the web services for operational purposes. The GeoJSON-formatted field boundary data are an additional layer of data that allows the user to perform parcel-level analyses rather than regional analyses.</w:t>
      </w:r>
    </w:p>
    <w:p w14:paraId="5B19698E" w14:textId="0148AC71" w:rsidR="00BA75B7" w:rsidRPr="00E611AE" w:rsidRDefault="00BA75B7" w:rsidP="00E611AE">
      <w:pPr>
        <w:pStyle w:val="Heading1"/>
        <w:spacing w:before="360" w:after="120"/>
        <w:rPr>
          <w:color w:val="auto"/>
          <w:sz w:val="24"/>
          <w:szCs w:val="24"/>
          <w:lang w:val="ru-RU"/>
        </w:rPr>
      </w:pPr>
    </w:p>
    <w:p w14:paraId="11297179" w14:textId="77777777" w:rsidR="00E611AE" w:rsidRPr="00BA75B7" w:rsidRDefault="00E611AE" w:rsidP="00E611AE">
      <w:pPr>
        <w:pStyle w:val="Heading1"/>
        <w:spacing w:before="360" w:after="120"/>
        <w:rPr>
          <w:color w:val="auto"/>
          <w:sz w:val="24"/>
          <w:szCs w:val="24"/>
          <w:lang w:val="ru-RU"/>
        </w:rPr>
      </w:pPr>
    </w:p>
    <w:p w14:paraId="78F34D3E" w14:textId="77777777" w:rsidR="00BA75B7" w:rsidRPr="00E611AE" w:rsidRDefault="00BA75B7" w:rsidP="00E611AE">
      <w:pPr>
        <w:pStyle w:val="Heading1"/>
        <w:spacing w:before="360" w:after="120"/>
        <w:rPr>
          <w:color w:val="auto"/>
          <w:sz w:val="24"/>
          <w:szCs w:val="24"/>
          <w:lang w:val="ru-RU"/>
        </w:rPr>
      </w:pPr>
      <w:r w:rsidRPr="00BA75B7">
        <w:rPr>
          <w:color w:val="auto"/>
          <w:sz w:val="24"/>
          <w:szCs w:val="24"/>
        </w:rPr>
        <w:t>2.1.2. Dataset for Training: EuroSAT</w:t>
      </w:r>
    </w:p>
    <w:p w14:paraId="2F8CB370" w14:textId="77777777" w:rsidR="00E611AE" w:rsidRPr="00E611AE" w:rsidRDefault="00E611AE" w:rsidP="00E611AE">
      <w:pPr>
        <w:pStyle w:val="Heading1"/>
        <w:spacing w:before="360" w:after="120"/>
        <w:ind w:firstLine="720"/>
        <w:rPr>
          <w:color w:val="auto"/>
          <w:sz w:val="24"/>
          <w:szCs w:val="24"/>
        </w:rPr>
      </w:pPr>
      <w:r w:rsidRPr="00E611AE">
        <w:rPr>
          <w:color w:val="auto"/>
          <w:sz w:val="24"/>
          <w:szCs w:val="24"/>
        </w:rPr>
        <w:t>With respect to the training data component, the EuroSAT dataset serves as the primary labeled dataset for model training and fine-tuning (Helber et al., 2019). EuroSAT is a publicly available benchmark dataset created to classify land-use and land-cover using deep learning based on multispectral images of the Earth taken by the Sentinel-2 satellites (the same source as the operational part of the web service). Therefore, the training data domain matches the domain of the deployment environment, thus providing an important benefit of model generalization with regard to operational inputs, as it mitigates the risk of a domain shift occurring and thus promotes improved generalization.</w:t>
      </w:r>
    </w:p>
    <w:p w14:paraId="43CC9299" w14:textId="77777777" w:rsidR="00E611AE" w:rsidRPr="00E611AE" w:rsidRDefault="00E611AE" w:rsidP="00E611AE">
      <w:pPr>
        <w:pStyle w:val="Heading1"/>
        <w:spacing w:before="360" w:after="120"/>
        <w:ind w:firstLine="720"/>
        <w:rPr>
          <w:color w:val="auto"/>
          <w:sz w:val="24"/>
          <w:szCs w:val="24"/>
        </w:rPr>
      </w:pPr>
      <w:r w:rsidRPr="00E611AE">
        <w:rPr>
          <w:color w:val="auto"/>
          <w:sz w:val="24"/>
          <w:szCs w:val="24"/>
        </w:rPr>
        <w:t>Deep learning models, and in particular convolutional neural networks, require large datasets of labelled data in order to learn representations of visual features that are generalisable across multiple domains. By using a standardised benchmark dataset, such as EuroSAT, model developers can create a large enough, class-balanced collection of labelled patches of satellite images to ensure that model training will be both consistent and reproducible.</w:t>
      </w:r>
    </w:p>
    <w:p w14:paraId="1A20D94B" w14:textId="77777777" w:rsidR="00E611AE" w:rsidRPr="00E611AE" w:rsidRDefault="00E611AE" w:rsidP="00E611AE">
      <w:pPr>
        <w:pStyle w:val="Heading1"/>
        <w:spacing w:before="360" w:after="120"/>
        <w:ind w:firstLine="720"/>
        <w:rPr>
          <w:color w:val="auto"/>
          <w:sz w:val="24"/>
          <w:szCs w:val="24"/>
        </w:rPr>
      </w:pPr>
      <w:r w:rsidRPr="00E611AE">
        <w:rPr>
          <w:color w:val="auto"/>
          <w:sz w:val="24"/>
          <w:szCs w:val="24"/>
        </w:rPr>
        <w:t>The dataset contains approximately 27,000 labeled image patches across 10 classes of land use/land cover (LULC): Annual Crop, Permanent Crop, Forest, Herbaceous Vegetation, Highway, Industrial, Pasture, Residential, River, Sea or Lake. All image patches are in the size of 64×64 pixels at a spatial resolution of 10 metres per pixel, which is the same as the actual resolution of the visible and near-infrared bands of Sentinel-2 satellites. In addition, the dataset contains a balanced number of samples per class (between 2000 and 3000).</w:t>
      </w:r>
    </w:p>
    <w:p w14:paraId="793CC053" w14:textId="77777777" w:rsidR="00E611AE" w:rsidRPr="00E611AE" w:rsidRDefault="00E611AE" w:rsidP="00E611AE">
      <w:pPr>
        <w:pStyle w:val="Heading1"/>
        <w:spacing w:before="360" w:after="120"/>
        <w:ind w:firstLine="720"/>
        <w:rPr>
          <w:color w:val="auto"/>
          <w:sz w:val="24"/>
          <w:szCs w:val="24"/>
        </w:rPr>
      </w:pPr>
      <w:r w:rsidRPr="00E611AE">
        <w:rPr>
          <w:color w:val="auto"/>
          <w:sz w:val="24"/>
          <w:szCs w:val="24"/>
        </w:rPr>
        <w:t>Sentinel-2 imagery provides excellent support for classifying agricultural land use due to its ability to provide reflectance measurements across many spectral bands, including visible light as well as near infrared and shortwave infrared. These additional spectral bands provide significant information regarding vegetation density, moisture, and chlorophyll concentrations. Therefore, the EuroSAT dataset used by the pretrained model fine-tuned with the EuroSAT dataset has the capability to classify LULC classes of agricultural land use based on the spectral signatures of those lands instead of visual appearance.</w:t>
      </w:r>
    </w:p>
    <w:p w14:paraId="2AAB2531" w14:textId="77777777" w:rsidR="00E611AE" w:rsidRPr="00E611AE" w:rsidRDefault="00E611AE" w:rsidP="00E611AE">
      <w:pPr>
        <w:pStyle w:val="Heading1"/>
        <w:spacing w:before="360" w:after="120"/>
        <w:ind w:firstLine="720"/>
        <w:rPr>
          <w:color w:val="auto"/>
          <w:sz w:val="24"/>
          <w:szCs w:val="24"/>
        </w:rPr>
      </w:pPr>
      <w:r w:rsidRPr="00E611AE">
        <w:rPr>
          <w:color w:val="auto"/>
          <w:sz w:val="24"/>
          <w:szCs w:val="24"/>
        </w:rPr>
        <w:t>The EuroSAT dataset images were reformatted to 224×224 pixel resolution before processing, so that the pixel resolutions for each image can be consistent with the input size expected by the pre-trained ResNet-50 network architecture (original image size was 64×64 pixels). The dataset is then split into training, validation, and testing subsets — using stratified sampling, to guarantee that a similar fraction of each class is represented across every split — and a training, validation, and test subset is generated with an 80:10:10 ratio. Augmentation was performed by randomly flipping and rotating the data only in the training subset to help the model generalize and prevent overfitting, and all images received normalization based on the mean and standard deviation from the ImageNet dataset, so that the input distribution to the pre-trained backbone was as expected.</w:t>
      </w:r>
    </w:p>
    <w:p w14:paraId="799A7426" w14:textId="343A4C7F" w:rsidR="00E611AE" w:rsidRPr="00BA75B7" w:rsidRDefault="00E611AE" w:rsidP="00E611AE">
      <w:pPr>
        <w:pStyle w:val="Heading1"/>
        <w:spacing w:before="360" w:after="120"/>
        <w:ind w:firstLine="720"/>
        <w:rPr>
          <w:color w:val="auto"/>
          <w:sz w:val="24"/>
          <w:szCs w:val="24"/>
          <w:lang w:val="ru-RU"/>
        </w:rPr>
      </w:pPr>
      <w:r w:rsidRPr="00E611AE">
        <w:rPr>
          <w:color w:val="auto"/>
          <w:sz w:val="24"/>
          <w:szCs w:val="24"/>
        </w:rPr>
        <w:t xml:space="preserve">However, despite these advantages, several limitations should be considered. The main issue to be solved by considering them in EuroSAT is that the original images were </w:t>
      </w:r>
      <w:r w:rsidRPr="00E611AE">
        <w:rPr>
          <w:color w:val="auto"/>
          <w:sz w:val="24"/>
          <w:szCs w:val="24"/>
        </w:rPr>
        <w:lastRenderedPageBreak/>
        <w:t>small (64×64 pixels), which reduces the spatial context that the model will have when training and may not be able to correctly identify field-scale patterns. Furthermore, as the EuroSAT dataset was formed by utilizing images from various parts of Europe, a geographic and climatic bias will be present in the image dataset, which leads to variance in spectral response between crops collected from the Central Asian region (e.g., Kazakhstan) and the crops collected from Europe. The proposed model is less accurate in Central Asian classification than for European classification due to differences in crop types, planting and harvest seasons, soil types and characteristics, and corresponding spectral responses of crops cultivated in Central Asia on the basis of the above features.</w:t>
      </w:r>
    </w:p>
    <w:p w14:paraId="1ED275DE" w14:textId="77777777" w:rsidR="00B46C12" w:rsidRPr="00E611AE" w:rsidRDefault="00BA75B7" w:rsidP="00E611AE">
      <w:pPr>
        <w:pStyle w:val="Heading1"/>
        <w:spacing w:before="360" w:after="120"/>
        <w:rPr>
          <w:color w:val="auto"/>
          <w:sz w:val="24"/>
          <w:szCs w:val="24"/>
        </w:rPr>
      </w:pPr>
      <w:r w:rsidRPr="00BA75B7">
        <w:rPr>
          <w:color w:val="auto"/>
          <w:sz w:val="24"/>
          <w:szCs w:val="24"/>
        </w:rPr>
        <w:t>2.1.3. Operating Remote Sensing and Satellite Imagery Platforms</w:t>
      </w:r>
    </w:p>
    <w:p w14:paraId="4F2F1FDB" w14:textId="7C8075E1" w:rsidR="00E611AE" w:rsidRPr="00E611AE" w:rsidRDefault="00E611AE" w:rsidP="00845764">
      <w:pPr>
        <w:pStyle w:val="Heading1"/>
        <w:spacing w:before="360" w:after="120"/>
        <w:ind w:firstLine="720"/>
        <w:rPr>
          <w:color w:val="auto"/>
          <w:sz w:val="24"/>
          <w:szCs w:val="24"/>
        </w:rPr>
      </w:pPr>
      <w:r w:rsidRPr="00E611AE">
        <w:rPr>
          <w:color w:val="auto"/>
          <w:sz w:val="24"/>
          <w:szCs w:val="24"/>
        </w:rPr>
        <w:t>From an operational perspective, real-time satellite imagery serves as the primary data source for the system. This web-based service will rely on two types of satellites, namely: the Sentinel</w:t>
      </w:r>
      <w:r>
        <w:rPr>
          <w:color w:val="auto"/>
          <w:sz w:val="24"/>
          <w:szCs w:val="24"/>
        </w:rPr>
        <w:t>-</w:t>
      </w:r>
      <w:r w:rsidRPr="00E611AE">
        <w:rPr>
          <w:color w:val="auto"/>
          <w:sz w:val="24"/>
          <w:szCs w:val="24"/>
        </w:rPr>
        <w:t>2 satellite system, which will be used as the primary source of satellite imagery; and the Landsat 8/9 satellite systems, which will be used primarily for obtaining historical satellite imagery and for obtaining some conclusive imagery of current conditions.</w:t>
      </w:r>
    </w:p>
    <w:p w14:paraId="5DE5F18B" w14:textId="3854E699" w:rsidR="00E611AE" w:rsidRPr="00E611AE" w:rsidRDefault="00E611AE" w:rsidP="00845764">
      <w:pPr>
        <w:pStyle w:val="Heading1"/>
        <w:spacing w:before="360" w:after="120"/>
        <w:rPr>
          <w:b/>
          <w:bCs/>
          <w:color w:val="auto"/>
          <w:sz w:val="24"/>
          <w:szCs w:val="24"/>
        </w:rPr>
      </w:pPr>
      <w:r w:rsidRPr="00E611AE">
        <w:rPr>
          <w:b/>
          <w:bCs/>
          <w:color w:val="auto"/>
          <w:sz w:val="24"/>
          <w:szCs w:val="24"/>
        </w:rPr>
        <w:t>Sentinel-2 and the Copernicus Programme</w:t>
      </w:r>
      <w:r w:rsidRPr="00E611AE">
        <w:rPr>
          <w:color w:val="auto"/>
          <w:sz w:val="24"/>
          <w:szCs w:val="24"/>
        </w:rPr>
        <w:br/>
      </w:r>
      <w:r w:rsidR="00845764">
        <w:rPr>
          <w:color w:val="auto"/>
          <w:sz w:val="24"/>
          <w:szCs w:val="24"/>
        </w:rPr>
        <w:t xml:space="preserve">        </w:t>
      </w:r>
      <w:r w:rsidRPr="00E611AE">
        <w:rPr>
          <w:color w:val="auto"/>
          <w:sz w:val="24"/>
          <w:szCs w:val="24"/>
        </w:rPr>
        <w:t>Sentinel-2 is an ESA (European Space Agency) twin satellite that is part of the Copernicus Earth Observation Programme and provides global multispectral imagery (from 13 spectral bands) of the Earth's land surface (European Space Agency, 2021). The 13 spectral bands include (in addition to the traditional) blue light, green light, red light (VIS), and near-infrared (NIR) / shortwave infrared (SWIR). The image data from the different bands also have different spatial resolutions: 10 m for the four main VIS/NIR bands, 20 m for the six red edge/SWIR bands, and 60 m for the three bands used to correct the atmospheric effects on other visible bands at a given location in time.</w:t>
      </w:r>
    </w:p>
    <w:p w14:paraId="59704B4B" w14:textId="0B921F75" w:rsidR="00E611AE" w:rsidRPr="00E611AE" w:rsidRDefault="00845764" w:rsidP="00845764">
      <w:pPr>
        <w:pStyle w:val="Heading1"/>
        <w:spacing w:before="360" w:after="120"/>
        <w:ind w:firstLine="720"/>
        <w:rPr>
          <w:color w:val="auto"/>
          <w:sz w:val="24"/>
          <w:szCs w:val="24"/>
        </w:rPr>
      </w:pPr>
      <w:r w:rsidRPr="00845764">
        <w:rPr>
          <w:color w:val="auto"/>
          <w:sz w:val="24"/>
          <w:szCs w:val="24"/>
        </w:rPr>
        <w:t>As a result, the system is able to access up-to-date imagery with a revisit period of approximately 5 days, enabled by the combined coverage of the Sentinel-2A and Sentinel-2B satellites. This ensures that current imagery is available for most agricultural regions, allowing for effective monitoring of seasonal crop growth and timely detection of changes in field conditions.</w:t>
      </w:r>
      <w:r w:rsidRPr="00845764">
        <w:rPr>
          <w:color w:val="auto"/>
          <w:sz w:val="24"/>
          <w:szCs w:val="24"/>
          <w:lang w:val="en-US"/>
        </w:rPr>
        <w:t xml:space="preserve"> </w:t>
      </w:r>
      <w:r w:rsidR="00E611AE" w:rsidRPr="00E611AE">
        <w:rPr>
          <w:color w:val="auto"/>
          <w:sz w:val="24"/>
          <w:szCs w:val="24"/>
        </w:rPr>
        <w:t>This temporal resolution is of paramount importance for monitoring agricultural lands as well as using timely data to inform agronomic decisions.</w:t>
      </w:r>
    </w:p>
    <w:p w14:paraId="2CEEC805" w14:textId="77777777" w:rsidR="00845764" w:rsidRDefault="00BA75B7" w:rsidP="00E611AE">
      <w:pPr>
        <w:pStyle w:val="Heading1"/>
        <w:spacing w:before="360" w:after="120"/>
        <w:rPr>
          <w:b/>
          <w:bCs/>
          <w:color w:val="auto"/>
          <w:sz w:val="24"/>
          <w:szCs w:val="24"/>
        </w:rPr>
      </w:pPr>
      <w:r w:rsidRPr="00BA75B7">
        <w:rPr>
          <w:b/>
          <w:bCs/>
          <w:color w:val="auto"/>
          <w:sz w:val="24"/>
          <w:szCs w:val="24"/>
        </w:rPr>
        <w:t>Google Earth Engine</w:t>
      </w:r>
    </w:p>
    <w:p w14:paraId="4F262657" w14:textId="4A9E1094" w:rsidR="00BA75B7" w:rsidRPr="00BA75B7" w:rsidRDefault="00B46C12" w:rsidP="00845764">
      <w:pPr>
        <w:pStyle w:val="Heading1"/>
        <w:spacing w:before="360" w:after="120"/>
        <w:ind w:firstLine="720"/>
        <w:rPr>
          <w:b/>
          <w:bCs/>
          <w:color w:val="auto"/>
          <w:sz w:val="24"/>
          <w:szCs w:val="24"/>
        </w:rPr>
      </w:pPr>
      <w:r w:rsidRPr="00E611AE">
        <w:rPr>
          <w:color w:val="auto"/>
          <w:sz w:val="24"/>
          <w:szCs w:val="24"/>
        </w:rPr>
        <w:t>In order to efficiently access and process this data, Google Earth Engine (GEE) has been chosen</w:t>
      </w:r>
      <w:r w:rsidRPr="00E611AE">
        <w:rPr>
          <w:color w:val="auto"/>
          <w:sz w:val="24"/>
          <w:szCs w:val="24"/>
          <w:lang w:val="en-US"/>
        </w:rPr>
        <w:t xml:space="preserve">, </w:t>
      </w:r>
      <w:r w:rsidR="00BA75B7" w:rsidRPr="00BA75B7">
        <w:rPr>
          <w:color w:val="auto"/>
          <w:sz w:val="24"/>
          <w:szCs w:val="24"/>
        </w:rPr>
        <w:t>as the principal platform for gaining access to satellite data within this study. Google Earth Engine is a cloud-based geospatial processing platform that will allow programmatic access to a petabyte-scale storage of historical satellite and aerial images and will include all available Sentinel-2 and Landsat imagery data in the GEE database. Use of GEE is free for both educational and research purposes; therefore, this is the most efficient option for projects within an academic setting that need access to larger amounts of geo-spatial data without the necessary institutional infrastructure for handling them.</w:t>
      </w:r>
    </w:p>
    <w:p w14:paraId="0599C767"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 xml:space="preserve">Accessing GEE eliminates the need to keep large satellite image archives within the investigator's local computing environment and reduces or removes the need for computing </w:t>
      </w:r>
      <w:r w:rsidRPr="00BA75B7">
        <w:rPr>
          <w:color w:val="auto"/>
          <w:sz w:val="24"/>
          <w:szCs w:val="24"/>
        </w:rPr>
        <w:lastRenderedPageBreak/>
        <w:t>power from local resources. All querying of imagery from GEE, filtering by time and location, and processing of imagery can be done entirely through use of the GEE Python API in the Cloud, with image processing results being returned as processed image tiles or can/should be exported directly to the Cloud. Within the GEE web services, Sentinel-2 imagery is queried based on the user's geographic bounds and time range of interest, and filtering (querying) is done at the time of image querying to ensure that only high-quality (generally cloud-free) images are returned for analysis.</w:t>
      </w:r>
    </w:p>
    <w:p w14:paraId="77836E31" w14:textId="77777777" w:rsidR="00BA75B7" w:rsidRPr="00BA75B7" w:rsidRDefault="00BA75B7" w:rsidP="00E611AE">
      <w:pPr>
        <w:pStyle w:val="Heading1"/>
        <w:spacing w:before="360" w:after="120"/>
        <w:rPr>
          <w:b/>
          <w:bCs/>
          <w:color w:val="auto"/>
          <w:sz w:val="24"/>
          <w:szCs w:val="24"/>
        </w:rPr>
      </w:pPr>
      <w:r w:rsidRPr="00BA75B7">
        <w:rPr>
          <w:b/>
          <w:bCs/>
          <w:color w:val="auto"/>
          <w:sz w:val="24"/>
          <w:szCs w:val="24"/>
        </w:rPr>
        <w:t>Sentinel Hub</w:t>
      </w:r>
    </w:p>
    <w:p w14:paraId="2C3146EE" w14:textId="77777777" w:rsidR="00E611AE" w:rsidRPr="00E611AE" w:rsidRDefault="00E611AE" w:rsidP="00845764">
      <w:pPr>
        <w:pStyle w:val="Heading1"/>
        <w:spacing w:before="360"/>
        <w:ind w:firstLine="720"/>
        <w:rPr>
          <w:color w:val="auto"/>
          <w:sz w:val="24"/>
          <w:szCs w:val="24"/>
        </w:rPr>
      </w:pPr>
      <w:r w:rsidRPr="00E611AE">
        <w:rPr>
          <w:color w:val="auto"/>
          <w:sz w:val="24"/>
          <w:szCs w:val="24"/>
        </w:rPr>
        <w:t>In addition to GEE, Sentinel Hub can be considered a complementary platform for visualization purposes. Sentinel Hub is an API-based platform that supports access to Sentinel-2 (and other multi-satellite) data products, providing a high-performance system for retrieving processed imagery tiles in common web-friendly formats. With the use of the standardized RESTful interface API, end-users can request the most current imagery, requested in real-time and immediately retrieved, and delivered to their web application (with browser-based mapping components, such as Leaflet.js). Furthermore, even though GEE is the primary backend provider of satellite imagery for this web service, additional resources can be made available through Sentinel Hub, which is especially useful for rendering satellite basemap layers on the interactive web-based frontend map.</w:t>
      </w:r>
    </w:p>
    <w:p w14:paraId="24FEE642" w14:textId="77777777" w:rsidR="00845764" w:rsidRDefault="00E611AE" w:rsidP="00845764">
      <w:pPr>
        <w:pStyle w:val="Heading1"/>
        <w:spacing w:before="360"/>
        <w:rPr>
          <w:b/>
          <w:bCs/>
          <w:color w:val="auto"/>
          <w:sz w:val="24"/>
          <w:szCs w:val="24"/>
        </w:rPr>
      </w:pPr>
      <w:r w:rsidRPr="00E611AE">
        <w:rPr>
          <w:b/>
          <w:bCs/>
          <w:color w:val="auto"/>
          <w:sz w:val="24"/>
          <w:szCs w:val="24"/>
        </w:rPr>
        <w:t>Landsat 8 and 9</w:t>
      </w:r>
    </w:p>
    <w:p w14:paraId="797AD6F3" w14:textId="36611C36" w:rsidR="00E611AE" w:rsidRPr="00E611AE" w:rsidRDefault="00845764" w:rsidP="00845764">
      <w:pPr>
        <w:pStyle w:val="Heading1"/>
        <w:spacing w:before="360"/>
        <w:rPr>
          <w:b/>
          <w:bCs/>
          <w:color w:val="auto"/>
          <w:sz w:val="24"/>
          <w:szCs w:val="24"/>
        </w:rPr>
      </w:pPr>
      <w:r>
        <w:rPr>
          <w:b/>
          <w:bCs/>
          <w:color w:val="auto"/>
          <w:sz w:val="24"/>
          <w:szCs w:val="24"/>
        </w:rPr>
        <w:t xml:space="preserve">         </w:t>
      </w:r>
      <w:r w:rsidR="00E611AE" w:rsidRPr="00E611AE">
        <w:rPr>
          <w:color w:val="auto"/>
          <w:sz w:val="24"/>
          <w:szCs w:val="24"/>
        </w:rPr>
        <w:t>In contrast to Sentinel-2, Landsat 8 and Landsat 9 provide imagery with lower spatial resolution (U.S. Geological Survey, 2020). Landsat 8 and Landsat 9 are not operationally integrated, but provide additional imagery to enhance the existing data sources. Landsat is designed to provide multispectral imagery at 30m spatial resolution, using a 16-day repeat cycle; this means that Landsat provides lower resolution imagery than Sentinel-2, but has a very long history (since 1972). As a primary source for multi-temporal land-use change analysis, Landsat can be used in the web application when users are trying to analyze land-use change over many years or decades.</w:t>
      </w:r>
    </w:p>
    <w:p w14:paraId="22942D4B" w14:textId="77777777" w:rsidR="00E611AE" w:rsidRPr="00E611AE" w:rsidRDefault="00E611AE" w:rsidP="00E611AE">
      <w:pPr>
        <w:pStyle w:val="Heading1"/>
        <w:spacing w:before="360"/>
        <w:rPr>
          <w:color w:val="auto"/>
          <w:sz w:val="24"/>
          <w:szCs w:val="24"/>
        </w:rPr>
      </w:pPr>
    </w:p>
    <w:p w14:paraId="368F49A0" w14:textId="43335016" w:rsidR="00BA75B7" w:rsidRPr="00E611AE" w:rsidRDefault="00BA75B7" w:rsidP="00E611AE">
      <w:pPr>
        <w:pStyle w:val="Heading1"/>
        <w:spacing w:before="360"/>
        <w:rPr>
          <w:color w:val="auto"/>
          <w:sz w:val="24"/>
          <w:szCs w:val="24"/>
          <w:lang w:val="ru-RU"/>
        </w:rPr>
      </w:pPr>
      <w:r w:rsidRPr="00BA75B7">
        <w:rPr>
          <w:color w:val="auto"/>
          <w:sz w:val="24"/>
          <w:szCs w:val="24"/>
        </w:rPr>
        <w:t>2.1.4. Field Boundary Data</w:t>
      </w:r>
    </w:p>
    <w:p w14:paraId="6A4D24CB" w14:textId="77777777" w:rsidR="00E611AE" w:rsidRPr="00E611AE" w:rsidRDefault="00E611AE" w:rsidP="00845764">
      <w:pPr>
        <w:pStyle w:val="Heading1"/>
        <w:spacing w:before="360"/>
        <w:ind w:firstLine="720"/>
        <w:rPr>
          <w:color w:val="auto"/>
          <w:sz w:val="24"/>
          <w:szCs w:val="24"/>
        </w:rPr>
      </w:pPr>
      <w:r w:rsidRPr="00E611AE">
        <w:rPr>
          <w:color w:val="auto"/>
          <w:sz w:val="24"/>
          <w:szCs w:val="24"/>
        </w:rPr>
        <w:t>From a spatial analysis perspective, accurate field boundary data are essential. Having accurate and clearly defined spatial outlines for agricultural parcels is vital for carrying out parcel-based research and analysis, while also defining the extent to which satellite imagery will be used to assess the condition of a parcel's vegetation as per the vegetation index. For this research, the field outline is represented in GeoJSON format (the most commonly used open standard for encoding geographic features in JSON) and will be easily processed by many of the GIS tools and web-based geospatial libraries.</w:t>
      </w:r>
    </w:p>
    <w:p w14:paraId="2C895E62" w14:textId="77777777" w:rsidR="00E611AE" w:rsidRPr="00E611AE" w:rsidRDefault="00E611AE" w:rsidP="00845764">
      <w:pPr>
        <w:pStyle w:val="Heading1"/>
        <w:spacing w:before="360"/>
        <w:ind w:firstLine="720"/>
        <w:rPr>
          <w:color w:val="auto"/>
          <w:sz w:val="24"/>
          <w:szCs w:val="24"/>
        </w:rPr>
      </w:pPr>
      <w:r w:rsidRPr="00E611AE">
        <w:rPr>
          <w:color w:val="auto"/>
          <w:sz w:val="24"/>
          <w:szCs w:val="24"/>
        </w:rPr>
        <w:t>Users can upload GeoJSON files through the web interface. By allowing users to upload their own field boundary files, the authors of this web service have considered that the availability, format, and licensing of cadastral and parcel boundary data are very different across regions.</w:t>
      </w:r>
    </w:p>
    <w:p w14:paraId="4FE8FC73" w14:textId="09D89234" w:rsidR="00E611AE" w:rsidRPr="00BA75B7" w:rsidRDefault="00E611AE" w:rsidP="00845764">
      <w:pPr>
        <w:pStyle w:val="Heading1"/>
        <w:spacing w:before="360"/>
        <w:ind w:firstLine="720"/>
        <w:rPr>
          <w:color w:val="auto"/>
          <w:sz w:val="24"/>
          <w:szCs w:val="24"/>
          <w:lang w:val="ru-RU"/>
        </w:rPr>
      </w:pPr>
      <w:r w:rsidRPr="00E611AE">
        <w:rPr>
          <w:color w:val="auto"/>
          <w:sz w:val="24"/>
          <w:szCs w:val="24"/>
        </w:rPr>
        <w:lastRenderedPageBreak/>
        <w:t>Uploaded geometries undergo validation to ensure topological correctness. After validation, the system calculates the area of each polygon and computes centroid coordinates for visualization and analysis.</w:t>
      </w:r>
    </w:p>
    <w:p w14:paraId="132D15B3" w14:textId="77777777" w:rsidR="00BA75B7" w:rsidRPr="00BA75B7" w:rsidRDefault="00BA75B7" w:rsidP="00E611AE">
      <w:pPr>
        <w:pStyle w:val="Heading1"/>
        <w:spacing w:before="360"/>
        <w:rPr>
          <w:color w:val="auto"/>
          <w:sz w:val="24"/>
          <w:szCs w:val="24"/>
        </w:rPr>
      </w:pPr>
      <w:r w:rsidRPr="00BA75B7">
        <w:rPr>
          <w:color w:val="auto"/>
          <w:sz w:val="24"/>
          <w:szCs w:val="24"/>
        </w:rPr>
        <w:t>2.1.5. Vegetation Indices: NDVI and EVI</w:t>
      </w:r>
    </w:p>
    <w:p w14:paraId="43A630F2" w14:textId="30733A38" w:rsidR="00BA75B7" w:rsidRPr="00BA75B7" w:rsidRDefault="006D51D3" w:rsidP="00845764">
      <w:pPr>
        <w:pStyle w:val="Heading1"/>
        <w:spacing w:before="360" w:after="120"/>
        <w:ind w:firstLine="720"/>
        <w:rPr>
          <w:color w:val="auto"/>
          <w:sz w:val="24"/>
          <w:szCs w:val="24"/>
        </w:rPr>
      </w:pPr>
      <w:r w:rsidRPr="00E611AE">
        <w:rPr>
          <w:color w:val="auto"/>
          <w:sz w:val="24"/>
          <w:szCs w:val="24"/>
        </w:rPr>
        <w:t>From an analytical perspective, vegetation indices play a key role in assessing plant condition. They are quantitative spectral metrics derived from satellite imagery that characterize the state and density of vegetation cover.</w:t>
      </w:r>
      <w:r w:rsidRPr="00E611AE">
        <w:rPr>
          <w:color w:val="auto"/>
          <w:sz w:val="24"/>
          <w:szCs w:val="24"/>
          <w:lang w:val="en-US"/>
        </w:rPr>
        <w:t xml:space="preserve"> </w:t>
      </w:r>
      <w:r w:rsidR="00BA75B7" w:rsidRPr="00BA75B7">
        <w:rPr>
          <w:color w:val="auto"/>
          <w:sz w:val="24"/>
          <w:szCs w:val="24"/>
        </w:rPr>
        <w:t>They exploit the differential reflectance properties of vegetation across spectral bands — particularly the strong absorption of red light and high reflectance of near-infrared radiation by healthy plant canopies — to produce normalized indicators of vegetation health that are comparable across different images, sensors, and geographic locations.</w:t>
      </w:r>
    </w:p>
    <w:p w14:paraId="59B0813D" w14:textId="5598E11B" w:rsidR="00BA75B7" w:rsidRPr="00BA75B7" w:rsidRDefault="00BA75B7" w:rsidP="00845764">
      <w:pPr>
        <w:pStyle w:val="Heading1"/>
        <w:spacing w:before="360" w:after="120"/>
        <w:ind w:firstLine="720"/>
        <w:rPr>
          <w:color w:val="auto"/>
          <w:sz w:val="24"/>
          <w:szCs w:val="24"/>
        </w:rPr>
      </w:pPr>
      <w:r w:rsidRPr="00BA75B7">
        <w:rPr>
          <w:color w:val="auto"/>
          <w:sz w:val="24"/>
          <w:szCs w:val="24"/>
        </w:rPr>
        <w:t>The Normalized Difference Vegetation Index (NDVI) is the primary vegetation indicator implemented in the current version of the web service. NDVI is calculated according to the following formula:</w:t>
      </w:r>
    </w:p>
    <w:p w14:paraId="635AEC61" w14:textId="77777777" w:rsidR="00BA75B7" w:rsidRPr="00BA75B7" w:rsidRDefault="00BA75B7" w:rsidP="00845764">
      <w:pPr>
        <w:pStyle w:val="Heading1"/>
        <w:spacing w:before="360" w:after="120"/>
        <w:ind w:left="2160" w:firstLine="720"/>
        <w:rPr>
          <w:color w:val="auto"/>
          <w:sz w:val="24"/>
          <w:szCs w:val="24"/>
        </w:rPr>
      </w:pPr>
      <w:r w:rsidRPr="00BA75B7">
        <w:rPr>
          <w:i/>
          <w:iCs/>
          <w:color w:val="auto"/>
          <w:sz w:val="24"/>
          <w:szCs w:val="24"/>
        </w:rPr>
        <w:t>NDVI = (NIR − RED) / (NIR + RED)</w:t>
      </w:r>
    </w:p>
    <w:p w14:paraId="322B42AB" w14:textId="77777777" w:rsidR="00BA75B7" w:rsidRPr="00BA75B7" w:rsidRDefault="00BA75B7" w:rsidP="00E611AE">
      <w:pPr>
        <w:pStyle w:val="Heading1"/>
        <w:spacing w:before="360" w:after="120"/>
        <w:rPr>
          <w:color w:val="auto"/>
          <w:sz w:val="24"/>
          <w:szCs w:val="24"/>
        </w:rPr>
      </w:pPr>
      <w:r w:rsidRPr="00BA75B7">
        <w:rPr>
          <w:color w:val="auto"/>
          <w:sz w:val="24"/>
          <w:szCs w:val="24"/>
        </w:rPr>
        <w:t>where NIR denotes the surface reflectance value in the near-infrared spectral band, and RED denotes the reflectance in the red visible band. The normalization by the sum of both bands constrains the output to a continuous scale ranging from −1 to +1, making NDVI values directly comparable across images acquired under different illumination conditions or atmospheric states.</w:t>
      </w:r>
    </w:p>
    <w:p w14:paraId="40A97682"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Values in the range of 0.6 to 0.9 correspond to dense, healthy vegetation with high photosynthetic activity, typical of mature crop canopies at peak growing season. Values between 0.2 and 0.5 indicate sparse or moderately developed vegetation, such as early-stage crops or degraded pastures. Values near zero suggest bare soil or rock surfaces, while negative values typically indicate water bodies, snow, or cloud cover. NDVI is computed within the analysis_service.py module of the backend and returned as the ndvi_value field in the API response.</w:t>
      </w:r>
    </w:p>
    <w:p w14:paraId="403431A4" w14:textId="77777777" w:rsidR="00BA75B7" w:rsidRPr="00BA75B7" w:rsidRDefault="00BA75B7" w:rsidP="00845764">
      <w:pPr>
        <w:pStyle w:val="Heading1"/>
        <w:spacing w:before="360" w:after="120"/>
        <w:ind w:left="2160" w:firstLine="720"/>
        <w:rPr>
          <w:color w:val="auto"/>
          <w:sz w:val="24"/>
          <w:szCs w:val="24"/>
        </w:rPr>
      </w:pPr>
      <w:r w:rsidRPr="00BA75B7">
        <w:rPr>
          <w:color w:val="auto"/>
          <w:sz w:val="24"/>
          <w:szCs w:val="24"/>
        </w:rPr>
        <w:t>EVI — Enhanced Vegetation Index</w:t>
      </w:r>
    </w:p>
    <w:p w14:paraId="2D61474E"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The Enhanced Vegetation Index (EVI) is implemented as a complementary spectral indicator to address known limitations of NDVI. EVI is calculated as:</w:t>
      </w:r>
    </w:p>
    <w:p w14:paraId="07F9564D" w14:textId="77777777" w:rsidR="00BA75B7" w:rsidRPr="00BA75B7" w:rsidRDefault="00BA75B7" w:rsidP="00845764">
      <w:pPr>
        <w:pStyle w:val="Heading1"/>
        <w:spacing w:before="360" w:after="120"/>
        <w:ind w:left="2160"/>
        <w:rPr>
          <w:color w:val="auto"/>
          <w:sz w:val="24"/>
          <w:szCs w:val="24"/>
        </w:rPr>
      </w:pPr>
      <w:r w:rsidRPr="00BA75B7">
        <w:rPr>
          <w:i/>
          <w:iCs/>
          <w:color w:val="auto"/>
          <w:sz w:val="24"/>
          <w:szCs w:val="24"/>
        </w:rPr>
        <w:t>EVI = 2.5 × (NIR − RED) / (NIR + 6×RED − 7.5×BLUE + 1)</w:t>
      </w:r>
    </w:p>
    <w:p w14:paraId="03708F15" w14:textId="77777777" w:rsidR="00BA75B7" w:rsidRPr="00BA75B7" w:rsidRDefault="00BA75B7" w:rsidP="00845764">
      <w:pPr>
        <w:pStyle w:val="Heading1"/>
        <w:spacing w:before="360" w:after="120"/>
        <w:rPr>
          <w:color w:val="auto"/>
          <w:sz w:val="24"/>
          <w:szCs w:val="24"/>
        </w:rPr>
      </w:pPr>
      <w:r w:rsidRPr="00BA75B7">
        <w:rPr>
          <w:color w:val="auto"/>
          <w:sz w:val="24"/>
          <w:szCs w:val="24"/>
        </w:rPr>
        <w:t>where NIR, RED, and BLUE refer to surface reflectance values in the near-infrared, red, and blue spectral bands, respectively. The coefficients 6 and 7.5 are empirically derived correction factors that reduce the influence of atmospheric aerosols and soil background reflectance on the index value.</w:t>
      </w:r>
    </w:p>
    <w:p w14:paraId="102DDA92"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lastRenderedPageBreak/>
        <w:t>EVI offers two principal advantages over NDVI. First, it is less sensitive to atmospheric distortion, making it more reliable under hazy or aerosol-laden conditions. Second, EVI does not saturate as rapidly as NDVI in areas of high vegetation density, making it more discriminating in dense crop canopies where NDVI values tend to plateau. Together, NDVI and EVI provide complementary information about vegetation condition and are both included in the analytical pipeline of the web service.</w:t>
      </w:r>
    </w:p>
    <w:p w14:paraId="4A26C085" w14:textId="77777777" w:rsidR="00BA75B7" w:rsidRPr="00BA75B7" w:rsidRDefault="00BA75B7" w:rsidP="00E611AE">
      <w:pPr>
        <w:pStyle w:val="Heading1"/>
        <w:spacing w:before="360"/>
        <w:rPr>
          <w:color w:val="auto"/>
          <w:sz w:val="24"/>
          <w:szCs w:val="24"/>
        </w:rPr>
      </w:pPr>
      <w:r w:rsidRPr="00BA75B7">
        <w:rPr>
          <w:color w:val="auto"/>
          <w:sz w:val="24"/>
          <w:szCs w:val="24"/>
        </w:rPr>
        <w:t>2.1.6. Data Collection and Processing Pipeline</w:t>
      </w:r>
    </w:p>
    <w:p w14:paraId="4BB491F8" w14:textId="058CB76C" w:rsidR="00BA75B7" w:rsidRPr="00BA75B7" w:rsidRDefault="006D51D3" w:rsidP="00845764">
      <w:pPr>
        <w:pStyle w:val="Heading1"/>
        <w:spacing w:before="360" w:after="120"/>
        <w:ind w:firstLine="720"/>
        <w:rPr>
          <w:color w:val="auto"/>
          <w:sz w:val="24"/>
          <w:szCs w:val="24"/>
        </w:rPr>
      </w:pPr>
      <w:r w:rsidRPr="00E611AE">
        <w:rPr>
          <w:color w:val="auto"/>
          <w:sz w:val="24"/>
          <w:szCs w:val="24"/>
        </w:rPr>
        <w:t>To integrate the aforementioned data sources, the workflow is structured as a multi-stage pipeline.</w:t>
      </w:r>
      <w:r w:rsidRPr="00E611AE">
        <w:rPr>
          <w:color w:val="auto"/>
          <w:sz w:val="24"/>
          <w:szCs w:val="24"/>
          <w:lang w:val="en-US"/>
        </w:rPr>
        <w:t xml:space="preserve"> </w:t>
      </w:r>
      <w:r w:rsidR="00BA75B7" w:rsidRPr="00BA75B7">
        <w:rPr>
          <w:color w:val="auto"/>
          <w:sz w:val="24"/>
          <w:szCs w:val="24"/>
        </w:rPr>
        <w:t>The data collection and processing workflow is structured as a multi-stage pipeline for pulling down satellite imagery from Google Earth Engine, spatially processing the retrieved imagery, computing indices on the processed imagery, and preparing models using all the data from these images.</w:t>
      </w:r>
    </w:p>
    <w:p w14:paraId="6950C742"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Stage 1 – Retrieval of satellite imagery via Google Earth Engine (GEE): Data are obtained as images using the GEE Python API. Image queries will be defined based upon the extents of the user's uploaded field boundaries (i.e., geographical boundaries), a date range specified by the user, and a maximum amount of cloud cover represented by the images retrieved for analysis. These filters yield only those images that have acceptable atmospheric quality values for use in statistical analysis.</w:t>
      </w:r>
    </w:p>
    <w:p w14:paraId="5AF92BF5"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Stage 2 – Clipping of rastered data to the user's uploaded field areas: The raster images are clipped to the boundaries of each agricultural plot according to how they were defined in the user's uploaded GeoJSON file. Clipping occurs via the Rasterio module in Python, such that each plotted area will have only the raster data contained within its boundaries (region of interest). Raster data are read by Rasterio for each raster image downloaded by GEE, and raster data pixels that fall within each agricultural parcel boundary will be retained.</w:t>
      </w:r>
    </w:p>
    <w:p w14:paraId="24182EF2"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In the third stage, vegetation indices — NDVI and EVI — are computed from the clipped multispectral raster data using the band arithmetic formulas described in Section 2.1.5. The computed index values are stored as additional raster layers aligned with the clipped imagery.</w:t>
      </w:r>
    </w:p>
    <w:p w14:paraId="4ECDC4B1"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In the fourth stage, the imagery is preprocessed for input to the machine learning model. This includes resizing image patches to 224×224 pixels, applying normalization using ImageNet statistics, and converting the data to PyTorch tensor format. These transformations ensure compatibility with the pretrained ResNet-50 backbone used for classification.</w:t>
      </w:r>
    </w:p>
    <w:p w14:paraId="46FF9EC8" w14:textId="77777777" w:rsidR="00BA75B7" w:rsidRDefault="00BA75B7" w:rsidP="00845764">
      <w:pPr>
        <w:pStyle w:val="Heading1"/>
        <w:spacing w:before="360" w:after="120"/>
        <w:ind w:firstLine="720"/>
        <w:rPr>
          <w:color w:val="auto"/>
          <w:sz w:val="24"/>
          <w:szCs w:val="24"/>
        </w:rPr>
      </w:pPr>
      <w:r w:rsidRPr="00BA75B7">
        <w:rPr>
          <w:color w:val="auto"/>
          <w:sz w:val="24"/>
          <w:szCs w:val="24"/>
        </w:rPr>
        <w:t>In the fifth and final stage, the preprocessed data are passed to the machine learning model for inference. The model produces a land-cover classification for each field, which — together with the computed vegetation index values — is returned to the frontend and rendered as a map overlay with summary statistics.</w:t>
      </w:r>
    </w:p>
    <w:p w14:paraId="65F93A21" w14:textId="77777777" w:rsidR="00845764" w:rsidRPr="00BA75B7" w:rsidRDefault="00845764" w:rsidP="00845764">
      <w:pPr>
        <w:pStyle w:val="Heading1"/>
        <w:spacing w:before="360" w:after="120"/>
        <w:ind w:firstLine="720"/>
        <w:rPr>
          <w:color w:val="auto"/>
          <w:sz w:val="24"/>
          <w:szCs w:val="24"/>
        </w:rPr>
      </w:pPr>
    </w:p>
    <w:p w14:paraId="577B2862" w14:textId="77777777" w:rsidR="00BA75B7" w:rsidRPr="00BA75B7" w:rsidRDefault="00BA75B7" w:rsidP="00E611AE">
      <w:pPr>
        <w:pStyle w:val="Heading1"/>
        <w:spacing w:before="360"/>
        <w:rPr>
          <w:color w:val="auto"/>
          <w:sz w:val="24"/>
          <w:szCs w:val="24"/>
        </w:rPr>
      </w:pPr>
      <w:r w:rsidRPr="00BA75B7">
        <w:rPr>
          <w:color w:val="auto"/>
          <w:sz w:val="24"/>
          <w:szCs w:val="24"/>
        </w:rPr>
        <w:lastRenderedPageBreak/>
        <w:t>2.1.7. Limitations and Challenges of Data Collection</w:t>
      </w:r>
    </w:p>
    <w:p w14:paraId="4739EB5C" w14:textId="77777777" w:rsidR="00845764" w:rsidRDefault="00845764" w:rsidP="00845764">
      <w:pPr>
        <w:pStyle w:val="Heading1"/>
        <w:spacing w:before="360" w:after="120"/>
        <w:ind w:firstLine="720"/>
        <w:rPr>
          <w:color w:val="auto"/>
          <w:sz w:val="24"/>
          <w:szCs w:val="24"/>
          <w:lang w:val="ru-RU"/>
        </w:rPr>
      </w:pPr>
      <w:r w:rsidRPr="00845764">
        <w:rPr>
          <w:color w:val="auto"/>
          <w:sz w:val="24"/>
          <w:szCs w:val="24"/>
        </w:rPr>
        <w:t>Despite the robustness of the proposed approach, several limitations affect its reliability and scalability. Additionally, various practical challenges influence the overall performance of the system.</w:t>
      </w:r>
    </w:p>
    <w:p w14:paraId="02E7BD1A" w14:textId="6C6058C2" w:rsidR="00BA75B7" w:rsidRPr="00BA75B7" w:rsidRDefault="00BA75B7" w:rsidP="00845764">
      <w:pPr>
        <w:pStyle w:val="Heading1"/>
        <w:spacing w:before="360" w:after="120"/>
        <w:ind w:firstLine="720"/>
        <w:rPr>
          <w:color w:val="auto"/>
          <w:sz w:val="24"/>
          <w:szCs w:val="24"/>
        </w:rPr>
      </w:pPr>
      <w:r w:rsidRPr="00BA75B7">
        <w:rPr>
          <w:color w:val="auto"/>
          <w:sz w:val="24"/>
          <w:szCs w:val="24"/>
        </w:rPr>
        <w:t>One of the main practical limitations associated with satellite-based operational analysis is the impact of cloud cover. Cloud cover prevents optical sensors on both Landsat and Sentinel-2 from capturing pixels; thus, there are pixels that do not exist or are contaminated due to clouds in the area over which the pixel falls. In agricultural regions such as Kazakhstan, where cloud cover is common, there may not be cloud-free images available in spring or fall; this is particularly problematic since spring and fall represent critical periods of plant growth.</w:t>
      </w:r>
    </w:p>
    <w:p w14:paraId="0F4E327D"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Limitations of spatial resolution present another significant issue for analysing agricultural parcels that are relatively small or have irregular shapes. At a 10-meter resolution, a field of less than one hectare may be captured using somewhere between 2 and 3 pixels, therefore making the statistics from derived vegetation indices or derived classification less statistically verifiable.</w:t>
      </w:r>
    </w:p>
    <w:p w14:paraId="45F3A70D"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Using Landsat images and Sentinel-2 images together creates difficulties because of the differences in resolution: one set has a 10m resolution, while the other has a 30m resolution. Therefore, if you wanted to compare the two datasets at a pixel level, you would first need to resample—this process introduces interpolated artifacts. To work around this challenge, data from Sentinel-2 will be used more for day-to-day operations, while data from Landsat will be solely for historical temporal comparisons.</w:t>
      </w:r>
    </w:p>
    <w:p w14:paraId="2F5C6CB3" w14:textId="77777777" w:rsidR="00BA75B7" w:rsidRPr="00BA75B7" w:rsidRDefault="00BA75B7" w:rsidP="00845764">
      <w:pPr>
        <w:pStyle w:val="Heading1"/>
        <w:spacing w:before="360" w:after="120"/>
        <w:ind w:firstLine="720"/>
        <w:rPr>
          <w:color w:val="auto"/>
          <w:sz w:val="24"/>
          <w:szCs w:val="24"/>
        </w:rPr>
      </w:pPr>
      <w:r w:rsidRPr="00BA75B7">
        <w:rPr>
          <w:color w:val="auto"/>
          <w:sz w:val="24"/>
          <w:szCs w:val="24"/>
        </w:rPr>
        <w:t>The API rate limits and latency also create operational restrictions. There are rate limits imposed by both Google Earth Engine and Sentinel Hub, resulting in potential processing delays caused by high amounts of people utilizing the system at the same time. In order for this system to operate at a production level, there will need to be a request queue system and a cache of frequently accessed images.</w:t>
      </w:r>
    </w:p>
    <w:p w14:paraId="6FB88008" w14:textId="727180A6" w:rsidR="00BA75B7" w:rsidRPr="00BA75B7" w:rsidRDefault="00BA75B7" w:rsidP="00845764">
      <w:pPr>
        <w:pStyle w:val="Heading1"/>
        <w:spacing w:before="360" w:after="120"/>
        <w:ind w:firstLine="720"/>
        <w:rPr>
          <w:color w:val="auto"/>
          <w:sz w:val="24"/>
          <w:szCs w:val="24"/>
        </w:rPr>
      </w:pPr>
      <w:r w:rsidRPr="00BA75B7">
        <w:rPr>
          <w:color w:val="auto"/>
          <w:sz w:val="24"/>
          <w:szCs w:val="24"/>
        </w:rPr>
        <w:t>Another limitation is geographic and climatic bias in EuroSAT, because the EuroSAT dataset is created based on typical growing conditions found in Europe. Since the crop types grown in Kazakhstan differ from those grown in Europe, as do soil conditions, field sizes, and the phenologies of different crops found there, this will likely result in lower accuracy for any potential fine-tuned models created to model the two regions. Therefore, it is recommended that future studies collect locally annotated training samples that represent typical growing conditions in Kazakhstan and incorporate them into existing datasets to address this limitation.</w:t>
      </w:r>
    </w:p>
    <w:p w14:paraId="39187CAC" w14:textId="1014C675" w:rsidR="00FD1323" w:rsidRDefault="00FD1323" w:rsidP="00E611AE">
      <w:pPr>
        <w:pStyle w:val="Heading1"/>
        <w:spacing w:before="360" w:after="120"/>
        <w:rPr>
          <w:color w:val="auto"/>
          <w:sz w:val="24"/>
          <w:szCs w:val="24"/>
        </w:rPr>
      </w:pPr>
    </w:p>
    <w:p w14:paraId="6C3754D2" w14:textId="77777777" w:rsidR="00845764" w:rsidRDefault="00845764" w:rsidP="00E611AE">
      <w:pPr>
        <w:pStyle w:val="Heading1"/>
        <w:spacing w:before="360" w:after="120"/>
        <w:rPr>
          <w:color w:val="auto"/>
          <w:sz w:val="24"/>
          <w:szCs w:val="24"/>
        </w:rPr>
      </w:pPr>
    </w:p>
    <w:p w14:paraId="105881DA" w14:textId="77777777" w:rsidR="00845764" w:rsidRPr="00E611AE" w:rsidRDefault="00845764" w:rsidP="00E611AE">
      <w:pPr>
        <w:pStyle w:val="Heading1"/>
        <w:spacing w:before="360" w:after="120"/>
        <w:rPr>
          <w:color w:val="auto"/>
          <w:sz w:val="24"/>
          <w:szCs w:val="24"/>
        </w:rPr>
      </w:pPr>
    </w:p>
    <w:p w14:paraId="7B7391F2" w14:textId="77777777" w:rsidR="00FD1323" w:rsidRPr="00E611AE" w:rsidRDefault="00000000" w:rsidP="00E611AE">
      <w:pPr>
        <w:pStyle w:val="Heading2"/>
        <w:spacing w:before="280" w:after="100"/>
        <w:rPr>
          <w:color w:val="auto"/>
          <w:sz w:val="24"/>
          <w:szCs w:val="24"/>
        </w:rPr>
      </w:pPr>
      <w:r w:rsidRPr="00E611AE">
        <w:rPr>
          <w:color w:val="auto"/>
          <w:sz w:val="24"/>
          <w:szCs w:val="24"/>
        </w:rPr>
        <w:lastRenderedPageBreak/>
        <w:t>2.1.8. Summary</w:t>
      </w:r>
    </w:p>
    <w:p w14:paraId="39FB87AE" w14:textId="70D556B5" w:rsidR="00FD1323" w:rsidRPr="00E611AE" w:rsidRDefault="006D51D3" w:rsidP="00E611AE">
      <w:pPr>
        <w:spacing w:before="160" w:after="80"/>
        <w:ind w:firstLine="720"/>
      </w:pPr>
      <w:r w:rsidRPr="00E611AE">
        <w:t>In summary, the proposed data collection strategy integrates a publicly available benchmark dataset, cloud-based satellite imagery platforms, user-supplied geospatial boundary data, and derived spectral indices into a coherent and practical data architecture. Table 2.1 provides a consolidated summary of the data sources, including their types, resolutions, and roles within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00"/>
        <w:gridCol w:w="3200"/>
      </w:tblGrid>
      <w:tr w:rsidR="00E611AE" w:rsidRPr="00E611AE" w14:paraId="7E12E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190E998" w14:textId="77777777" w:rsidR="00FD1323" w:rsidRPr="00E611AE" w:rsidRDefault="00000000" w:rsidP="00E611AE">
            <w:pPr>
              <w:jc w:val="center"/>
            </w:pPr>
            <w:r w:rsidRPr="00E611AE">
              <w:t>Data Source</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F5E155B" w14:textId="77777777" w:rsidR="00FD1323" w:rsidRPr="00E611AE" w:rsidRDefault="00000000" w:rsidP="00E611AE">
            <w:pPr>
              <w:jc w:val="center"/>
            </w:pPr>
            <w:r w:rsidRPr="00E611AE">
              <w:t>Type</w:t>
            </w:r>
          </w:p>
        </w:tc>
        <w:tc>
          <w:tcPr>
            <w:tcW w:w="16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766132F" w14:textId="77777777" w:rsidR="00FD1323" w:rsidRPr="00E611AE" w:rsidRDefault="00000000" w:rsidP="00E611AE">
            <w:pPr>
              <w:jc w:val="center"/>
            </w:pPr>
            <w:r w:rsidRPr="00E611AE">
              <w:t>Resolution</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1FAD039" w14:textId="77777777" w:rsidR="00FD1323" w:rsidRPr="00E611AE" w:rsidRDefault="00000000" w:rsidP="00E611AE">
            <w:pPr>
              <w:jc w:val="center"/>
            </w:pPr>
            <w:r w:rsidRPr="00E611AE">
              <w:t>Role in the System</w:t>
            </w:r>
          </w:p>
        </w:tc>
      </w:tr>
      <w:tr w:rsidR="00E611AE" w:rsidRPr="00E611AE" w14:paraId="0839A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2A240" w14:textId="77777777" w:rsidR="00FD1323" w:rsidRPr="00E611AE" w:rsidRDefault="00000000" w:rsidP="00E611AE">
            <w:r w:rsidRPr="00E611AE">
              <w:t>EuroSAT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3FD9" w14:textId="77777777" w:rsidR="00FD1323" w:rsidRPr="00E611AE" w:rsidRDefault="00000000" w:rsidP="00E611AE">
            <w:r w:rsidRPr="00E611AE">
              <w:t>Labeled image patches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9566C" w14:textId="77777777" w:rsidR="00FD1323" w:rsidRPr="00E611AE" w:rsidRDefault="00000000" w:rsidP="00E611AE">
            <w:r w:rsidRPr="00E611AE">
              <w:t>10 m/px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7156" w14:textId="77777777" w:rsidR="00FD1323" w:rsidRPr="00E611AE" w:rsidRDefault="00000000" w:rsidP="00E611AE">
            <w:r w:rsidRPr="00E611AE">
              <w:t>Model training and fine-tuning</w:t>
            </w:r>
          </w:p>
        </w:tc>
      </w:tr>
      <w:tr w:rsidR="00E611AE" w:rsidRPr="00E611AE" w14:paraId="3DF30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38C00" w14:textId="77777777" w:rsidR="00FD1323" w:rsidRPr="00E611AE" w:rsidRDefault="00000000" w:rsidP="00E611AE">
            <w:r w:rsidRPr="00E611AE">
              <w:t>Sentinel-2 via GEE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E9339" w14:textId="77777777" w:rsidR="00FD1323" w:rsidRPr="00E611AE" w:rsidRDefault="00000000" w:rsidP="00E611AE">
            <w:r w:rsidRPr="00E611AE">
              <w:t>Multispectral raster imagery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2C687" w14:textId="77777777" w:rsidR="00FD1323" w:rsidRPr="00E611AE" w:rsidRDefault="00000000" w:rsidP="00E611AE">
            <w:r w:rsidRPr="00E611AE">
              <w:t>10 m/px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F432" w14:textId="77777777" w:rsidR="00FD1323" w:rsidRPr="00E611AE" w:rsidRDefault="00000000" w:rsidP="00E611AE">
            <w:r w:rsidRPr="00E611AE">
              <w:t>Primary operational imagery</w:t>
            </w:r>
          </w:p>
        </w:tc>
      </w:tr>
      <w:tr w:rsidR="00E611AE" w:rsidRPr="00E611AE" w14:paraId="1000D2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97C0" w14:textId="77777777" w:rsidR="00FD1323" w:rsidRPr="00E611AE" w:rsidRDefault="00000000" w:rsidP="00E611AE">
            <w:r w:rsidRPr="00E611AE">
              <w:t>Landsat 8/9 via GEE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7245" w14:textId="77777777" w:rsidR="00FD1323" w:rsidRPr="00E611AE" w:rsidRDefault="00000000" w:rsidP="00E611AE">
            <w:r w:rsidRPr="00E611AE">
              <w:t>Multispectral raster imagery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1B2E2" w14:textId="77777777" w:rsidR="00FD1323" w:rsidRPr="00E611AE" w:rsidRDefault="00000000" w:rsidP="00E611AE">
            <w:r w:rsidRPr="00E611AE">
              <w:t>30 m/px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85E93" w14:textId="77777777" w:rsidR="00FD1323" w:rsidRPr="00E611AE" w:rsidRDefault="00000000" w:rsidP="00E611AE">
            <w:r w:rsidRPr="00E611AE">
              <w:t>Historical / secondary imagery</w:t>
            </w:r>
          </w:p>
        </w:tc>
      </w:tr>
      <w:tr w:rsidR="00E611AE" w:rsidRPr="00E611AE" w14:paraId="4E2D61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C305" w14:textId="77777777" w:rsidR="00FD1323" w:rsidRPr="00E611AE" w:rsidRDefault="00000000" w:rsidP="00E611AE">
            <w:r w:rsidRPr="00E611AE">
              <w:t>Sentinel Hub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4542E" w14:textId="77777777" w:rsidR="00FD1323" w:rsidRPr="00E611AE" w:rsidRDefault="00000000" w:rsidP="00E611AE">
            <w:r w:rsidRPr="00E611AE">
              <w:t>API imagery tiles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E5FD9" w14:textId="77777777" w:rsidR="00FD1323" w:rsidRPr="00E611AE" w:rsidRDefault="00000000" w:rsidP="00E611AE">
            <w:r w:rsidRPr="00E611AE">
              <w:t>10 m/px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FDA7B" w14:textId="77777777" w:rsidR="00FD1323" w:rsidRPr="00E611AE" w:rsidRDefault="00000000" w:rsidP="00E611AE">
            <w:r w:rsidRPr="00E611AE">
              <w:t>Frontend map visualization</w:t>
            </w:r>
          </w:p>
        </w:tc>
      </w:tr>
      <w:tr w:rsidR="00E611AE" w:rsidRPr="00E611AE" w14:paraId="437FC3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5036B" w14:textId="77777777" w:rsidR="00FD1323" w:rsidRPr="00E611AE" w:rsidRDefault="00000000" w:rsidP="00E611AE">
            <w:r w:rsidRPr="00E611AE">
              <w:t>User-uploaded GeoJSON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F07E" w14:textId="77777777" w:rsidR="00FD1323" w:rsidRPr="00E611AE" w:rsidRDefault="00000000" w:rsidP="00E611AE">
            <w:r w:rsidRPr="00E611AE">
              <w:t>Vector parcel boundaries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6FCB2" w14:textId="77777777" w:rsidR="00FD1323" w:rsidRPr="00E611AE" w:rsidRDefault="00000000" w:rsidP="00E611AE">
            <w:r w:rsidRPr="00E611AE">
              <w:t>User-defined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1A39" w14:textId="77777777" w:rsidR="00FD1323" w:rsidRPr="00E611AE" w:rsidRDefault="00000000" w:rsidP="00E611AE">
            <w:r w:rsidRPr="00E611AE">
              <w:t>Field delineation and clipping</w:t>
            </w:r>
          </w:p>
        </w:tc>
      </w:tr>
      <w:tr w:rsidR="00E611AE" w:rsidRPr="00E611AE" w14:paraId="245CF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EBE6" w14:textId="77777777" w:rsidR="00FD1323" w:rsidRPr="00E611AE" w:rsidRDefault="00000000" w:rsidP="00E611AE">
            <w:r w:rsidRPr="00E611AE">
              <w:t>NDVI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A501" w14:textId="77777777" w:rsidR="00FD1323" w:rsidRPr="00E611AE" w:rsidRDefault="00000000" w:rsidP="00E611AE">
            <w:r w:rsidRPr="00E611AE">
              <w:t>Derived spectral index</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4F806" w14:textId="77777777" w:rsidR="00FD1323" w:rsidRPr="00E611AE" w:rsidRDefault="00000000" w:rsidP="00E611AE">
            <w:r w:rsidRPr="00E611AE">
              <w:t>Matches imagery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BBDCB" w14:textId="77777777" w:rsidR="00FD1323" w:rsidRPr="00E611AE" w:rsidRDefault="00000000" w:rsidP="00E611AE">
            <w:r w:rsidRPr="00E611AE">
              <w:t>Primary vegetation indicator</w:t>
            </w:r>
          </w:p>
        </w:tc>
      </w:tr>
      <w:tr w:rsidR="00E611AE" w:rsidRPr="00E611AE" w14:paraId="5A197A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31412" w14:textId="77777777" w:rsidR="00FD1323" w:rsidRPr="00E611AE" w:rsidRDefault="00000000" w:rsidP="00E611AE">
            <w:r w:rsidRPr="00E611AE">
              <w:t>EVI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B4BA" w14:textId="77777777" w:rsidR="00FD1323" w:rsidRPr="00E611AE" w:rsidRDefault="00000000" w:rsidP="00E611AE">
            <w:r w:rsidRPr="00E611AE">
              <w:t>Derived spectral index</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33AA2" w14:textId="77777777" w:rsidR="00FD1323" w:rsidRPr="00E611AE" w:rsidRDefault="00000000" w:rsidP="00E611AE">
            <w:r w:rsidRPr="00E611AE">
              <w:t>Matches imagery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D2461" w14:textId="77777777" w:rsidR="00FD1323" w:rsidRPr="00E611AE" w:rsidRDefault="00000000" w:rsidP="00E611AE">
            <w:r w:rsidRPr="00E611AE">
              <w:t>Complementary vegetation indicator</w:t>
            </w:r>
          </w:p>
        </w:tc>
      </w:tr>
    </w:tbl>
    <w:p w14:paraId="1E8405BB" w14:textId="77777777" w:rsidR="00FD1323" w:rsidRDefault="00000000" w:rsidP="00E611AE">
      <w:pPr>
        <w:spacing w:before="80" w:after="160"/>
        <w:jc w:val="center"/>
        <w:rPr>
          <w:i/>
          <w:iCs/>
        </w:rPr>
      </w:pPr>
      <w:r w:rsidRPr="00E611AE">
        <w:rPr>
          <w:i/>
          <w:iCs/>
        </w:rPr>
        <w:t>Table 2.1. Summary of data sources and their roles in the research.</w:t>
      </w:r>
    </w:p>
    <w:p w14:paraId="59BB4B11" w14:textId="77777777" w:rsidR="008E205D" w:rsidRPr="008E205D" w:rsidRDefault="008E205D" w:rsidP="00E611AE">
      <w:pPr>
        <w:spacing w:before="80" w:after="160"/>
        <w:jc w:val="center"/>
      </w:pPr>
    </w:p>
    <w:p w14:paraId="7719498B" w14:textId="41CE1E95" w:rsidR="008E205D" w:rsidRDefault="008E205D" w:rsidP="008E205D">
      <w:pPr>
        <w:spacing w:before="80" w:after="160"/>
        <w:jc w:val="center"/>
      </w:pPr>
      <w:r w:rsidRPr="008E205D">
        <w:t>Referenses</w:t>
      </w:r>
    </w:p>
    <w:p w14:paraId="107AADE0" w14:textId="77777777" w:rsidR="008E205D" w:rsidRDefault="008E205D" w:rsidP="008E205D">
      <w:pPr>
        <w:spacing w:before="80" w:after="160"/>
      </w:pPr>
      <w:r>
        <w:t xml:space="preserve">Helber, P., Bischke, B., Dengel, A., &amp; Borth, D. (2019). </w:t>
      </w:r>
    </w:p>
    <w:p w14:paraId="4D6D1DED" w14:textId="77777777" w:rsidR="008E205D" w:rsidRDefault="008E205D" w:rsidP="008E205D">
      <w:pPr>
        <w:spacing w:before="80" w:after="160"/>
      </w:pPr>
      <w:r>
        <w:t xml:space="preserve">EuroSAT: A novel dataset and deep learning benchmark for land use and land cover classification. </w:t>
      </w:r>
    </w:p>
    <w:p w14:paraId="6E21E5BC" w14:textId="77777777" w:rsidR="008E205D" w:rsidRDefault="008E205D" w:rsidP="008E205D">
      <w:pPr>
        <w:spacing w:before="80" w:after="160"/>
      </w:pPr>
      <w:r>
        <w:t xml:space="preserve">IEEE Journal of Selected Topics in Applied Earth Observations and Remote Sensing, 12(7), 2217–2226. </w:t>
      </w:r>
    </w:p>
    <w:p w14:paraId="257758EE" w14:textId="77777777" w:rsidR="008E205D" w:rsidRDefault="008E205D" w:rsidP="008E205D">
      <w:pPr>
        <w:spacing w:before="80" w:after="160"/>
      </w:pPr>
      <w:r>
        <w:t>https://doi.org/10.1109/JSTARS.2019.2918242</w:t>
      </w:r>
    </w:p>
    <w:p w14:paraId="6E9B7135" w14:textId="77777777" w:rsidR="008E205D" w:rsidRDefault="008E205D" w:rsidP="008E205D">
      <w:pPr>
        <w:spacing w:before="80" w:after="160"/>
      </w:pPr>
    </w:p>
    <w:p w14:paraId="5C52FAC9" w14:textId="77777777" w:rsidR="008E205D" w:rsidRDefault="008E205D" w:rsidP="008E205D">
      <w:pPr>
        <w:spacing w:before="80" w:after="160"/>
      </w:pPr>
      <w:r>
        <w:t xml:space="preserve">Rouse, J. W., Haas, R. H., Schell, J. A., &amp; Deering, D. W. (1974). </w:t>
      </w:r>
    </w:p>
    <w:p w14:paraId="766BC6A9" w14:textId="77777777" w:rsidR="008E205D" w:rsidRDefault="008E205D" w:rsidP="008E205D">
      <w:pPr>
        <w:spacing w:before="80" w:after="160"/>
      </w:pPr>
      <w:r>
        <w:t xml:space="preserve">Monitoring vegetation systems in the Great Plains with ERTS. </w:t>
      </w:r>
    </w:p>
    <w:p w14:paraId="1FB132D7" w14:textId="77777777" w:rsidR="008E205D" w:rsidRDefault="008E205D" w:rsidP="008E205D">
      <w:pPr>
        <w:spacing w:before="80" w:after="160"/>
      </w:pPr>
      <w:r>
        <w:t>NASA Special Publication, 351, 309–317.</w:t>
      </w:r>
    </w:p>
    <w:p w14:paraId="6BF815E1" w14:textId="77777777" w:rsidR="008E205D" w:rsidRDefault="008E205D" w:rsidP="008E205D">
      <w:pPr>
        <w:spacing w:before="80" w:after="160"/>
      </w:pPr>
    </w:p>
    <w:p w14:paraId="276C4649" w14:textId="77777777" w:rsidR="008E205D" w:rsidRDefault="008E205D" w:rsidP="008E205D">
      <w:pPr>
        <w:spacing w:before="80" w:after="160"/>
      </w:pPr>
      <w:r>
        <w:t xml:space="preserve">Huete, A., Didan, K., Miura, T., Rodriguez, E. P., Gao, X., &amp; Ferreira, L. G. (2002). </w:t>
      </w:r>
    </w:p>
    <w:p w14:paraId="7FD12792" w14:textId="77777777" w:rsidR="008E205D" w:rsidRDefault="008E205D" w:rsidP="008E205D">
      <w:pPr>
        <w:spacing w:before="80" w:after="160"/>
      </w:pPr>
      <w:r>
        <w:t xml:space="preserve">Overview of the radiometric and biophysical performance of the MODIS vegetation indices. </w:t>
      </w:r>
    </w:p>
    <w:p w14:paraId="15E81011" w14:textId="77777777" w:rsidR="008E205D" w:rsidRDefault="008E205D" w:rsidP="008E205D">
      <w:pPr>
        <w:spacing w:before="80" w:after="160"/>
      </w:pPr>
      <w:r>
        <w:lastRenderedPageBreak/>
        <w:t xml:space="preserve">Remote Sensing of Environment, 83(1–2), 195–213. </w:t>
      </w:r>
    </w:p>
    <w:p w14:paraId="02BD11C1" w14:textId="77777777" w:rsidR="008E205D" w:rsidRDefault="008E205D" w:rsidP="008E205D">
      <w:pPr>
        <w:spacing w:before="80" w:after="160"/>
      </w:pPr>
      <w:r>
        <w:t>https://doi.org/10.1016/S0034-4257(02)00096-2</w:t>
      </w:r>
    </w:p>
    <w:p w14:paraId="2A5EC7B8" w14:textId="77777777" w:rsidR="008E205D" w:rsidRDefault="008E205D" w:rsidP="008E205D">
      <w:pPr>
        <w:spacing w:before="80" w:after="160"/>
      </w:pPr>
    </w:p>
    <w:p w14:paraId="1120B6F0" w14:textId="77777777" w:rsidR="008E205D" w:rsidRDefault="008E205D" w:rsidP="008E205D">
      <w:pPr>
        <w:spacing w:before="80" w:after="160"/>
      </w:pPr>
      <w:r>
        <w:t xml:space="preserve">Gorelick, N., Hancher, M., Dixon, M., Ilyushchenko, S., Thau, D., &amp; Moore, R. (2017). </w:t>
      </w:r>
    </w:p>
    <w:p w14:paraId="2F16DE8B" w14:textId="77777777" w:rsidR="008E205D" w:rsidRDefault="008E205D" w:rsidP="008E205D">
      <w:pPr>
        <w:spacing w:before="80" w:after="160"/>
      </w:pPr>
      <w:r>
        <w:t xml:space="preserve">Google Earth Engine: Planetary-scale geospatial analysis for everyone. </w:t>
      </w:r>
    </w:p>
    <w:p w14:paraId="1B644DAB" w14:textId="77777777" w:rsidR="008E205D" w:rsidRDefault="008E205D" w:rsidP="008E205D">
      <w:pPr>
        <w:spacing w:before="80" w:after="160"/>
      </w:pPr>
      <w:r>
        <w:t xml:space="preserve">Remote Sensing of Environment, 202, 18–27. </w:t>
      </w:r>
    </w:p>
    <w:p w14:paraId="7204646C" w14:textId="77777777" w:rsidR="008E205D" w:rsidRDefault="008E205D" w:rsidP="008E205D">
      <w:pPr>
        <w:spacing w:before="80" w:after="160"/>
      </w:pPr>
      <w:r>
        <w:t>https://doi.org/10.1016/j.rse.2017.06.031</w:t>
      </w:r>
    </w:p>
    <w:p w14:paraId="2D8D7221" w14:textId="77777777" w:rsidR="008E205D" w:rsidRDefault="008E205D" w:rsidP="008E205D">
      <w:pPr>
        <w:spacing w:before="80" w:after="160"/>
      </w:pPr>
    </w:p>
    <w:p w14:paraId="26602F3C" w14:textId="77777777" w:rsidR="008E205D" w:rsidRDefault="008E205D" w:rsidP="008E205D">
      <w:pPr>
        <w:spacing w:before="80" w:after="160"/>
      </w:pPr>
      <w:r>
        <w:t xml:space="preserve">Pan, S. J., &amp; Yang, Q. (2010). </w:t>
      </w:r>
    </w:p>
    <w:p w14:paraId="5300E311" w14:textId="77777777" w:rsidR="008E205D" w:rsidRDefault="008E205D" w:rsidP="008E205D">
      <w:pPr>
        <w:spacing w:before="80" w:after="160"/>
      </w:pPr>
      <w:r>
        <w:t xml:space="preserve">A survey on transfer learning. </w:t>
      </w:r>
    </w:p>
    <w:p w14:paraId="6413EDF2" w14:textId="77777777" w:rsidR="008E205D" w:rsidRDefault="008E205D" w:rsidP="008E205D">
      <w:pPr>
        <w:spacing w:before="80" w:after="160"/>
      </w:pPr>
      <w:r>
        <w:t xml:space="preserve">IEEE Transactions on Knowledge and Data Engineering, 22(10), 1345–1359. </w:t>
      </w:r>
    </w:p>
    <w:p w14:paraId="6B9C56E5" w14:textId="77777777" w:rsidR="008E205D" w:rsidRDefault="008E205D" w:rsidP="008E205D">
      <w:pPr>
        <w:spacing w:before="80" w:after="160"/>
      </w:pPr>
      <w:r>
        <w:t>https://doi.org/10.1109/TKDE.2009.191</w:t>
      </w:r>
    </w:p>
    <w:p w14:paraId="67BE844D" w14:textId="77777777" w:rsidR="008E205D" w:rsidRDefault="008E205D" w:rsidP="008E205D">
      <w:pPr>
        <w:spacing w:before="80" w:after="160"/>
      </w:pPr>
    </w:p>
    <w:p w14:paraId="12E67A95" w14:textId="77777777" w:rsidR="008E205D" w:rsidRDefault="008E205D" w:rsidP="008E205D">
      <w:pPr>
        <w:spacing w:before="80" w:after="160"/>
      </w:pPr>
      <w:r>
        <w:t xml:space="preserve">European Space Agency. (2021). </w:t>
      </w:r>
    </w:p>
    <w:p w14:paraId="2EF95C3A" w14:textId="77777777" w:rsidR="008E205D" w:rsidRDefault="008E205D" w:rsidP="008E205D">
      <w:pPr>
        <w:spacing w:before="80" w:after="160"/>
      </w:pPr>
      <w:r>
        <w:t xml:space="preserve">Sentinel-2 User Handbook. </w:t>
      </w:r>
    </w:p>
    <w:p w14:paraId="2F53FC75" w14:textId="77777777" w:rsidR="008E205D" w:rsidRDefault="008E205D" w:rsidP="008E205D">
      <w:pPr>
        <w:spacing w:before="80" w:after="160"/>
      </w:pPr>
      <w:r>
        <w:t>https://sentinel.esa.int</w:t>
      </w:r>
    </w:p>
    <w:p w14:paraId="4408D0BF" w14:textId="77777777" w:rsidR="008E205D" w:rsidRDefault="008E205D" w:rsidP="008E205D">
      <w:pPr>
        <w:spacing w:before="80" w:after="160"/>
      </w:pPr>
    </w:p>
    <w:p w14:paraId="213D0ABA" w14:textId="77777777" w:rsidR="008E205D" w:rsidRDefault="008E205D" w:rsidP="008E205D">
      <w:pPr>
        <w:spacing w:before="80" w:after="160"/>
      </w:pPr>
      <w:r>
        <w:t xml:space="preserve">U.S. Geological Survey. (2020). </w:t>
      </w:r>
    </w:p>
    <w:p w14:paraId="3DD14528" w14:textId="77777777" w:rsidR="008E205D" w:rsidRDefault="008E205D" w:rsidP="008E205D">
      <w:pPr>
        <w:spacing w:before="80" w:after="160"/>
      </w:pPr>
      <w:r>
        <w:t xml:space="preserve">Landsat 8 Data Users Handbook. </w:t>
      </w:r>
    </w:p>
    <w:p w14:paraId="667DDB77" w14:textId="2056E33A" w:rsidR="008E205D" w:rsidRPr="008E205D" w:rsidRDefault="008E205D" w:rsidP="008E205D">
      <w:pPr>
        <w:spacing w:before="80" w:after="160"/>
      </w:pPr>
      <w:r>
        <w:t>https://www.usgs.gov</w:t>
      </w:r>
    </w:p>
    <w:sectPr w:rsidR="008E205D" w:rsidRPr="008E205D">
      <w:footerReference w:type="default" r:id="rId8"/>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86AE" w14:textId="77777777" w:rsidR="0011674F" w:rsidRDefault="0011674F">
      <w:r>
        <w:separator/>
      </w:r>
    </w:p>
  </w:endnote>
  <w:endnote w:type="continuationSeparator" w:id="0">
    <w:p w14:paraId="007CADC8" w14:textId="77777777" w:rsidR="0011674F" w:rsidRDefault="00116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0A5C" w14:textId="77777777" w:rsidR="00FD1323" w:rsidRDefault="00000000">
    <w:pPr>
      <w:jc w:val="center"/>
    </w:pPr>
    <w:r>
      <w:rPr>
        <w:sz w:val="22"/>
        <w:szCs w:val="22"/>
      </w:rPr>
      <w:fldChar w:fldCharType="begin"/>
    </w:r>
    <w:r>
      <w:rPr>
        <w:sz w:val="22"/>
        <w:szCs w:val="22"/>
      </w:rPr>
      <w:instrText>PAGE</w:instrText>
    </w:r>
    <w:r>
      <w:rPr>
        <w:sz w:val="22"/>
        <w:szCs w:val="22"/>
      </w:rPr>
      <w:fldChar w:fldCharType="separate"/>
    </w:r>
    <w:r w:rsidR="006A639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A7F37" w14:textId="77777777" w:rsidR="0011674F" w:rsidRDefault="0011674F">
      <w:r>
        <w:separator/>
      </w:r>
    </w:p>
  </w:footnote>
  <w:footnote w:type="continuationSeparator" w:id="0">
    <w:p w14:paraId="6608CBCF" w14:textId="77777777" w:rsidR="0011674F" w:rsidRDefault="00116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60F08"/>
    <w:multiLevelType w:val="hybridMultilevel"/>
    <w:tmpl w:val="D1449D52"/>
    <w:lvl w:ilvl="0" w:tplc="CDE69578">
      <w:start w:val="1"/>
      <w:numFmt w:val="bullet"/>
      <w:lvlText w:val="●"/>
      <w:lvlJc w:val="left"/>
      <w:pPr>
        <w:ind w:left="720" w:hanging="360"/>
      </w:pPr>
    </w:lvl>
    <w:lvl w:ilvl="1" w:tplc="A1967FB8">
      <w:start w:val="1"/>
      <w:numFmt w:val="bullet"/>
      <w:lvlText w:val="○"/>
      <w:lvlJc w:val="left"/>
      <w:pPr>
        <w:ind w:left="1440" w:hanging="360"/>
      </w:pPr>
    </w:lvl>
    <w:lvl w:ilvl="2" w:tplc="3BB4D0CE">
      <w:start w:val="1"/>
      <w:numFmt w:val="bullet"/>
      <w:lvlText w:val="■"/>
      <w:lvlJc w:val="left"/>
      <w:pPr>
        <w:ind w:left="2160" w:hanging="360"/>
      </w:pPr>
    </w:lvl>
    <w:lvl w:ilvl="3" w:tplc="EB7E0602">
      <w:start w:val="1"/>
      <w:numFmt w:val="bullet"/>
      <w:lvlText w:val="●"/>
      <w:lvlJc w:val="left"/>
      <w:pPr>
        <w:ind w:left="2880" w:hanging="360"/>
      </w:pPr>
    </w:lvl>
    <w:lvl w:ilvl="4" w:tplc="EE8621D4">
      <w:start w:val="1"/>
      <w:numFmt w:val="bullet"/>
      <w:lvlText w:val="○"/>
      <w:lvlJc w:val="left"/>
      <w:pPr>
        <w:ind w:left="3600" w:hanging="360"/>
      </w:pPr>
    </w:lvl>
    <w:lvl w:ilvl="5" w:tplc="3140ABEA">
      <w:start w:val="1"/>
      <w:numFmt w:val="bullet"/>
      <w:lvlText w:val="■"/>
      <w:lvlJc w:val="left"/>
      <w:pPr>
        <w:ind w:left="4320" w:hanging="360"/>
      </w:pPr>
    </w:lvl>
    <w:lvl w:ilvl="6" w:tplc="A0B8196C">
      <w:start w:val="1"/>
      <w:numFmt w:val="bullet"/>
      <w:lvlText w:val="●"/>
      <w:lvlJc w:val="left"/>
      <w:pPr>
        <w:ind w:left="5040" w:hanging="360"/>
      </w:pPr>
    </w:lvl>
    <w:lvl w:ilvl="7" w:tplc="A8C87B30">
      <w:start w:val="1"/>
      <w:numFmt w:val="bullet"/>
      <w:lvlText w:val="●"/>
      <w:lvlJc w:val="left"/>
      <w:pPr>
        <w:ind w:left="5760" w:hanging="360"/>
      </w:pPr>
    </w:lvl>
    <w:lvl w:ilvl="8" w:tplc="78D4F598">
      <w:start w:val="1"/>
      <w:numFmt w:val="bullet"/>
      <w:lvlText w:val="●"/>
      <w:lvlJc w:val="left"/>
      <w:pPr>
        <w:ind w:left="6480" w:hanging="360"/>
      </w:pPr>
    </w:lvl>
  </w:abstractNum>
  <w:num w:numId="1" w16cid:durableId="914507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23"/>
    <w:rsid w:val="0011674F"/>
    <w:rsid w:val="002146CB"/>
    <w:rsid w:val="006A6397"/>
    <w:rsid w:val="006D51D3"/>
    <w:rsid w:val="00845764"/>
    <w:rsid w:val="008E205D"/>
    <w:rsid w:val="00B46C12"/>
    <w:rsid w:val="00B94A8F"/>
    <w:rsid w:val="00BA75B7"/>
    <w:rsid w:val="00DE28EF"/>
    <w:rsid w:val="00E611AE"/>
    <w:rsid w:val="00FD132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21915"/>
  <w15:docId w15:val="{2CC9CDD9-BD6F-40D8-A6AD-9C3BFDC1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46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9D47B-0AD6-4F5E-9D98-4AF80B89A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3319</Words>
  <Characters>20351</Characters>
  <Application>Microsoft Office Word</Application>
  <DocSecurity>0</DocSecurity>
  <Lines>344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Kaminur Orynbek</cp:lastModifiedBy>
  <cp:revision>3</cp:revision>
  <dcterms:created xsi:type="dcterms:W3CDTF">2026-03-27T18:21:00Z</dcterms:created>
  <dcterms:modified xsi:type="dcterms:W3CDTF">2026-03-27T18:25:00Z</dcterms:modified>
</cp:coreProperties>
</file>