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160"/>
      </w:pPr>
      <w:r>
        <w:rPr>
          <w:rFonts w:ascii="Times New Roman" w:cs="Times New Roman" w:eastAsia="Times New Roman" w:hAnsi="Times New Roman"/>
          <w:b/>
          <w:bCs/>
          <w:sz w:val="28"/>
          <w:szCs w:val="28"/>
        </w:rPr>
        <w:t xml:space="preserve">Chapter 3. Methodology</w:t>
      </w:r>
    </w:p>
    <w:p>
      <w:pPr>
        <w:pStyle w:val="Heading2"/>
        <w:spacing w:before="300" w:after="120"/>
      </w:pPr>
      <w:r>
        <w:rPr>
          <w:rFonts w:ascii="Times New Roman" w:cs="Times New Roman" w:eastAsia="Times New Roman" w:hAnsi="Times New Roman"/>
          <w:b/>
          <w:bCs/>
          <w:sz w:val="26"/>
          <w:szCs w:val="26"/>
        </w:rPr>
        <w:t xml:space="preserve">3.1. Research Approach and Paradigm</w:t>
      </w:r>
    </w:p>
    <w:p>
      <w:pPr>
        <w:spacing w:before="0" w:after="160" w:line="360"/>
        <w:ind w:firstLine="720"/>
        <w:jc w:val="both"/>
      </w:pPr>
      <w:r>
        <w:rPr>
          <w:rFonts w:ascii="Times New Roman" w:cs="Times New Roman" w:eastAsia="Times New Roman" w:hAnsi="Times New Roman"/>
          <w:sz w:val="24"/>
          <w:szCs w:val="24"/>
        </w:rPr>
        <w:t xml:space="preserve">This study adopts an applied, system-oriented research paradigm integrating machine learning, remote sensing data processing, and interactive web-based visualization for the purpose of automated agricultural land monitoring. The primary research objective is the design, implementation, and empirical evaluation of a functional end-to-end analytical platform — rather than the derivation of novel theoretical algorithms — and the study is therefore characterised as applied research in the discipline of geospatial informatics and agricultural data science.</w:t>
      </w:r>
    </w:p>
    <w:p>
      <w:pPr>
        <w:spacing w:before="0" w:after="160" w:line="360"/>
        <w:ind w:firstLine="720"/>
        <w:jc w:val="both"/>
      </w:pPr>
      <w:r>
        <w:rPr>
          <w:rFonts w:ascii="Times New Roman" w:cs="Times New Roman" w:eastAsia="Times New Roman" w:hAnsi="Times New Roman"/>
          <w:sz w:val="24"/>
          <w:szCs w:val="24"/>
        </w:rPr>
        <w:t xml:space="preserve">The experimental dimension of the research involves the controlled training and evaluation of a deep learning classification model, the sequential integration of geospatial processing components into a unified backend pipeline, and the systematic assessment of system performance under realistic operational conditions. This experimental orientation is intended to provide an empirical basis for assessing both the technical feasibility and the practical utility of the proposed solution.</w:t>
      </w:r>
    </w:p>
    <w:p>
      <w:pPr>
        <w:spacing w:before="0" w:after="160" w:line="360"/>
        <w:ind w:firstLine="720"/>
        <w:jc w:val="both"/>
      </w:pPr>
      <w:r>
        <w:rPr>
          <w:rFonts w:ascii="Times New Roman" w:cs="Times New Roman" w:eastAsia="Times New Roman" w:hAnsi="Times New Roman"/>
          <w:sz w:val="24"/>
          <w:szCs w:val="24"/>
        </w:rPr>
        <w:t xml:space="preserve">The methodological framework is governed by three overarching principles that are maintained consistently throughout all phases of the project:</w:t>
      </w:r>
    </w:p>
    <w:p>
      <w:pPr>
        <w:spacing w:before="60" w:after="60" w:line="34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Reproducibility. </w:t>
      </w:r>
      <w:r>
        <w:rPr>
          <w:rFonts w:ascii="Times New Roman" w:cs="Times New Roman" w:eastAsia="Times New Roman" w:hAnsi="Times New Roman"/>
          <w:sz w:val="24"/>
          <w:szCs w:val="24"/>
        </w:rPr>
        <w:t xml:space="preserve">All data sources, model architectures, training procedures, and processing libraries are publicly available, openly licensed, and well-documented. This ensures that the research can be independently verified, replicated, and extended by third parties without reliance on proprietary infrastructure.</w:t>
      </w:r>
    </w:p>
    <w:p>
      <w:pPr>
        <w:spacing w:before="60" w:after="60" w:line="34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Modularity. </w:t>
      </w:r>
      <w:r>
        <w:rPr>
          <w:rFonts w:ascii="Times New Roman" w:cs="Times New Roman" w:eastAsia="Times New Roman" w:hAnsi="Times New Roman"/>
          <w:sz w:val="24"/>
          <w:szCs w:val="24"/>
        </w:rPr>
        <w:t xml:space="preserve">The system is architected as a collection of loosely coupled, independently deployable components — a machine learning classification module, a geospatial processing backend, and a frontend user interface — each of which exposes well-defined interfaces and can be developed, tested, and improved in isolation.</w:t>
      </w:r>
    </w:p>
    <w:p>
      <w:pPr>
        <w:spacing w:before="60" w:after="60" w:line="34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Scalability. </w:t>
      </w:r>
      <w:r>
        <w:rPr>
          <w:rFonts w:ascii="Times New Roman" w:cs="Times New Roman" w:eastAsia="Times New Roman" w:hAnsi="Times New Roman"/>
          <w:sz w:val="24"/>
          <w:szCs w:val="24"/>
        </w:rPr>
        <w:t xml:space="preserve">All architectural decisions are made with future extensibility in mind, supporting the prospective integration of additional satellite data sources, expanded land-cover classification taxonomies, and broader geographic coverage beyond the prototype's current scope.</w:t>
      </w:r>
    </w:p>
    <w:p>
      <w:pPr>
        <w:spacing w:before="0" w:after="160" w:line="360"/>
        <w:ind w:firstLine="720"/>
        <w:jc w:val="both"/>
      </w:pPr>
      <w:r>
        <w:rPr>
          <w:rFonts w:ascii="Times New Roman" w:cs="Times New Roman" w:eastAsia="Times New Roman" w:hAnsi="Times New Roman"/>
          <w:sz w:val="24"/>
          <w:szCs w:val="24"/>
        </w:rPr>
        <w:t xml:space="preserve">It is explicitly noted that this study does not seek to surpass state-of-the-art benchmark accuracy on remote sensing classification tasks. Its scientific contribution lies in demonstrating the feasibility and practical value of integrating transfer learning, cloud-based satellite data retrieval, geospatial raster processing, and interactive web technologies into a unified, accessible analytical platform for agricultural monitoring — a combination that the existing literature addresses only partially in end-to-end form.</w:t>
      </w:r>
    </w:p>
    <w:p>
      <w:pPr>
        <w:pStyle w:val="Heading2"/>
        <w:spacing w:before="300" w:after="120"/>
      </w:pPr>
      <w:r>
        <w:rPr>
          <w:rFonts w:ascii="Times New Roman" w:cs="Times New Roman" w:eastAsia="Times New Roman" w:hAnsi="Times New Roman"/>
          <w:b/>
          <w:bCs/>
          <w:sz w:val="26"/>
          <w:szCs w:val="26"/>
        </w:rPr>
        <w:t xml:space="preserve">3.2. System Architecture</w:t>
      </w:r>
    </w:p>
    <w:p>
      <w:pPr>
        <w:spacing w:before="0" w:after="160" w:line="360"/>
        <w:ind w:firstLine="720"/>
        <w:jc w:val="both"/>
      </w:pPr>
      <w:r>
        <w:rPr>
          <w:rFonts w:ascii="Times New Roman" w:cs="Times New Roman" w:eastAsia="Times New Roman" w:hAnsi="Times New Roman"/>
          <w:sz w:val="24"/>
          <w:szCs w:val="24"/>
        </w:rPr>
        <w:t xml:space="preserve">The developed system follows a three-tier modular architecture consisting of a </w:t>
      </w:r>
      <w:r>
        <w:rPr>
          <w:rFonts w:ascii="Times New Roman" w:cs="Times New Roman" w:eastAsia="Times New Roman" w:hAnsi="Times New Roman"/>
          <w:b/>
          <w:bCs/>
          <w:sz w:val="24"/>
          <w:szCs w:val="24"/>
        </w:rPr>
        <w:t xml:space="preserve">frontend interface layer</w:t>
      </w:r>
      <w:r>
        <w:rPr>
          <w:rFonts w:ascii="Times New Roman" w:cs="Times New Roman" w:eastAsia="Times New Roman" w:hAnsi="Times New Roman"/>
          <w:sz w:val="24"/>
          <w:szCs w:val="24"/>
        </w:rPr>
        <w:t xml:space="preserve">, a </w:t>
      </w:r>
      <w:r>
        <w:rPr>
          <w:rFonts w:ascii="Times New Roman" w:cs="Times New Roman" w:eastAsia="Times New Roman" w:hAnsi="Times New Roman"/>
          <w:b/>
          <w:bCs/>
          <w:sz w:val="24"/>
          <w:szCs w:val="24"/>
        </w:rPr>
        <w:t xml:space="preserve">backend processing layer</w:t>
      </w:r>
      <w:r>
        <w:rPr>
          <w:rFonts w:ascii="Times New Roman" w:cs="Times New Roman" w:eastAsia="Times New Roman" w:hAnsi="Times New Roman"/>
          <w:sz w:val="24"/>
          <w:szCs w:val="24"/>
        </w:rPr>
        <w:t xml:space="preserve">, and an embedded </w:t>
      </w:r>
      <w:r>
        <w:rPr>
          <w:rFonts w:ascii="Times New Roman" w:cs="Times New Roman" w:eastAsia="Times New Roman" w:hAnsi="Times New Roman"/>
          <w:b/>
          <w:bCs/>
          <w:sz w:val="24"/>
          <w:szCs w:val="24"/>
        </w:rPr>
        <w:t xml:space="preserve">machine learning module</w:t>
      </w:r>
      <w:r>
        <w:rPr>
          <w:rFonts w:ascii="Times New Roman" w:cs="Times New Roman" w:eastAsia="Times New Roman" w:hAnsi="Times New Roman"/>
          <w:sz w:val="24"/>
          <w:szCs w:val="24"/>
        </w:rPr>
        <w:t xml:space="preserve">. This separation of concerns is intended to allow each tier to be maintained, tested, and scaled independently, while a well-defined RESTful API contract governs all inter-layer communication.</w:t>
      </w:r>
    </w:p>
    <w:p>
      <w:pPr>
        <w:spacing w:before="220" w:after="80"/>
      </w:pPr>
      <w:r>
        <w:rPr>
          <w:rFonts w:ascii="Times New Roman" w:cs="Times New Roman" w:eastAsia="Times New Roman" w:hAnsi="Times New Roman"/>
          <w:b/>
          <w:bCs/>
          <w:i/>
          <w:iCs/>
          <w:sz w:val="24"/>
          <w:szCs w:val="24"/>
        </w:rPr>
        <w:t xml:space="preserve">3.2.1. Frontend Layer</w:t>
      </w:r>
    </w:p>
    <w:p>
      <w:pPr>
        <w:spacing w:before="0" w:after="160" w:line="360"/>
        <w:ind w:firstLine="720"/>
        <w:jc w:val="both"/>
      </w:pPr>
      <w:r>
        <w:rPr>
          <w:rFonts w:ascii="Times New Roman" w:cs="Times New Roman" w:eastAsia="Times New Roman" w:hAnsi="Times New Roman"/>
          <w:sz w:val="24"/>
          <w:szCs w:val="24"/>
        </w:rPr>
        <w:t xml:space="preserve">The frontend is implemented using </w:t>
      </w:r>
      <w:r>
        <w:rPr>
          <w:rFonts w:ascii="Times New Roman" w:cs="Times New Roman" w:eastAsia="Times New Roman" w:hAnsi="Times New Roman"/>
          <w:b/>
          <w:bCs/>
          <w:sz w:val="24"/>
          <w:szCs w:val="24"/>
        </w:rPr>
        <w:t xml:space="preserve">React (v18)</w:t>
      </w:r>
      <w:r>
        <w:rPr>
          <w:rFonts w:ascii="Times New Roman" w:cs="Times New Roman" w:eastAsia="Times New Roman" w:hAnsi="Times New Roman"/>
          <w:sz w:val="24"/>
          <w:szCs w:val="24"/>
        </w:rPr>
        <w:t xml:space="preserve">, a component-based JavaScript library that enables the construction of dynamic, responsive user interfaces through a virtual DOM rendering mechanism. React was selected over alternative frameworks such as Vue.js and Angular on the basis of its widespread adoption in production-grade web applications, its mature ecosystem of complementary libraries, and its efficient reconciliation algorithm, which is particularly advantageous for applications that require frequent map-based state updates in response to user interactions.</w:t>
      </w:r>
    </w:p>
    <w:p>
      <w:pPr>
        <w:spacing w:before="0" w:after="160" w:line="360"/>
        <w:ind w:firstLine="720"/>
        <w:jc w:val="both"/>
      </w:pPr>
      <w:r>
        <w:rPr>
          <w:rFonts w:ascii="Times New Roman" w:cs="Times New Roman" w:eastAsia="Times New Roman" w:hAnsi="Times New Roman"/>
          <w:sz w:val="24"/>
          <w:szCs w:val="24"/>
        </w:rPr>
        <w:t xml:space="preserve">Geospatial map rendering is handled by </w:t>
      </w:r>
      <w:r>
        <w:rPr>
          <w:rFonts w:ascii="Times New Roman" w:cs="Times New Roman" w:eastAsia="Times New Roman" w:hAnsi="Times New Roman"/>
          <w:b/>
          <w:bCs/>
          <w:sz w:val="24"/>
          <w:szCs w:val="24"/>
        </w:rPr>
        <w:t xml:space="preserve">Leaflet.js</w:t>
      </w:r>
      <w:r>
        <w:rPr>
          <w:rFonts w:ascii="Times New Roman" w:cs="Times New Roman" w:eastAsia="Times New Roman" w:hAnsi="Times New Roman"/>
          <w:sz w:val="24"/>
          <w:szCs w:val="24"/>
        </w:rPr>
        <w:t xml:space="preserve">, an open-source JavaScript library for interactive web cartography. Leaflet enables efficient rendering of tile-based satellite basemap layers sourced from Sentinel Hub endpoints, vector overlay layers derived from user-uploaded GeoJSON field boundary files, and colour-coded analytical result layers produced by the backend. Its lightweight runtime footprint and compatibility with a broad range of tile providers make it well-suited to the requirements of this web service.</w:t>
      </w:r>
    </w:p>
    <w:p>
      <w:pPr>
        <w:spacing w:before="0" w:after="160" w:line="360"/>
        <w:ind w:firstLine="720"/>
        <w:jc w:val="both"/>
      </w:pPr>
      <w:r>
        <w:rPr>
          <w:rFonts w:ascii="Times New Roman" w:cs="Times New Roman" w:eastAsia="Times New Roman" w:hAnsi="Times New Roman"/>
          <w:sz w:val="24"/>
          <w:szCs w:val="24"/>
        </w:rPr>
        <w:t xml:space="preserve">Users interact with the interface to define geographic areas of interest, upload field boundary files in GeoJSON format, initiate analysis requests, and inspect classification and vegetation index outputs returned by the backend as structured result overlays.</w:t>
      </w:r>
    </w:p>
    <w:p>
      <w:pPr>
        <w:spacing w:before="220" w:after="80"/>
      </w:pPr>
      <w:r>
        <w:rPr>
          <w:rFonts w:ascii="Times New Roman" w:cs="Times New Roman" w:eastAsia="Times New Roman" w:hAnsi="Times New Roman"/>
          <w:b/>
          <w:bCs/>
          <w:i/>
          <w:iCs/>
          <w:sz w:val="24"/>
          <w:szCs w:val="24"/>
        </w:rPr>
        <w:t xml:space="preserve">3.2.2. Backend Layer</w:t>
      </w:r>
    </w:p>
    <w:p>
      <w:pPr>
        <w:spacing w:before="0" w:after="160" w:line="360"/>
        <w:ind w:firstLine="720"/>
        <w:jc w:val="both"/>
      </w:pPr>
      <w:r>
        <w:rPr>
          <w:rFonts w:ascii="Times New Roman" w:cs="Times New Roman" w:eastAsia="Times New Roman" w:hAnsi="Times New Roman"/>
          <w:sz w:val="24"/>
          <w:szCs w:val="24"/>
        </w:rPr>
        <w:t xml:space="preserve">The backend is developed in </w:t>
      </w:r>
      <w:r>
        <w:rPr>
          <w:rFonts w:ascii="Times New Roman" w:cs="Times New Roman" w:eastAsia="Times New Roman" w:hAnsi="Times New Roman"/>
          <w:b/>
          <w:bCs/>
          <w:sz w:val="24"/>
          <w:szCs w:val="24"/>
        </w:rPr>
        <w:t xml:space="preserve">Python</w:t>
      </w:r>
      <w:r>
        <w:rPr>
          <w:rFonts w:ascii="Times New Roman" w:cs="Times New Roman" w:eastAsia="Times New Roman" w:hAnsi="Times New Roman"/>
          <w:sz w:val="24"/>
          <w:szCs w:val="24"/>
        </w:rPr>
        <w:t xml:space="preserve"> using the </w:t>
      </w: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framework, which serves as the central orchestration layer responsible for routing all incoming HTTP requests, coordinating data flow between system components, and managing communication with external satellite data platforms. FastAPI was selected over alternative Python web frameworks — notably Flask and Django REST Framework — due to its superior request throughput for I/O-bound operations, its native support for asynchronous coroutine-based request handling via Python's asyncio library, and its automatic generation of interactive, standards-compliant API documentation through the OpenAPI specification.</w:t>
      </w:r>
    </w:p>
    <w:p>
      <w:pPr>
        <w:spacing w:before="0" w:after="160" w:line="360"/>
        <w:ind w:firstLine="720"/>
        <w:jc w:val="both"/>
      </w:pPr>
      <w:r>
        <w:rPr>
          <w:rFonts w:ascii="Times New Roman" w:cs="Times New Roman" w:eastAsia="Times New Roman" w:hAnsi="Times New Roman"/>
          <w:sz w:val="24"/>
          <w:szCs w:val="24"/>
        </w:rPr>
        <w:t xml:space="preserve">Geospatial vector data operations — including the validation, area computation, and centroid extraction of user-uploaded field boundary polygons — are performed using </w:t>
      </w:r>
      <w:r>
        <w:rPr>
          <w:rFonts w:ascii="Times New Roman" w:cs="Times New Roman" w:eastAsia="Times New Roman" w:hAnsi="Times New Roman"/>
          <w:b/>
          <w:bCs/>
          <w:sz w:val="24"/>
          <w:szCs w:val="24"/>
        </w:rPr>
        <w:t xml:space="preserve">GeoPandas</w:t>
      </w:r>
      <w:r>
        <w:rPr>
          <w:rFonts w:ascii="Times New Roman" w:cs="Times New Roman" w:eastAsia="Times New Roman" w:hAnsi="Times New Roman"/>
          <w:sz w:val="24"/>
          <w:szCs w:val="24"/>
        </w:rPr>
        <w:t xml:space="preserve">. Raster data manipulation — including spatial clipping of satellite imagery to parcel extents and pixel-wise spectral band arithmetic for vegetation index calculation — is performed using </w:t>
      </w:r>
      <w:r>
        <w:rPr>
          <w:rFonts w:ascii="Times New Roman" w:cs="Times New Roman" w:eastAsia="Times New Roman" w:hAnsi="Times New Roman"/>
          <w:b/>
          <w:bCs/>
          <w:sz w:val="24"/>
          <w:szCs w:val="24"/>
        </w:rPr>
        <w:t xml:space="preserve">Rasterio</w:t>
      </w:r>
      <w:r>
        <w:rPr>
          <w:rFonts w:ascii="Times New Roman" w:cs="Times New Roman" w:eastAsia="Times New Roman" w:hAnsi="Times New Roman"/>
          <w:sz w:val="24"/>
          <w:szCs w:val="24"/>
        </w:rPr>
        <w:t xml:space="preserve">, a Python library built on the GDAL abstraction layer.</w:t>
      </w:r>
    </w:p>
    <w:p>
      <w:pPr>
        <w:spacing w:before="220" w:after="80"/>
      </w:pPr>
      <w:r>
        <w:rPr>
          <w:rFonts w:ascii="Times New Roman" w:cs="Times New Roman" w:eastAsia="Times New Roman" w:hAnsi="Times New Roman"/>
          <w:b/>
          <w:bCs/>
          <w:i/>
          <w:iCs/>
          <w:sz w:val="24"/>
          <w:szCs w:val="24"/>
        </w:rPr>
        <w:t xml:space="preserve">3.2.3. Machine Learning Module</w:t>
      </w:r>
    </w:p>
    <w:p>
      <w:pPr>
        <w:spacing w:before="0" w:after="160" w:line="360"/>
        <w:ind w:firstLine="720"/>
        <w:jc w:val="both"/>
      </w:pPr>
      <w:r>
        <w:rPr>
          <w:rFonts w:ascii="Times New Roman" w:cs="Times New Roman" w:eastAsia="Times New Roman" w:hAnsi="Times New Roman"/>
          <w:sz w:val="24"/>
          <w:szCs w:val="24"/>
        </w:rPr>
        <w:t xml:space="preserve">The machine learning module is responsible for the land-use and land-cover (LULC) classification of satellite image patches. It encapsulates the pretrained and fine-tuned </w:t>
      </w:r>
      <w:r>
        <w:rPr>
          <w:rFonts w:ascii="Times New Roman" w:cs="Times New Roman" w:eastAsia="Times New Roman" w:hAnsi="Times New Roman"/>
          <w:b/>
          <w:bCs/>
          <w:sz w:val="24"/>
          <w:szCs w:val="24"/>
        </w:rPr>
        <w:t xml:space="preserve">ResNet-50</w:t>
      </w:r>
      <w:r>
        <w:rPr>
          <w:rFonts w:ascii="Times New Roman" w:cs="Times New Roman" w:eastAsia="Times New Roman" w:hAnsi="Times New Roman"/>
          <w:sz w:val="24"/>
          <w:szCs w:val="24"/>
        </w:rPr>
        <w:t xml:space="preserve"> model, exposes a prediction interface callable by the backend processing pipeline, and manages the sequence of preprocessing transformations required to convert raw raster data into model-compatible input tensors. The module is implemented using the </w:t>
      </w: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deep learning framework and operates as an integrated component of the backend rather than as a separately deployed microservice, simplifying deployment and reducing inter-component communication overhead in the current prototype implementation.</w:t>
      </w:r>
    </w:p>
    <w:p>
      <w:pPr>
        <w:spacing w:before="220" w:after="80"/>
      </w:pPr>
      <w:r>
        <w:rPr>
          <w:rFonts w:ascii="Times New Roman" w:cs="Times New Roman" w:eastAsia="Times New Roman" w:hAnsi="Times New Roman"/>
          <w:b/>
          <w:bCs/>
          <w:i/>
          <w:iCs/>
          <w:sz w:val="24"/>
          <w:szCs w:val="24"/>
        </w:rPr>
        <w:t xml:space="preserve">3.2.4. System Interaction Pattern</w:t>
      </w:r>
    </w:p>
    <w:p>
      <w:pPr>
        <w:spacing w:before="0" w:after="160" w:line="360"/>
        <w:ind w:firstLine="720"/>
        <w:jc w:val="both"/>
      </w:pPr>
      <w:r>
        <w:rPr>
          <w:rFonts w:ascii="Times New Roman" w:cs="Times New Roman" w:eastAsia="Times New Roman" w:hAnsi="Times New Roman"/>
          <w:sz w:val="24"/>
          <w:szCs w:val="24"/>
        </w:rPr>
        <w:t xml:space="preserve">The interaction between these three layers follows a request-driven pattern. A user action on the frontend — such as uploading a GeoJSON file and submitting an analysis request — triggers an HTTP POST request to the backend API. The backend retrieves the corresponding satellite imagery from Google Earth Engine, performs geospatial processing and vegetation index computation, invokes the machine learning module for land-cover classification inference, and returns a structured JSON response. The frontend receives the response and updates the map visualization layer and the statistics panel accordingly without requiring a full page reload.</w:t>
      </w:r>
    </w:p>
    <w:p>
      <w:pPr>
        <w:pStyle w:val="Heading2"/>
        <w:spacing w:before="300" w:after="120"/>
      </w:pPr>
      <w:r>
        <w:rPr>
          <w:rFonts w:ascii="Times New Roman" w:cs="Times New Roman" w:eastAsia="Times New Roman" w:hAnsi="Times New Roman"/>
          <w:b/>
          <w:bCs/>
          <w:sz w:val="26"/>
          <w:szCs w:val="26"/>
        </w:rPr>
        <w:t xml:space="preserve">3.3. Data Processing Workflow</w:t>
      </w:r>
    </w:p>
    <w:p>
      <w:pPr>
        <w:spacing w:before="0" w:after="160" w:line="360"/>
        <w:ind w:firstLine="720"/>
        <w:jc w:val="both"/>
      </w:pPr>
      <w:r>
        <w:rPr>
          <w:rFonts w:ascii="Times New Roman" w:cs="Times New Roman" w:eastAsia="Times New Roman" w:hAnsi="Times New Roman"/>
          <w:sz w:val="24"/>
          <w:szCs w:val="24"/>
        </w:rPr>
        <w:t xml:space="preserve">The data processing workflow is designed as a sequential, five-stage pipeline intended to transform raw satellite imagery and user-supplied geospatial field boundaries into agricultural analysis outputs. Each stage is defined with specified inputs, outputs, and processing responsibilities. In the current prototype implementation, stages are partially realised using mock responses, providing a structural scaffold for the intended full pipeline. The following description documents both the architectural design of the intended system and the current prototype status of each stage.</w:t>
      </w:r>
    </w:p>
    <w:p>
      <w:pPr>
        <w:spacing w:before="220" w:after="80"/>
      </w:pPr>
      <w:r>
        <w:rPr>
          <w:rFonts w:ascii="Times New Roman" w:cs="Times New Roman" w:eastAsia="Times New Roman" w:hAnsi="Times New Roman"/>
          <w:b/>
          <w:bCs/>
          <w:i/>
          <w:iCs/>
          <w:sz w:val="24"/>
          <w:szCs w:val="24"/>
        </w:rPr>
        <w:t xml:space="preserve">Stage 1 — Satellite Imagery Retrieval</w:t>
      </w:r>
    </w:p>
    <w:p>
      <w:pPr>
        <w:spacing w:before="0" w:after="160" w:line="360"/>
        <w:ind w:firstLine="720"/>
        <w:jc w:val="both"/>
      </w:pPr>
      <w:r>
        <w:rPr>
          <w:rFonts w:ascii="Times New Roman" w:cs="Times New Roman" w:eastAsia="Times New Roman" w:hAnsi="Times New Roman"/>
          <w:b/>
          <w:bCs/>
          <w:sz w:val="24"/>
          <w:szCs w:val="24"/>
        </w:rPr>
        <w:t xml:space="preserve">Intended design: </w:t>
      </w:r>
      <w:r>
        <w:rPr>
          <w:rFonts w:ascii="Times New Roman" w:cs="Times New Roman" w:eastAsia="Times New Roman" w:hAnsi="Times New Roman"/>
          <w:sz w:val="24"/>
          <w:szCs w:val="24"/>
        </w:rPr>
        <w:t xml:space="preserve">Multispectral satellite imagery is to be retrieved from the </w:t>
      </w:r>
      <w:r>
        <w:rPr>
          <w:rFonts w:ascii="Times New Roman" w:cs="Times New Roman" w:eastAsia="Times New Roman" w:hAnsi="Times New Roman"/>
          <w:b/>
          <w:bCs/>
          <w:sz w:val="24"/>
          <w:szCs w:val="24"/>
        </w:rPr>
        <w:t xml:space="preserve">Google Earth Engine (GEE)</w:t>
      </w:r>
      <w:r>
        <w:rPr>
          <w:rFonts w:ascii="Times New Roman" w:cs="Times New Roman" w:eastAsia="Times New Roman" w:hAnsi="Times New Roman"/>
          <w:sz w:val="24"/>
          <w:szCs w:val="24"/>
        </w:rPr>
        <w:t xml:space="preserve"> cloud platform via the earthengine-api Python client. Image collection queries will be parameterised by the geographic bounding box of the user-uploaded field boundaries, a user-specified temporal range, and a maximum cloud coverage threshold. A median composite will be generated over the specified time window to produce a spatially complete, cloud-minimised raster for the area of interest.</w:t>
      </w:r>
    </w:p>
    <w:p>
      <w:pPr>
        <w:spacing w:before="0" w:after="160" w:line="360"/>
        <w:ind w:firstLine="720"/>
        <w:jc w:val="both"/>
      </w:pPr>
      <w:r>
        <w:rPr>
          <w:rFonts w:ascii="Times New Roman" w:cs="Times New Roman" w:eastAsia="Times New Roman" w:hAnsi="Times New Roman"/>
          <w:b/>
          <w:bCs/>
          <w:sz w:val="24"/>
          <w:szCs w:val="24"/>
        </w:rPr>
        <w:t xml:space="preserve">Current prototype status: </w:t>
      </w:r>
      <w:r>
        <w:rPr>
          <w:rFonts w:ascii="Times New Roman" w:cs="Times New Roman" w:eastAsia="Times New Roman" w:hAnsi="Times New Roman"/>
          <w:sz w:val="24"/>
          <w:szCs w:val="24"/>
        </w:rPr>
        <w:t xml:space="preserve">The SatelliteService class returns simulated satellite metadata — including dataset name, acquisition date, and spatial resolution — without performing any real API call to GEE or Sentinel Hub. Integration of actual imagery retrieval is planned as the primary extension in subsequent development iterations.</w:t>
      </w:r>
    </w:p>
    <w:p>
      <w:pPr>
        <w:spacing w:before="220" w:after="80"/>
      </w:pPr>
      <w:r>
        <w:rPr>
          <w:rFonts w:ascii="Times New Roman" w:cs="Times New Roman" w:eastAsia="Times New Roman" w:hAnsi="Times New Roman"/>
          <w:b/>
          <w:bCs/>
          <w:i/>
          <w:iCs/>
          <w:sz w:val="24"/>
          <w:szCs w:val="24"/>
        </w:rPr>
        <w:t xml:space="preserve">Stage 2 — Spatial Clipping to Field Boundaries</w:t>
      </w:r>
    </w:p>
    <w:p>
      <w:pPr>
        <w:spacing w:before="0" w:after="160" w:line="360"/>
        <w:ind w:firstLine="720"/>
        <w:jc w:val="both"/>
      </w:pPr>
      <w:r>
        <w:rPr>
          <w:rFonts w:ascii="Times New Roman" w:cs="Times New Roman" w:eastAsia="Times New Roman" w:hAnsi="Times New Roman"/>
          <w:b/>
          <w:bCs/>
          <w:sz w:val="24"/>
          <w:szCs w:val="24"/>
        </w:rPr>
        <w:t xml:space="preserve">Intended design: </w:t>
      </w:r>
      <w:r>
        <w:rPr>
          <w:rFonts w:ascii="Times New Roman" w:cs="Times New Roman" w:eastAsia="Times New Roman" w:hAnsi="Times New Roman"/>
          <w:sz w:val="24"/>
          <w:szCs w:val="24"/>
        </w:rPr>
        <w:t xml:space="preserve">The retrieved raster image is to be spatially clipped to the boundaries of each individual agricultural parcel using the Rasterio library's mask function, retaining only pixel values falling within the uploaded parcel polygon and assigning no-data values to all external pixels.</w:t>
      </w:r>
    </w:p>
    <w:p>
      <w:pPr>
        <w:spacing w:before="0" w:after="160" w:line="360"/>
        <w:ind w:firstLine="720"/>
        <w:jc w:val="both"/>
      </w:pPr>
      <w:r>
        <w:rPr>
          <w:rFonts w:ascii="Times New Roman" w:cs="Times New Roman" w:eastAsia="Times New Roman" w:hAnsi="Times New Roman"/>
          <w:b/>
          <w:bCs/>
          <w:sz w:val="24"/>
          <w:szCs w:val="24"/>
        </w:rPr>
        <w:t xml:space="preserve">Current prototype status: </w:t>
      </w:r>
      <w:r>
        <w:rPr>
          <w:rFonts w:ascii="Times New Roman" w:cs="Times New Roman" w:eastAsia="Times New Roman" w:hAnsi="Times New Roman"/>
          <w:sz w:val="24"/>
          <w:szCs w:val="24"/>
        </w:rPr>
        <w:t xml:space="preserve">The geoprocess_raster_input function contains a commented placeholder for real Rasterio-based clipping logic. In the absence of a real raster path, the function returns a mock status object, allowing the pipeline to proceed without raising errors.</w:t>
      </w:r>
    </w:p>
    <w:p>
      <w:pPr>
        <w:spacing w:before="220" w:after="80"/>
      </w:pPr>
      <w:r>
        <w:rPr>
          <w:rFonts w:ascii="Times New Roman" w:cs="Times New Roman" w:eastAsia="Times New Roman" w:hAnsi="Times New Roman"/>
          <w:b/>
          <w:bCs/>
          <w:i/>
          <w:iCs/>
          <w:sz w:val="24"/>
          <w:szCs w:val="24"/>
        </w:rPr>
        <w:t xml:space="preserve">Stage 3 — Vegetation Index Computation</w:t>
      </w:r>
    </w:p>
    <w:p>
      <w:pPr>
        <w:spacing w:before="0" w:after="160" w:line="360"/>
        <w:ind w:firstLine="720"/>
        <w:jc w:val="both"/>
      </w:pPr>
      <w:r>
        <w:rPr>
          <w:rFonts w:ascii="Times New Roman" w:cs="Times New Roman" w:eastAsia="Times New Roman" w:hAnsi="Times New Roman"/>
          <w:b/>
          <w:bCs/>
          <w:sz w:val="24"/>
          <w:szCs w:val="24"/>
        </w:rPr>
        <w:t xml:space="preserve">Intended design: </w:t>
      </w:r>
      <w:r>
        <w:rPr>
          <w:rFonts w:ascii="Times New Roman" w:cs="Times New Roman" w:eastAsia="Times New Roman" w:hAnsi="Times New Roman"/>
          <w:sz w:val="24"/>
          <w:szCs w:val="24"/>
        </w:rPr>
        <w:t xml:space="preserve">NDVI and EVI are to be computed from the clipped multispectral raster data using pixel-wise band arithmetic implemented via NumPy, using the formulas:</w:t>
      </w:r>
    </w:p>
    <w:p>
      <w:pPr>
        <w:spacing w:before="120" w:after="120"/>
        <w:jc w:val="center"/>
      </w:pPr>
      <w:r>
        <w:rPr>
          <w:rFonts w:ascii="Times New Roman" w:cs="Times New Roman" w:eastAsia="Times New Roman" w:hAnsi="Times New Roman"/>
          <w:i/>
          <w:iCs/>
          <w:sz w:val="24"/>
          <w:szCs w:val="24"/>
        </w:rPr>
        <w:t xml:space="preserve">NDVI = (NIR − RED) / (NIR + RED)</w:t>
      </w:r>
    </w:p>
    <w:p>
      <w:pPr>
        <w:spacing w:before="120" w:after="120"/>
        <w:jc w:val="center"/>
      </w:pPr>
      <w:r>
        <w:rPr>
          <w:rFonts w:ascii="Times New Roman" w:cs="Times New Roman" w:eastAsia="Times New Roman" w:hAnsi="Times New Roman"/>
          <w:i/>
          <w:iCs/>
          <w:sz w:val="24"/>
          <w:szCs w:val="24"/>
        </w:rPr>
        <w:t xml:space="preserve">EVI = 2.5 × (NIR − RED) / (NIR + 6·RED − 7.5·BLUE + 1)</w:t>
      </w:r>
    </w:p>
    <w:p>
      <w:pPr>
        <w:spacing w:before="0" w:after="160" w:line="360"/>
        <w:ind w:firstLine="720"/>
        <w:jc w:val="both"/>
      </w:pPr>
      <w:r>
        <w:rPr>
          <w:rFonts w:ascii="Times New Roman" w:cs="Times New Roman" w:eastAsia="Times New Roman" w:hAnsi="Times New Roman"/>
          <w:b/>
          <w:bCs/>
          <w:sz w:val="24"/>
          <w:szCs w:val="24"/>
        </w:rPr>
        <w:t xml:space="preserve">Current prototype status: </w:t>
      </w:r>
      <w:r>
        <w:rPr>
          <w:rFonts w:ascii="Times New Roman" w:cs="Times New Roman" w:eastAsia="Times New Roman" w:hAnsi="Times New Roman"/>
          <w:sz w:val="24"/>
          <w:szCs w:val="24"/>
        </w:rPr>
        <w:t xml:space="preserve">The calculate_advanced_indices function currently returns a hardcoded mock value of 0.72 for NDVI. The mathematical formulas and their spectral band dependencies are fully specified in the code annotations, pending the availability of real clipped raster data from Stage 2.</w:t>
      </w:r>
    </w:p>
    <w:p>
      <w:pPr>
        <w:spacing w:before="220" w:after="80"/>
      </w:pPr>
      <w:r>
        <w:rPr>
          <w:rFonts w:ascii="Times New Roman" w:cs="Times New Roman" w:eastAsia="Times New Roman" w:hAnsi="Times New Roman"/>
          <w:b/>
          <w:bCs/>
          <w:i/>
          <w:iCs/>
          <w:sz w:val="24"/>
          <w:szCs w:val="24"/>
        </w:rPr>
        <w:t xml:space="preserve">Stage 4 — Image Preprocessing for Model Inference</w:t>
      </w:r>
    </w:p>
    <w:p>
      <w:pPr>
        <w:spacing w:before="0" w:after="160" w:line="360"/>
        <w:ind w:firstLine="720"/>
        <w:jc w:val="both"/>
      </w:pPr>
      <w:r>
        <w:rPr>
          <w:rFonts w:ascii="Times New Roman" w:cs="Times New Roman" w:eastAsia="Times New Roman" w:hAnsi="Times New Roman"/>
          <w:b/>
          <w:bCs/>
          <w:sz w:val="24"/>
          <w:szCs w:val="24"/>
        </w:rPr>
        <w:t xml:space="preserve">Intended design: </w:t>
      </w:r>
      <w:r>
        <w:rPr>
          <w:rFonts w:ascii="Times New Roman" w:cs="Times New Roman" w:eastAsia="Times New Roman" w:hAnsi="Times New Roman"/>
          <w:sz w:val="24"/>
          <w:szCs w:val="24"/>
        </w:rPr>
        <w:t xml:space="preserve">Each clipped image patch is to be resized to 224×224 pixels, normalised using ImageNet statistics (mean: [0.485, 0.456, 0.406]; std: [0.229, 0.224, 0.225]), and converted to a PyTorch tensor of shape (1, C, H, W) for single-sample inference. This preprocessing pipeline mirrors the val_test_transform used during model training.</w:t>
      </w:r>
    </w:p>
    <w:p>
      <w:pPr>
        <w:spacing w:before="0" w:after="160" w:line="360"/>
        <w:ind w:firstLine="720"/>
        <w:jc w:val="both"/>
      </w:pPr>
      <w:r>
        <w:rPr>
          <w:rFonts w:ascii="Times New Roman" w:cs="Times New Roman" w:eastAsia="Times New Roman" w:hAnsi="Times New Roman"/>
          <w:b/>
          <w:bCs/>
          <w:sz w:val="24"/>
          <w:szCs w:val="24"/>
        </w:rPr>
        <w:t xml:space="preserve">Current prototype status: </w:t>
      </w:r>
      <w:r>
        <w:rPr>
          <w:rFonts w:ascii="Times New Roman" w:cs="Times New Roman" w:eastAsia="Times New Roman" w:hAnsi="Times New Roman"/>
          <w:sz w:val="24"/>
          <w:szCs w:val="24"/>
        </w:rPr>
        <w:t xml:space="preserve">This preprocessing pipeline is fully defined and validated in the training notebook. In the backend prototype, it is not yet invoked during inference because real raster data does not reach this stage; integration is anticipated alongside Stage 2 development.</w:t>
      </w:r>
    </w:p>
    <w:p>
      <w:pPr>
        <w:spacing w:before="220" w:after="80"/>
      </w:pPr>
      <w:r>
        <w:rPr>
          <w:rFonts w:ascii="Times New Roman" w:cs="Times New Roman" w:eastAsia="Times New Roman" w:hAnsi="Times New Roman"/>
          <w:b/>
          <w:bCs/>
          <w:i/>
          <w:iCs/>
          <w:sz w:val="24"/>
          <w:szCs w:val="24"/>
        </w:rPr>
        <w:t xml:space="preserve">Stage 5 — Model Inference and Result Delivery</w:t>
      </w:r>
    </w:p>
    <w:p>
      <w:pPr>
        <w:spacing w:before="0" w:after="160" w:line="360"/>
        <w:ind w:firstLine="720"/>
        <w:jc w:val="both"/>
      </w:pPr>
      <w:r>
        <w:rPr>
          <w:rFonts w:ascii="Times New Roman" w:cs="Times New Roman" w:eastAsia="Times New Roman" w:hAnsi="Times New Roman"/>
          <w:b/>
          <w:bCs/>
          <w:sz w:val="24"/>
          <w:szCs w:val="24"/>
        </w:rPr>
        <w:t xml:space="preserve">Intended design: </w:t>
      </w:r>
      <w:r>
        <w:rPr>
          <w:rFonts w:ascii="Times New Roman" w:cs="Times New Roman" w:eastAsia="Times New Roman" w:hAnsi="Times New Roman"/>
          <w:sz w:val="24"/>
          <w:szCs w:val="24"/>
        </w:rPr>
        <w:t xml:space="preserve">The preprocessed tensor is passed through the fine-tuned ResNet-50 model, which produces raw output logits over the 10 EuroSAT land-cover classes. The predicted class is determined by applying argmax on the raw logits. The predicted class label is returned together with computed NDVI and EVI values as a structured JSON response.</w:t>
      </w:r>
    </w:p>
    <w:p>
      <w:pPr>
        <w:spacing w:before="0" w:after="160" w:line="360"/>
        <w:ind w:firstLine="720"/>
        <w:jc w:val="both"/>
      </w:pPr>
      <w:r>
        <w:rPr>
          <w:rFonts w:ascii="Times New Roman" w:cs="Times New Roman" w:eastAsia="Times New Roman" w:hAnsi="Times New Roman"/>
          <w:b/>
          <w:bCs/>
          <w:sz w:val="24"/>
          <w:szCs w:val="24"/>
        </w:rPr>
        <w:t xml:space="preserve">Current prototype status: </w:t>
      </w:r>
      <w:r>
        <w:rPr>
          <w:rFonts w:ascii="Times New Roman" w:cs="Times New Roman" w:eastAsia="Times New Roman" w:hAnsi="Times New Roman"/>
          <w:sz w:val="24"/>
          <w:szCs w:val="24"/>
        </w:rPr>
        <w:t xml:space="preserve">The run_ml_analysis_pipeline function returns a hardcoded mock result — crop_type: 'Winter Wheat', confidence: 0.84, ndvi_value: 0.72 — enabling end-to-end demonstration of the API response schema and frontend visualization. The trained ResNet-50 weights (best_resnet_satellite_model.pth) are available and will be integrated into the backend inference pipeline in the subsequent development phase.</w:t>
      </w:r>
    </w:p>
    <w:p>
      <w:pPr>
        <w:pStyle w:val="Heading2"/>
        <w:spacing w:before="300" w:after="120"/>
      </w:pPr>
      <w:r>
        <w:rPr>
          <w:rFonts w:ascii="Times New Roman" w:cs="Times New Roman" w:eastAsia="Times New Roman" w:hAnsi="Times New Roman"/>
          <w:b/>
          <w:bCs/>
          <w:sz w:val="26"/>
          <w:szCs w:val="26"/>
        </w:rPr>
        <w:t xml:space="preserve">3.4. Machine Learning Model</w:t>
      </w:r>
    </w:p>
    <w:p>
      <w:pPr>
        <w:spacing w:before="220" w:after="80"/>
      </w:pPr>
      <w:r>
        <w:rPr>
          <w:rFonts w:ascii="Times New Roman" w:cs="Times New Roman" w:eastAsia="Times New Roman" w:hAnsi="Times New Roman"/>
          <w:b/>
          <w:bCs/>
          <w:i/>
          <w:iCs/>
          <w:sz w:val="24"/>
          <w:szCs w:val="24"/>
        </w:rPr>
        <w:t xml:space="preserve">3.4.1. Architecture Selection: ResNet-50</w:t>
      </w:r>
    </w:p>
    <w:p>
      <w:pPr>
        <w:spacing w:before="0" w:after="160" w:line="360"/>
        <w:ind w:firstLine="720"/>
        <w:jc w:val="both"/>
      </w:pPr>
      <w:r>
        <w:rPr>
          <w:rFonts w:ascii="Times New Roman" w:cs="Times New Roman" w:eastAsia="Times New Roman" w:hAnsi="Times New Roman"/>
          <w:sz w:val="24"/>
          <w:szCs w:val="24"/>
        </w:rPr>
        <w:t xml:space="preserve">The machine learning component of the system employs a transfer learning strategy based on the </w:t>
      </w:r>
      <w:r>
        <w:rPr>
          <w:rFonts w:ascii="Times New Roman" w:cs="Times New Roman" w:eastAsia="Times New Roman" w:hAnsi="Times New Roman"/>
          <w:b/>
          <w:bCs/>
          <w:sz w:val="24"/>
          <w:szCs w:val="24"/>
        </w:rPr>
        <w:t xml:space="preserve">ResNet-50</w:t>
      </w:r>
      <w:r>
        <w:rPr>
          <w:rFonts w:ascii="Times New Roman" w:cs="Times New Roman" w:eastAsia="Times New Roman" w:hAnsi="Times New Roman"/>
          <w:sz w:val="24"/>
          <w:szCs w:val="24"/>
        </w:rPr>
        <w:t xml:space="preserve"> convolutional neural network (He et al., 2016), which was pretrained on the ImageNet Large Scale Visual Recognition Challenge (ILSVRC) dataset comprising approximately 1.28 million labelled images across 1,000 object classes.</w:t>
      </w:r>
    </w:p>
    <w:p>
      <w:pPr>
        <w:spacing w:before="0" w:after="160" w:line="360"/>
        <w:ind w:firstLine="720"/>
        <w:jc w:val="both"/>
      </w:pPr>
      <w:r>
        <w:rPr>
          <w:rFonts w:ascii="Times New Roman" w:cs="Times New Roman" w:eastAsia="Times New Roman" w:hAnsi="Times New Roman"/>
          <w:sz w:val="24"/>
          <w:szCs w:val="24"/>
        </w:rPr>
        <w:t xml:space="preserve">ResNet-50 is a 50-layer deep convolutional neural network organised into four residual stages, each composed of a sequence of Bottleneck residual blocks. Each bottleneck block applies three successive convolutions — a 1×1 dimensionality reduction convolution, a 3×3 spatial convolution, and a 1×1 dimensionality expansion convolution — and combines the result with a residual shortcut connection that adds the block's input directly to its output. These shortcut connections mitigate the vanishing gradient problem and allow deeper layers to refine existing representations incrementally rather than learning them from scratch.</w:t>
      </w:r>
    </w:p>
    <w:p>
      <w:pPr>
        <w:spacing w:before="0" w:after="160" w:line="360"/>
        <w:ind w:firstLine="720"/>
        <w:jc w:val="both"/>
      </w:pPr>
      <w:r>
        <w:rPr>
          <w:rFonts w:ascii="Times New Roman" w:cs="Times New Roman" w:eastAsia="Times New Roman" w:hAnsi="Times New Roman"/>
          <w:sz w:val="24"/>
          <w:szCs w:val="24"/>
        </w:rPr>
        <w:t xml:space="preserve">The hierarchical depth of ResNet-50 allows the network to learn a nested hierarchy of feature representations of increasing abstraction: early layers encode low-level spectral responses and textural gradients, intermediate layers capture structural patterns, and deep layers encode high-level semantic representations. These characteristics make ResNet-50 particularly well-suited for satellite image classification tasks, where accurate discrimination between spectrally similar land-cover classes requires the integration of nuanced, multi-scale visual information.</w:t>
      </w:r>
    </w:p>
    <w:p>
      <w:pPr>
        <w:spacing w:before="220" w:after="80"/>
      </w:pPr>
      <w:r>
        <w:rPr>
          <w:rFonts w:ascii="Times New Roman" w:cs="Times New Roman" w:eastAsia="Times New Roman" w:hAnsi="Times New Roman"/>
          <w:b/>
          <w:bCs/>
          <w:i/>
          <w:iCs/>
          <w:sz w:val="24"/>
          <w:szCs w:val="24"/>
        </w:rPr>
        <w:t xml:space="preserve">3.4.2. Transfer Learning Strategy and Fine-Tuning</w:t>
      </w:r>
    </w:p>
    <w:p>
      <w:pPr>
        <w:spacing w:before="0" w:after="160" w:line="360"/>
        <w:ind w:firstLine="720"/>
        <w:jc w:val="both"/>
      </w:pPr>
      <w:r>
        <w:rPr>
          <w:rFonts w:ascii="Times New Roman" w:cs="Times New Roman" w:eastAsia="Times New Roman" w:hAnsi="Times New Roman"/>
          <w:sz w:val="24"/>
          <w:szCs w:val="24"/>
        </w:rPr>
        <w:t xml:space="preserve">The transfer learning procedure follows a full-network fine-tuning strategy in which the entire set of pretrained convolutional weights is updated during training. The final fully connected classification layer of the original model — a linear layer mapping from 2048 input features to 1000 ImageNet classes — is replaced with a new linear layer producing a 10-dimensional output corresponding to the 10 land-cover classes of the EuroSAT dataset. The implementation detail is provided in Appendix A.</w:t>
      </w:r>
    </w:p>
    <w:p>
      <w:pPr>
        <w:spacing w:before="0" w:after="160" w:line="360"/>
        <w:ind w:firstLine="720"/>
        <w:jc w:val="both"/>
      </w:pPr>
      <w:r>
        <w:rPr>
          <w:rFonts w:ascii="Times New Roman" w:cs="Times New Roman" w:eastAsia="Times New Roman" w:hAnsi="Times New Roman"/>
          <w:sz w:val="24"/>
          <w:szCs w:val="24"/>
        </w:rPr>
        <w:t xml:space="preserve">This head replacement is necessary because the target classification taxonomy (EuroSAT, 10 classes) is fundamentally different from the source taxonomy (ImageNet, 1000 classes). Training then proceeds over the full network, allowing the pretrained convolutional representations to be adapted to the spectral and textural characteristics of Sentinel-2 multispectral satellite imagery while retaining the generalizable low-level feature detectors acquired during ImageNet pretraining.</w:t>
      </w:r>
    </w:p>
    <w:p>
      <w:pPr>
        <w:spacing w:before="220" w:after="80"/>
      </w:pPr>
      <w:r>
        <w:rPr>
          <w:rFonts w:ascii="Times New Roman" w:cs="Times New Roman" w:eastAsia="Times New Roman" w:hAnsi="Times New Roman"/>
          <w:b/>
          <w:bCs/>
          <w:i/>
          <w:iCs/>
          <w:sz w:val="24"/>
          <w:szCs w:val="24"/>
        </w:rPr>
        <w:t xml:space="preserve">3.4.3. Training Configuration</w:t>
      </w:r>
    </w:p>
    <w:p>
      <w:pPr>
        <w:spacing w:before="0" w:after="160" w:line="360"/>
        <w:ind w:firstLine="720"/>
        <w:jc w:val="both"/>
      </w:pPr>
      <w:r>
        <w:rPr>
          <w:rFonts w:ascii="Times New Roman" w:cs="Times New Roman" w:eastAsia="Times New Roman" w:hAnsi="Times New Roman"/>
          <w:sz w:val="24"/>
          <w:szCs w:val="24"/>
        </w:rPr>
        <w:t xml:space="preserve">Training is performed over 5 epochs on the EuroSAT training subset. The number of training epochs was set to 5, as validation accuracy plateaued after Epoch 3, indicating convergence of the fine-tuning process within this compact training schedule. The complete training configuration is summarised in Table 3.1.</w:t>
      </w:r>
    </w:p>
    <w:p>
      <w:pPr>
        <w:spacing w:before="0"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5000"/>
      </w:tblGrid>
      <w:tr>
        <w:tc>
          <w:tcPr>
            <w:tcW w:type="dxa" w:w="35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Hyperparameter</w:t>
            </w:r>
          </w:p>
        </w:tc>
        <w:tc>
          <w:tcPr>
            <w:tcW w:type="dxa" w:w="5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Optimizer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Adam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Learning rate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 × 10⁻⁴</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Loss function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Cross-Entropy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Batch size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Training set size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21,600 images (80%)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Validation set size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2,700 images (10%)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Test set size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2,700 images (10%)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Compute device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NVIDIA Tesla T4 GPU</w:t>
            </w:r>
          </w:p>
        </w:tc>
      </w:tr>
    </w:tbl>
    <w:p>
      <w:pPr>
        <w:spacing w:before="80" w:after="200"/>
        <w:jc w:val="center"/>
      </w:pPr>
      <w:r>
        <w:rPr>
          <w:rFonts w:ascii="Times New Roman" w:cs="Times New Roman" w:eastAsia="Times New Roman" w:hAnsi="Times New Roman"/>
          <w:i/>
          <w:iCs/>
          <w:sz w:val="20"/>
          <w:szCs w:val="20"/>
        </w:rPr>
        <w:t xml:space="preserve">Table 3.1. Training configuration of the fine-tuned ResNet-50 model.</w:t>
      </w:r>
    </w:p>
    <w:p>
      <w:pPr>
        <w:spacing w:before="0" w:after="160" w:line="360"/>
        <w:ind w:firstLine="72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Adam optimizer</w:t>
      </w:r>
      <w:r>
        <w:rPr>
          <w:rFonts w:ascii="Times New Roman" w:cs="Times New Roman" w:eastAsia="Times New Roman" w:hAnsi="Times New Roman"/>
          <w:sz w:val="24"/>
          <w:szCs w:val="24"/>
        </w:rPr>
        <w:t xml:space="preserve"> (Kingma &amp; Ba, 2015) is employed for parameter updates. Adam maintains exponentially weighted moving averages of both the first moment (mean) and the second moment (uncentred variance) of per-parameter gradient histories, using these estimates to compute an adaptive effective learning rate for each parameter independently. The </w:t>
      </w:r>
      <w:r>
        <w:rPr>
          <w:rFonts w:ascii="Times New Roman" w:cs="Times New Roman" w:eastAsia="Times New Roman" w:hAnsi="Times New Roman"/>
          <w:b/>
          <w:bCs/>
          <w:sz w:val="24"/>
          <w:szCs w:val="24"/>
        </w:rPr>
        <w:t xml:space="preserve">cross-entropy loss</w:t>
      </w:r>
      <w:r>
        <w:rPr>
          <w:rFonts w:ascii="Times New Roman" w:cs="Times New Roman" w:eastAsia="Times New Roman" w:hAnsi="Times New Roman"/>
          <w:sz w:val="24"/>
          <w:szCs w:val="24"/>
        </w:rPr>
        <w:t xml:space="preserve"> function measures the divergence between the predicted class probability distribution and the true one-hot class label vector, providing a theoretically well-motivated objective for multi-class classification problems.</w:t>
      </w:r>
    </w:p>
    <w:p>
      <w:pPr>
        <w:spacing w:before="220" w:after="80"/>
      </w:pPr>
      <w:r>
        <w:rPr>
          <w:rFonts w:ascii="Times New Roman" w:cs="Times New Roman" w:eastAsia="Times New Roman" w:hAnsi="Times New Roman"/>
          <w:b/>
          <w:bCs/>
          <w:i/>
          <w:iCs/>
          <w:sz w:val="24"/>
          <w:szCs w:val="24"/>
        </w:rPr>
        <w:t xml:space="preserve">3.4.4. Data Augmentation and Normalisation</w:t>
      </w:r>
    </w:p>
    <w:p>
      <w:pPr>
        <w:spacing w:before="0" w:after="160" w:line="360"/>
        <w:ind w:firstLine="720"/>
        <w:jc w:val="both"/>
      </w:pPr>
      <w:r>
        <w:rPr>
          <w:rFonts w:ascii="Times New Roman" w:cs="Times New Roman" w:eastAsia="Times New Roman" w:hAnsi="Times New Roman"/>
          <w:sz w:val="24"/>
          <w:szCs w:val="24"/>
        </w:rPr>
        <w:t xml:space="preserve">The training dataset is subject to a stochastic data augmentation pipeline designed to improve the model's ability to generalise to the photometric and geometric variability present in real-world satellite imagery. Augmentations applied to the training split include:</w:t>
      </w:r>
    </w:p>
    <w:p>
      <w:pPr>
        <w:spacing w:before="60" w:after="60" w:line="340"/>
        <w:ind w:left="720" w:hanging="360"/>
        <w:jc w:val="both"/>
      </w:pPr>
      <w:r>
        <w:rPr>
          <w:rFonts w:ascii="Times New Roman" w:cs="Times New Roman" w:eastAsia="Times New Roman" w:hAnsi="Times New Roman"/>
          <w:sz w:val="24"/>
          <w:szCs w:val="24"/>
        </w:rPr>
        <w:t xml:space="preserve">• Random horizontal flipping (applied with probability 0.5)</w:t>
      </w:r>
    </w:p>
    <w:p>
      <w:pPr>
        <w:spacing w:before="60" w:after="60" w:line="340"/>
        <w:ind w:left="720" w:hanging="360"/>
        <w:jc w:val="both"/>
      </w:pPr>
      <w:r>
        <w:rPr>
          <w:rFonts w:ascii="Times New Roman" w:cs="Times New Roman" w:eastAsia="Times New Roman" w:hAnsi="Times New Roman"/>
          <w:sz w:val="24"/>
          <w:szCs w:val="24"/>
        </w:rPr>
        <w:t xml:space="preserve">• Random rotation within a ±10° angular range</w:t>
      </w:r>
    </w:p>
    <w:p>
      <w:pPr>
        <w:spacing w:before="0" w:after="160" w:line="360"/>
        <w:ind w:firstLine="720"/>
        <w:jc w:val="both"/>
      </w:pPr>
      <w:r>
        <w:rPr>
          <w:rFonts w:ascii="Times New Roman" w:cs="Times New Roman" w:eastAsia="Times New Roman" w:hAnsi="Times New Roman"/>
          <w:sz w:val="24"/>
          <w:szCs w:val="24"/>
        </w:rPr>
        <w:t xml:space="preserve">Augmentation is applied exclusively to the training subset; the validation and test subsets are processed using a deterministic transformation pipeline consisting only of spatial resizing and normalisation, ensuring unbiased evaluation metrics.</w:t>
      </w:r>
    </w:p>
    <w:p>
      <w:pPr>
        <w:spacing w:before="220" w:after="80"/>
      </w:pPr>
      <w:r>
        <w:rPr>
          <w:rFonts w:ascii="Times New Roman" w:cs="Times New Roman" w:eastAsia="Times New Roman" w:hAnsi="Times New Roman"/>
          <w:b/>
          <w:bCs/>
          <w:i/>
          <w:iCs/>
          <w:sz w:val="24"/>
          <w:szCs w:val="24"/>
        </w:rPr>
        <w:t xml:space="preserve">3.4.5. Dataset Partitioning</w:t>
      </w:r>
    </w:p>
    <w:p>
      <w:pPr>
        <w:spacing w:before="0" w:after="160" w:line="360"/>
        <w:ind w:firstLine="720"/>
        <w:jc w:val="both"/>
      </w:pPr>
      <w:r>
        <w:rPr>
          <w:rFonts w:ascii="Times New Roman" w:cs="Times New Roman" w:eastAsia="Times New Roman" w:hAnsi="Times New Roman"/>
          <w:sz w:val="24"/>
          <w:szCs w:val="24"/>
        </w:rPr>
        <w:t xml:space="preserve">The EuroSAT dataset (27,000 labelled samples across 10 classes) is partitioned into training, validation, and test subsets using stratified random sampling with an 80:10:10 ratio, following the approach described in Cochran (1977) for proportional allocation in stratified designs. Stratified sampling ensures that the relative class proportions are preserved across all three subsets, reducing the risk of partition-induced class imbalance. The partitioning is implemented using sklearn.model_selection.train_test_split with stratify=labels and a fixed random_state=42 for reproducibility.</w:t>
      </w:r>
    </w:p>
    <w:p>
      <w:pPr>
        <w:spacing w:before="220" w:after="80"/>
      </w:pPr>
      <w:r>
        <w:rPr>
          <w:rFonts w:ascii="Times New Roman" w:cs="Times New Roman" w:eastAsia="Times New Roman" w:hAnsi="Times New Roman"/>
          <w:b/>
          <w:bCs/>
          <w:i/>
          <w:iCs/>
          <w:sz w:val="24"/>
          <w:szCs w:val="24"/>
        </w:rPr>
        <w:t xml:space="preserve">3.4.6. Training Results</w:t>
      </w:r>
    </w:p>
    <w:p>
      <w:pPr>
        <w:spacing w:before="0" w:after="160" w:line="360"/>
        <w:ind w:firstLine="720"/>
        <w:jc w:val="both"/>
      </w:pPr>
      <w:r>
        <w:rPr>
          <w:rFonts w:ascii="Times New Roman" w:cs="Times New Roman" w:eastAsia="Times New Roman" w:hAnsi="Times New Roman"/>
          <w:sz w:val="24"/>
          <w:szCs w:val="24"/>
        </w:rPr>
        <w:t xml:space="preserve">The model was trained on the Kaggle cloud computing platform with NVIDIA Tesla T4 GPU acceleration. The training history over five epochs is summarised in Table 3.2.</w:t>
      </w:r>
    </w:p>
    <w:p>
      <w:pPr>
        <w:spacing w:before="0" w:after="1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1800"/>
        <w:gridCol w:w="2100"/>
      </w:tblGrid>
      <w:tr>
        <w:tc>
          <w:tcPr>
            <w:tcW w:type="dxa" w:w="900"/>
            <w:tcBorders>
              <w:top w:val="single" w:color="CCCCCC" w:sz="1"/>
              <w:left w:val="single" w:color="CCCCCC" w:sz="1"/>
              <w:bottom w:val="single" w:color="CCCCCC" w:sz="1"/>
              <w:right w:val="single" w:color="CCCCCC" w:sz="1"/>
            </w:tcBorders>
            <w:shd w:fill="D9E1F2"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Epoch</w:t>
            </w:r>
          </w:p>
        </w:tc>
        <w:tc>
          <w:tcPr>
            <w:tcW w:type="dxa" w:w="1400"/>
            <w:tcBorders>
              <w:top w:val="single" w:color="CCCCCC" w:sz="1"/>
              <w:left w:val="single" w:color="CCCCCC" w:sz="1"/>
              <w:bottom w:val="single" w:color="CCCCCC" w:sz="1"/>
              <w:right w:val="single" w:color="CCCCCC" w:sz="1"/>
            </w:tcBorders>
            <w:shd w:fill="D9E1F2"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Train Loss</w:t>
            </w:r>
          </w:p>
        </w:tc>
        <w:tc>
          <w:tcPr>
            <w:tcW w:type="dxa" w:w="1800"/>
            <w:tcBorders>
              <w:top w:val="single" w:color="CCCCCC" w:sz="1"/>
              <w:left w:val="single" w:color="CCCCCC" w:sz="1"/>
              <w:bottom w:val="single" w:color="CCCCCC" w:sz="1"/>
              <w:right w:val="single" w:color="CCCCCC" w:sz="1"/>
            </w:tcBorders>
            <w:shd w:fill="D9E1F2"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Train Accuracy</w:t>
            </w:r>
          </w:p>
        </w:tc>
        <w:tc>
          <w:tcPr>
            <w:tcW w:type="dxa" w:w="1800"/>
            <w:tcBorders>
              <w:top w:val="single" w:color="CCCCCC" w:sz="1"/>
              <w:left w:val="single" w:color="CCCCCC" w:sz="1"/>
              <w:bottom w:val="single" w:color="CCCCCC" w:sz="1"/>
              <w:right w:val="single" w:color="CCCCCC" w:sz="1"/>
            </w:tcBorders>
            <w:shd w:fill="D9E1F2"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Validation Loss</w:t>
            </w:r>
          </w:p>
        </w:tc>
        <w:tc>
          <w:tcPr>
            <w:tcW w:type="dxa" w:w="2100"/>
            <w:tcBorders>
              <w:top w:val="single" w:color="CCCCCC" w:sz="1"/>
              <w:left w:val="single" w:color="CCCCCC" w:sz="1"/>
              <w:bottom w:val="single" w:color="CCCCCC" w:sz="1"/>
              <w:right w:val="single" w:color="CCCCCC" w:sz="1"/>
            </w:tcBorders>
            <w:shd w:fill="D9E1F2"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Validation Accuracy</w:t>
            </w:r>
          </w:p>
        </w:tc>
      </w:tr>
      <w:tr>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0.3164</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90.75%</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0.0706</w:t>
            </w:r>
          </w:p>
        </w:tc>
        <w:tc>
          <w:tcPr>
            <w:tcW w:type="dxa" w:w="21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97.85%</w:t>
            </w:r>
          </w:p>
        </w:tc>
      </w:tr>
      <w:tr>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0.0967</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96.82%</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0.0617</w:t>
            </w:r>
          </w:p>
        </w:tc>
        <w:tc>
          <w:tcPr>
            <w:tcW w:type="dxa" w:w="21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98.15%</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3 ★</w:t>
            </w:r>
          </w:p>
        </w:tc>
        <w:tc>
          <w:tcPr>
            <w:tcW w:type="dxa" w:w="14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0.0757</w:t>
            </w:r>
          </w:p>
        </w:tc>
        <w:tc>
          <w:tcPr>
            <w:tcW w:type="dxa" w:w="18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97.58%</w:t>
            </w:r>
          </w:p>
        </w:tc>
        <w:tc>
          <w:tcPr>
            <w:tcW w:type="dxa" w:w="18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0.0511</w:t>
            </w:r>
          </w:p>
        </w:tc>
        <w:tc>
          <w:tcPr>
            <w:tcW w:type="dxa" w:w="21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Times New Roman" w:cs="Times New Roman" w:eastAsia="Times New Roman" w:hAnsi="Times New Roman"/>
                <w:b/>
                <w:bCs/>
                <w:sz w:val="18"/>
                <w:szCs w:val="18"/>
              </w:rPr>
              <w:t xml:space="preserve">98.56% (best)</w:t>
            </w:r>
          </w:p>
        </w:tc>
      </w:tr>
      <w:tr>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0.0574</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98.13%</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0.0582</w:t>
            </w:r>
          </w:p>
        </w:tc>
        <w:tc>
          <w:tcPr>
            <w:tcW w:type="dxa" w:w="21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98.04%</w:t>
            </w:r>
          </w:p>
        </w:tc>
      </w:tr>
      <w:tr>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0.0461</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98.43%</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0.0434</w:t>
            </w:r>
          </w:p>
        </w:tc>
        <w:tc>
          <w:tcPr>
            <w:tcW w:type="dxa" w:w="21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Times New Roman" w:cs="Times New Roman" w:eastAsia="Times New Roman" w:hAnsi="Times New Roman"/>
                <w:b w:val="false"/>
                <w:bCs w:val="false"/>
                <w:sz w:val="18"/>
                <w:szCs w:val="18"/>
              </w:rPr>
              <w:t xml:space="preserve">98.41%</w:t>
            </w:r>
          </w:p>
        </w:tc>
      </w:tr>
    </w:tbl>
    <w:p>
      <w:pPr>
        <w:spacing w:before="80" w:after="200"/>
        <w:jc w:val="center"/>
      </w:pPr>
      <w:r>
        <w:rPr>
          <w:rFonts w:ascii="Times New Roman" w:cs="Times New Roman" w:eastAsia="Times New Roman" w:hAnsi="Times New Roman"/>
          <w:i/>
          <w:iCs/>
          <w:sz w:val="20"/>
          <w:szCs w:val="20"/>
        </w:rPr>
        <w:t xml:space="preserve">Table 3.2. Training history of the fine-tuned ResNet-50 model across five epochs. ★ denotes the best checkpoint.</w:t>
      </w:r>
    </w:p>
    <w:p>
      <w:pPr>
        <w:spacing w:before="0" w:after="160" w:line="360"/>
        <w:ind w:firstLine="720"/>
        <w:jc w:val="both"/>
      </w:pPr>
      <w:r>
        <w:rPr>
          <w:rFonts w:ascii="Times New Roman" w:cs="Times New Roman" w:eastAsia="Times New Roman" w:hAnsi="Times New Roman"/>
          <w:sz w:val="24"/>
          <w:szCs w:val="24"/>
        </w:rPr>
        <w:t xml:space="preserve">The best model checkpoint — determined by maximum validation accuracy — was recorded at </w:t>
      </w:r>
      <w:r>
        <w:rPr>
          <w:rFonts w:ascii="Times New Roman" w:cs="Times New Roman" w:eastAsia="Times New Roman" w:hAnsi="Times New Roman"/>
          <w:b/>
          <w:bCs/>
          <w:sz w:val="24"/>
          <w:szCs w:val="24"/>
        </w:rPr>
        <w:t xml:space="preserve">Epoch 3</w:t>
      </w:r>
      <w:r>
        <w:rPr>
          <w:rFonts w:ascii="Times New Roman" w:cs="Times New Roman" w:eastAsia="Times New Roman" w:hAnsi="Times New Roman"/>
          <w:sz w:val="24"/>
          <w:szCs w:val="24"/>
        </w:rPr>
        <w:t xml:space="preserve"> with a validation accuracy of </w:t>
      </w:r>
      <w:r>
        <w:rPr>
          <w:rFonts w:ascii="Times New Roman" w:cs="Times New Roman" w:eastAsia="Times New Roman" w:hAnsi="Times New Roman"/>
          <w:b/>
          <w:bCs/>
          <w:sz w:val="24"/>
          <w:szCs w:val="24"/>
        </w:rPr>
        <w:t xml:space="preserve">98.56%</w:t>
      </w:r>
      <w:r>
        <w:rPr>
          <w:rFonts w:ascii="Times New Roman" w:cs="Times New Roman" w:eastAsia="Times New Roman" w:hAnsi="Times New Roman"/>
          <w:sz w:val="24"/>
          <w:szCs w:val="24"/>
        </w:rPr>
        <w:t xml:space="preserve"> and a validation loss of 0.0511. The trained model weights are saved and subsequently loaded into the backend inference pipeline for operational land-cover classification.</w:t>
      </w:r>
    </w:p>
    <w:p>
      <w:pPr>
        <w:spacing w:before="0" w:after="160" w:line="360"/>
        <w:ind w:firstLine="720"/>
        <w:jc w:val="both"/>
      </w:pPr>
      <w:r>
        <w:rPr>
          <w:rFonts w:ascii="Times New Roman" w:cs="Times New Roman" w:eastAsia="Times New Roman" w:hAnsi="Times New Roman"/>
          <w:sz w:val="24"/>
          <w:szCs w:val="24"/>
        </w:rPr>
        <w:t xml:space="preserve">The rapid improvement in validation accuracy within the first epoch is consistent with the established transfer learning phenomenon documented by Yosinski et al. (2014), where pretrained representations already offer discriminative structure for the target domain. The slight overfitting pattern observable from Epoch 4 onwards — where training accuracy continues to increase while validation accuracy plateaus — provides a practical justification for using best-checkpoint model selection rather than final-epoch weights.</w:t>
      </w:r>
    </w:p>
    <w:p>
      <w:pPr>
        <w:pStyle w:val="Heading2"/>
        <w:spacing w:before="300" w:after="120"/>
      </w:pPr>
      <w:r>
        <w:rPr>
          <w:rFonts w:ascii="Times New Roman" w:cs="Times New Roman" w:eastAsia="Times New Roman" w:hAnsi="Times New Roman"/>
          <w:b/>
          <w:bCs/>
          <w:sz w:val="26"/>
          <w:szCs w:val="26"/>
        </w:rPr>
        <w:t xml:space="preserve">3.5. Technologies and Tools</w:t>
      </w:r>
    </w:p>
    <w:p>
      <w:pPr>
        <w:spacing w:before="0" w:after="160" w:line="360"/>
        <w:ind w:firstLine="720"/>
        <w:jc w:val="both"/>
      </w:pPr>
      <w:r>
        <w:rPr>
          <w:rFonts w:ascii="Times New Roman" w:cs="Times New Roman" w:eastAsia="Times New Roman" w:hAnsi="Times New Roman"/>
          <w:sz w:val="24"/>
          <w:szCs w:val="24"/>
        </w:rPr>
        <w:t xml:space="preserve">The implementation of the system relies on a carefully selected combination of technologies for web development, geospatial data processing, machine learning, and satellite data access. Table 3.3 provides a comprehensive summary of the principal technologies employed, together with their respective functional roles within the system.</w:t>
      </w:r>
    </w:p>
    <w:p>
      <w:pPr>
        <w:spacing w:before="0"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100"/>
      </w:tblGrid>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Component</w:t>
            </w:r>
          </w:p>
        </w:tc>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Technology</w:t>
            </w:r>
          </w:p>
        </w:tc>
        <w:tc>
          <w:tcPr>
            <w:tcW w:type="dxa" w:w="41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Role in the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Backend API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FastAPI (Python)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HTTP request routing, data orchestration, OpenAPI documentation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Geospatial vector 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GeoPandas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GeoJSON validation, CRS reprojection, area and centroid computation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Geospatial raster 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Rasterio</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Spatial clipping, band extraction, raster 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Spectral index computation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NumPy</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Pixel-wise NDVI and EVI band arithmetic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Satellite data platform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Google Earth Engine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Cloud-based Sentinel-2 and Landsat imagery retrieval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Satellite tile visualization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Sentinel Hub</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Frontend basemap tile rendering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Machine learning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PyTorch</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Model construction, training, fine-tuning, and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Pre-trained model backbone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ResNet-50 (torchvision)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Feature extraction for land-cover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Data preparation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scikit-learn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Stratified train/val/test splitting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Frontend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React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Component-based user interface rendering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Web mapping 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Leaflet.js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Interactive geospatial map and overlay rendering</w:t>
            </w:r>
          </w:p>
        </w:tc>
      </w:tr>
    </w:tbl>
    <w:p>
      <w:pPr>
        <w:spacing w:before="80" w:after="200"/>
        <w:jc w:val="center"/>
      </w:pPr>
      <w:r>
        <w:rPr>
          <w:rFonts w:ascii="Times New Roman" w:cs="Times New Roman" w:eastAsia="Times New Roman" w:hAnsi="Times New Roman"/>
          <w:i/>
          <w:iCs/>
          <w:sz w:val="20"/>
          <w:szCs w:val="20"/>
        </w:rPr>
        <w:t xml:space="preserve">Table 3.3. Summary of technologies and their roles within the system.</w:t>
      </w:r>
    </w:p>
    <w:p>
      <w:pPr>
        <w:spacing w:before="0" w:after="160" w:line="360"/>
        <w:ind w:firstLine="720"/>
        <w:jc w:val="both"/>
      </w:pPr>
      <w:r>
        <w:rPr>
          <w:rFonts w:ascii="Times New Roman" w:cs="Times New Roman" w:eastAsia="Times New Roman" w:hAnsi="Times New Roman"/>
          <w:sz w:val="24"/>
          <w:szCs w:val="24"/>
        </w:rPr>
        <w:t xml:space="preserve">Technology selection decisions were guided by four criteria: functional suitability for the specific task, open-source licensing, active maintenance and community support, and alignment with current practice in applied machine learning systems. Where multiple alternatives existed — for example, Flask versus FastAPI for the backend, or TensorFlow versus PyTorch for the machine learning module — the selected option was preferred on the basis of performance benchmarks, development ergonomics, and the availability of well-established pretrained model repositories.</w:t>
      </w:r>
    </w:p>
    <w:p>
      <w:pPr>
        <w:pStyle w:val="Heading2"/>
        <w:spacing w:before="300" w:after="120"/>
      </w:pPr>
      <w:r>
        <w:rPr>
          <w:rFonts w:ascii="Times New Roman" w:cs="Times New Roman" w:eastAsia="Times New Roman" w:hAnsi="Times New Roman"/>
          <w:b/>
          <w:bCs/>
          <w:sz w:val="26"/>
          <w:szCs w:val="26"/>
        </w:rPr>
        <w:t xml:space="preserve">3.6. Evaluation Approach</w:t>
      </w:r>
    </w:p>
    <w:p>
      <w:pPr>
        <w:spacing w:before="0" w:after="160" w:line="360"/>
        <w:ind w:firstLine="720"/>
        <w:jc w:val="both"/>
      </w:pPr>
      <w:r>
        <w:rPr>
          <w:rFonts w:ascii="Times New Roman" w:cs="Times New Roman" w:eastAsia="Times New Roman" w:hAnsi="Times New Roman"/>
          <w:sz w:val="24"/>
          <w:szCs w:val="24"/>
        </w:rPr>
        <w:t xml:space="preserve">The evaluation of the system is conducted at two complementary levels: the quantitative assessment of machine learning model performance, and the functional correctness validation of the integrated end-to-end web service.</w:t>
      </w:r>
    </w:p>
    <w:p>
      <w:pPr>
        <w:spacing w:before="220" w:after="80"/>
      </w:pPr>
      <w:r>
        <w:rPr>
          <w:rFonts w:ascii="Times New Roman" w:cs="Times New Roman" w:eastAsia="Times New Roman" w:hAnsi="Times New Roman"/>
          <w:b/>
          <w:bCs/>
          <w:i/>
          <w:iCs/>
          <w:sz w:val="24"/>
          <w:szCs w:val="24"/>
        </w:rPr>
        <w:t xml:space="preserve">3.6.1. Model Evaluation</w:t>
      </w:r>
    </w:p>
    <w:p>
      <w:pPr>
        <w:spacing w:before="0" w:after="160" w:line="360"/>
        <w:ind w:firstLine="720"/>
        <w:jc w:val="both"/>
      </w:pPr>
      <w:r>
        <w:rPr>
          <w:rFonts w:ascii="Times New Roman" w:cs="Times New Roman" w:eastAsia="Times New Roman" w:hAnsi="Times New Roman"/>
          <w:sz w:val="24"/>
          <w:szCs w:val="24"/>
        </w:rPr>
        <w:t xml:space="preserve">Classification performance is evaluated on the held-out test subset of the EuroSAT dataset (2,700 samples, 10% of the total, selected via stratified sampling), which was withheld from both training and validation and is therefore unseen by the model during any phase of the training procedure. The following quantitative evaluation metrics are computed:</w:t>
      </w:r>
    </w:p>
    <w:p>
      <w:pPr>
        <w:spacing w:before="60" w:after="60" w:line="34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Overall Accuracy (OA): </w:t>
      </w:r>
      <w:r>
        <w:rPr>
          <w:rFonts w:ascii="Times New Roman" w:cs="Times New Roman" w:eastAsia="Times New Roman" w:hAnsi="Times New Roman"/>
          <w:sz w:val="24"/>
          <w:szCs w:val="24"/>
        </w:rPr>
        <w:t xml:space="preserve">the proportion of correctly classified samples across all classes. While OA provides a general aggregate indicator of model performance, it may be misleading in the presence of class imbalance and is therefore reported together with per-class metrics.</w:t>
      </w:r>
    </w:p>
    <w:p>
      <w:pPr>
        <w:spacing w:before="60" w:after="60" w:line="34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Per-class Precision: </w:t>
      </w:r>
      <w:r>
        <w:rPr>
          <w:rFonts w:ascii="Times New Roman" w:cs="Times New Roman" w:eastAsia="Times New Roman" w:hAnsi="Times New Roman"/>
          <w:sz w:val="24"/>
          <w:szCs w:val="24"/>
        </w:rPr>
        <w:t xml:space="preserve">the proportion of true positive predictions among all samples predicted as belonging to a given class, measuring the model's propensity for false positive errors.</w:t>
      </w:r>
    </w:p>
    <w:p>
      <w:pPr>
        <w:spacing w:before="60" w:after="60" w:line="34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Per-class Recall: </w:t>
      </w:r>
      <w:r>
        <w:rPr>
          <w:rFonts w:ascii="Times New Roman" w:cs="Times New Roman" w:eastAsia="Times New Roman" w:hAnsi="Times New Roman"/>
          <w:sz w:val="24"/>
          <w:szCs w:val="24"/>
        </w:rPr>
        <w:t xml:space="preserve">the proportion of true positive predictions among all ground-truth samples of a given class, measuring the model's propensity for false negative errors.</w:t>
      </w:r>
    </w:p>
    <w:p>
      <w:pPr>
        <w:spacing w:before="60" w:after="60" w:line="34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F1-Score: </w:t>
      </w:r>
      <w:r>
        <w:rPr>
          <w:rFonts w:ascii="Times New Roman" w:cs="Times New Roman" w:eastAsia="Times New Roman" w:hAnsi="Times New Roman"/>
          <w:sz w:val="24"/>
          <w:szCs w:val="24"/>
        </w:rPr>
        <w:t xml:space="preserve">the harmonic mean of precision and recall for each class, providing a balanced scalar summary of per-class classification quality. The macro-averaged and weighted-averaged F1-scores are reported to account for class size imbalances.</w:t>
      </w:r>
    </w:p>
    <w:p>
      <w:pPr>
        <w:spacing w:before="60" w:after="60" w:line="34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Confusion Matrix: </w:t>
      </w:r>
      <w:r>
        <w:rPr>
          <w:rFonts w:ascii="Times New Roman" w:cs="Times New Roman" w:eastAsia="Times New Roman" w:hAnsi="Times New Roman"/>
          <w:sz w:val="24"/>
          <w:szCs w:val="24"/>
        </w:rPr>
        <w:t xml:space="preserve">a C×C matrix (where C = 10) reporting the number of samples from each true class predicted to belong to each predicted class. Confusion matrix analysis identifies the class pairs most susceptible to misclassification — for example, Annual Crop versus Permanent Crop — and provides diagnostic information for guiding potential improvements to the training data or model architecture.</w:t>
      </w:r>
    </w:p>
    <w:p>
      <w:pPr>
        <w:spacing w:before="220" w:after="80"/>
      </w:pPr>
      <w:r>
        <w:rPr>
          <w:rFonts w:ascii="Times New Roman" w:cs="Times New Roman" w:eastAsia="Times New Roman" w:hAnsi="Times New Roman"/>
          <w:b/>
          <w:bCs/>
          <w:i/>
          <w:iCs/>
          <w:sz w:val="24"/>
          <w:szCs w:val="24"/>
        </w:rPr>
        <w:t xml:space="preserve">3.6.2. System-Level Evaluation</w:t>
      </w:r>
    </w:p>
    <w:p>
      <w:pPr>
        <w:spacing w:before="0" w:after="160" w:line="360"/>
        <w:ind w:firstLine="720"/>
        <w:jc w:val="both"/>
      </w:pPr>
      <w:r>
        <w:rPr>
          <w:rFonts w:ascii="Times New Roman" w:cs="Times New Roman" w:eastAsia="Times New Roman" w:hAnsi="Times New Roman"/>
          <w:sz w:val="24"/>
          <w:szCs w:val="24"/>
        </w:rPr>
        <w:t xml:space="preserve">The functional evaluation of the integrated web service assesses the correctness and consistency of the API pipeline and frontend integration. In the current prototype, system-level evaluation focuses on the following criteria:</w:t>
      </w:r>
    </w:p>
    <w:p>
      <w:pPr>
        <w:spacing w:before="60" w:after="60" w:line="34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API schema correctness: </w:t>
      </w:r>
      <w:r>
        <w:rPr>
          <w:rFonts w:ascii="Times New Roman" w:cs="Times New Roman" w:eastAsia="Times New Roman" w:hAnsi="Times New Roman"/>
          <w:sz w:val="24"/>
          <w:szCs w:val="24"/>
        </w:rPr>
        <w:t xml:space="preserve">All endpoints return JSON responses conforming to the defined schema with correct HTTP status codes, verified using both automated HTTP client tests and the auto-generated FastAPI interactive documentation (/docs).</w:t>
      </w:r>
    </w:p>
    <w:p>
      <w:pPr>
        <w:spacing w:before="60" w:after="60" w:line="34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Frontend integration: </w:t>
      </w:r>
      <w:r>
        <w:rPr>
          <w:rFonts w:ascii="Times New Roman" w:cs="Times New Roman" w:eastAsia="Times New Roman" w:hAnsi="Times New Roman"/>
          <w:sz w:val="24"/>
          <w:szCs w:val="24"/>
        </w:rPr>
        <w:t xml:space="preserve">The React frontend correctly consumes the JSON response and renders classification results and vegetation index values as map overlay annotations and statistics panel updates.</w:t>
      </w:r>
    </w:p>
    <w:p>
      <w:pPr>
        <w:spacing w:before="60" w:after="60" w:line="34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Pipeline structural completeness: </w:t>
      </w:r>
      <w:r>
        <w:rPr>
          <w:rFonts w:ascii="Times New Roman" w:cs="Times New Roman" w:eastAsia="Times New Roman" w:hAnsi="Times New Roman"/>
          <w:sz w:val="24"/>
          <w:szCs w:val="24"/>
        </w:rPr>
        <w:t xml:space="preserve">Each of the five pipeline stages is represented by an independently callable function with a defined interface, such that mock implementations can be replaced by real implementations without altering the surrounding pipeline logic or API contract.</w:t>
      </w:r>
    </w:p>
    <w:p>
      <w:pPr>
        <w:spacing w:before="0" w:after="160" w:line="360"/>
        <w:ind w:firstLine="720"/>
        <w:jc w:val="both"/>
      </w:pPr>
      <w:r>
        <w:rPr>
          <w:rFonts w:ascii="Times New Roman" w:cs="Times New Roman" w:eastAsia="Times New Roman" w:hAnsi="Times New Roman"/>
          <w:sz w:val="24"/>
          <w:szCs w:val="24"/>
        </w:rPr>
        <w:t xml:space="preserve">Full end-to-end validation with live satellite imagery retrieval, Rasterio-based spatial clipping, computed NDVI/EVI values, and live ResNet-50 inference is planned as the principal functional evaluation task in the subsequent development phase, once the GEE integration and model deployment are completed.</w:t>
      </w:r>
    </w:p>
    <w:p>
      <w:pPr>
        <w:pStyle w:val="Heading2"/>
        <w:spacing w:before="300" w:after="120"/>
      </w:pPr>
      <w:r>
        <w:rPr>
          <w:rFonts w:ascii="Times New Roman" w:cs="Times New Roman" w:eastAsia="Times New Roman" w:hAnsi="Times New Roman"/>
          <w:b/>
          <w:bCs/>
          <w:sz w:val="26"/>
          <w:szCs w:val="26"/>
        </w:rPr>
        <w:t xml:space="preserve">3.7. Summary</w:t>
      </w:r>
    </w:p>
    <w:p>
      <w:pPr>
        <w:spacing w:before="0" w:after="160" w:line="360"/>
        <w:ind w:firstLine="720"/>
        <w:jc w:val="both"/>
      </w:pPr>
      <w:r>
        <w:rPr>
          <w:rFonts w:ascii="Times New Roman" w:cs="Times New Roman" w:eastAsia="Times New Roman" w:hAnsi="Times New Roman"/>
          <w:sz w:val="24"/>
          <w:szCs w:val="24"/>
        </w:rPr>
        <w:t xml:space="preserve">The methodology presented in this chapter defines a comprehensive and reproducible framework for integrating transfer learning-based satellite image classification, cloud-based geospatial data processing, and interactive web-based visualization into a unified analytical platform for automated agricultural land monitoring. The three-tier system architecture enforces a clear separation of concerns between the user interface layer, the backend processing layer, and the machine learning module, supporting independent development and testing of each component.</w:t>
      </w:r>
    </w:p>
    <w:p>
      <w:pPr>
        <w:spacing w:before="0" w:after="160" w:line="360"/>
        <w:ind w:firstLine="720"/>
        <w:jc w:val="both"/>
      </w:pPr>
      <w:r>
        <w:rPr>
          <w:rFonts w:ascii="Times New Roman" w:cs="Times New Roman" w:eastAsia="Times New Roman" w:hAnsi="Times New Roman"/>
          <w:sz w:val="24"/>
          <w:szCs w:val="24"/>
        </w:rPr>
        <w:t xml:space="preserve">The five-stage data processing pipeline — satellite imagery retrieval via GEE, spatial clipping via Rasterio, vegetation index computation, image preprocessing, and ResNet-50 inference — is specified at the architectural level and documented per stage with its intended design and current implementation status. The trained ResNet-50 model, which achieved a peak validation accuracy of </w:t>
      </w:r>
      <w:r>
        <w:rPr>
          <w:rFonts w:ascii="Times New Roman" w:cs="Times New Roman" w:eastAsia="Times New Roman" w:hAnsi="Times New Roman"/>
          <w:b/>
          <w:bCs/>
          <w:sz w:val="24"/>
          <w:szCs w:val="24"/>
        </w:rPr>
        <w:t xml:space="preserve">98.56%</w:t>
      </w:r>
      <w:r>
        <w:rPr>
          <w:rFonts w:ascii="Times New Roman" w:cs="Times New Roman" w:eastAsia="Times New Roman" w:hAnsi="Times New Roman"/>
          <w:sz w:val="24"/>
          <w:szCs w:val="24"/>
        </w:rPr>
        <w:t xml:space="preserve"> on the EuroSAT benchmark, is available for backend integration and represents the primary machine learning contribution of this research. Full integration of real satellite data retrieval and model inference is planned as the main objective of the subsequent development phase.</w:t>
      </w:r>
    </w:p>
    <w:p>
      <w:pPr>
        <w:spacing w:before="0" w:after="160" w:line="360"/>
        <w:ind w:firstLine="720"/>
        <w:jc w:val="both"/>
      </w:pPr>
      <w:r>
        <w:rPr>
          <w:rFonts w:ascii="Times New Roman" w:cs="Times New Roman" w:eastAsia="Times New Roman" w:hAnsi="Times New Roman"/>
          <w:sz w:val="24"/>
          <w:szCs w:val="24"/>
        </w:rPr>
        <w:t xml:space="preserve">This approach — treating the validated machine learning model and the web platform architecture as distinct but related contributions — is broadly consistent with practice in applied systems research, where individual components are often evaluated independently before full end-to-end integration.</w:t>
      </w:r>
    </w:p>
    <w:p>
      <w:pPr>
        <w:pStyle w:val="Heading2"/>
        <w:spacing w:before="300" w:after="120"/>
      </w:pPr>
      <w:r>
        <w:rPr>
          <w:rFonts w:ascii="Times New Roman" w:cs="Times New Roman" w:eastAsia="Times New Roman" w:hAnsi="Times New Roman"/>
          <w:b/>
          <w:bCs/>
          <w:sz w:val="26"/>
          <w:szCs w:val="26"/>
        </w:rPr>
        <w:t xml:space="preserve">References</w:t>
      </w:r>
    </w:p>
    <w:p>
      <w:pPr>
        <w:spacing w:before="60" w:after="60" w:line="320"/>
        <w:ind w:left="720" w:hanging="720"/>
        <w:jc w:val="both"/>
      </w:pPr>
      <w:r>
        <w:rPr>
          <w:rFonts w:ascii="Times New Roman" w:cs="Times New Roman" w:eastAsia="Times New Roman" w:hAnsi="Times New Roman"/>
          <w:sz w:val="22"/>
          <w:szCs w:val="22"/>
        </w:rPr>
        <w:t xml:space="preserve">Cochran, W. G. (1977). Sampling Techniques (3rd ed.). John Wiley &amp; Sons.</w:t>
      </w:r>
    </w:p>
    <w:p>
      <w:pPr>
        <w:spacing w:before="60" w:after="60" w:line="320"/>
        <w:ind w:left="720" w:hanging="720"/>
        <w:jc w:val="both"/>
      </w:pPr>
      <w:r>
        <w:rPr>
          <w:rFonts w:ascii="Times New Roman" w:cs="Times New Roman" w:eastAsia="Times New Roman" w:hAnsi="Times New Roman"/>
          <w:sz w:val="22"/>
          <w:szCs w:val="22"/>
        </w:rPr>
        <w:t xml:space="preserve">He, K., Zhang, X., Ren, S., &amp; Sun, J. (2016). Deep residual learning for image recognition. In Proceedings of the IEEE Conference on Computer Vision and Pattern Recognition (CVPR) (pp. 770–778). https://doi.org/10.1109/CVPR.2016.90</w:t>
      </w:r>
    </w:p>
    <w:p>
      <w:pPr>
        <w:spacing w:before="60" w:after="60" w:line="320"/>
        <w:ind w:left="720" w:hanging="720"/>
        <w:jc w:val="both"/>
      </w:pPr>
      <w:r>
        <w:rPr>
          <w:rFonts w:ascii="Times New Roman" w:cs="Times New Roman" w:eastAsia="Times New Roman" w:hAnsi="Times New Roman"/>
          <w:sz w:val="22"/>
          <w:szCs w:val="22"/>
        </w:rPr>
        <w:t xml:space="preserve">Helber, P., Bischke, B., Dengel, A., &amp; Borth, D. (2019). EuroSAT: A novel dataset and deep learning benchmark for land use and land cover classification. IEEE Journal of Selected Topics in Applied Earth Observations and Remote Sensing, 12(7), 2217–2226. https://doi.org/10.1109/JSTARS.2019.2918242</w:t>
      </w:r>
    </w:p>
    <w:p>
      <w:pPr>
        <w:spacing w:before="60" w:after="60" w:line="320"/>
        <w:ind w:left="720" w:hanging="720"/>
        <w:jc w:val="both"/>
      </w:pPr>
      <w:r>
        <w:rPr>
          <w:rFonts w:ascii="Times New Roman" w:cs="Times New Roman" w:eastAsia="Times New Roman" w:hAnsi="Times New Roman"/>
          <w:sz w:val="22"/>
          <w:szCs w:val="22"/>
        </w:rPr>
        <w:t xml:space="preserve">Huete, A., Didan, K., Miura, T., Rodriguez, E. P., Gao, X., &amp; Ferreira, L. G. (2002). Overview of the radiometric and biophysical performance of the MODIS vegetation indices. Remote Sensing of Environment, 83(1–2), 195–213. https://doi.org/10.1016/S0034-4257(02)00096-2</w:t>
      </w:r>
    </w:p>
    <w:p>
      <w:pPr>
        <w:spacing w:before="60" w:after="60" w:line="320"/>
        <w:ind w:left="720" w:hanging="720"/>
        <w:jc w:val="both"/>
      </w:pPr>
      <w:r>
        <w:rPr>
          <w:rFonts w:ascii="Times New Roman" w:cs="Times New Roman" w:eastAsia="Times New Roman" w:hAnsi="Times New Roman"/>
          <w:sz w:val="22"/>
          <w:szCs w:val="22"/>
        </w:rPr>
        <w:t xml:space="preserve">Kingma, D. P., &amp; Ba, J. (2015). Adam: A method for stochastic optimization. In Proceedings of the 3rd International Conference on Learning Representations (ICLR). https://arxiv.org/abs/1412.6980</w:t>
      </w:r>
    </w:p>
    <w:p>
      <w:pPr>
        <w:spacing w:before="60" w:after="60" w:line="320"/>
        <w:ind w:left="720" w:hanging="720"/>
        <w:jc w:val="both"/>
      </w:pPr>
      <w:r>
        <w:rPr>
          <w:rFonts w:ascii="Times New Roman" w:cs="Times New Roman" w:eastAsia="Times New Roman" w:hAnsi="Times New Roman"/>
          <w:sz w:val="22"/>
          <w:szCs w:val="22"/>
        </w:rPr>
        <w:t xml:space="preserve">Gorelick, N., Hancher, M., Dixon, M., Ilyushchenko, S., Thau, D., &amp; Moore, R. (2017). Google Earth Engine: Planetary-scale geospatial analysis for everyone. Remote Sensing of Environment, 202, 18–27. https://doi.org/10.1016/j.rse.2017.06.031</w:t>
      </w:r>
    </w:p>
    <w:p>
      <w:pPr>
        <w:spacing w:before="60" w:after="60" w:line="320"/>
        <w:ind w:left="720" w:hanging="720"/>
        <w:jc w:val="both"/>
      </w:pPr>
      <w:r>
        <w:rPr>
          <w:rFonts w:ascii="Times New Roman" w:cs="Times New Roman" w:eastAsia="Times New Roman" w:hAnsi="Times New Roman"/>
          <w:sz w:val="22"/>
          <w:szCs w:val="22"/>
        </w:rPr>
        <w:t xml:space="preserve">Pan, S. J., &amp; Yang, Q. (2010). A survey on transfer learning. IEEE Transactions on Knowledge and Data Engineering, 22(10), 1345–1359. https://doi.org/10.1109/TKDE.2009.191</w:t>
      </w:r>
    </w:p>
    <w:p>
      <w:pPr>
        <w:spacing w:before="60" w:after="60" w:line="320"/>
        <w:ind w:left="720" w:hanging="720"/>
        <w:jc w:val="both"/>
      </w:pPr>
      <w:r>
        <w:rPr>
          <w:rFonts w:ascii="Times New Roman" w:cs="Times New Roman" w:eastAsia="Times New Roman" w:hAnsi="Times New Roman"/>
          <w:sz w:val="22"/>
          <w:szCs w:val="22"/>
        </w:rPr>
        <w:t xml:space="preserve">Rouse, J. W., Haas, R. H., Schell, J. A., &amp; Deering, D. W. (1974). Monitoring vegetation systems in the Great Plains with ERTS. NASA Special Publication, 351, 309–317.</w:t>
      </w:r>
    </w:p>
    <w:p>
      <w:pPr>
        <w:spacing w:before="60" w:after="60" w:line="320"/>
        <w:ind w:left="720" w:hanging="720"/>
        <w:jc w:val="both"/>
      </w:pPr>
      <w:r>
        <w:rPr>
          <w:rFonts w:ascii="Times New Roman" w:cs="Times New Roman" w:eastAsia="Times New Roman" w:hAnsi="Times New Roman"/>
          <w:sz w:val="22"/>
          <w:szCs w:val="22"/>
        </w:rPr>
        <w:t xml:space="preserve">European Space Agency. (2021). Sentinel-2 User Handbook. https://sentinel.esa.int/documents/247904/685211/Sentinel-2_User_Handbook</w:t>
      </w:r>
    </w:p>
    <w:p>
      <w:pPr>
        <w:spacing w:before="60" w:after="60" w:line="320"/>
        <w:ind w:left="720" w:hanging="720"/>
        <w:jc w:val="both"/>
      </w:pPr>
      <w:r>
        <w:rPr>
          <w:rFonts w:ascii="Times New Roman" w:cs="Times New Roman" w:eastAsia="Times New Roman" w:hAnsi="Times New Roman"/>
          <w:sz w:val="22"/>
          <w:szCs w:val="22"/>
        </w:rPr>
        <w:t xml:space="preserve">U.S. Geological Survey. (2020). Landsat 8 Data Users Handbook. https://www.usgs.gov/landsat-missions/landsat-8-data-users-handbook</w:t>
      </w:r>
    </w:p>
    <w:p>
      <w:pPr>
        <w:spacing w:before="60" w:after="60" w:line="320"/>
        <w:ind w:left="720" w:hanging="720"/>
        <w:jc w:val="both"/>
      </w:pPr>
      <w:r>
        <w:rPr>
          <w:rFonts w:ascii="Times New Roman" w:cs="Times New Roman" w:eastAsia="Times New Roman" w:hAnsi="Times New Roman"/>
          <w:sz w:val="22"/>
          <w:szCs w:val="22"/>
        </w:rPr>
        <w:t xml:space="preserve">Yosinski, J., Clune, J., Bengio, Y., &amp; Lipson, H. (2014). How transferable are features in deep neural networks? In Advances in Neural Information Processing Systems (NeurIPS), 27, 3320–3328. https://arxiv.org/abs/1411.1792</w:t>
      </w:r>
    </w:p>
    <w:sectPr>
      <w:footerReference w:type="default" r:id="rId6"/>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2026-03-27T20:16:08.833Z</dcterms:created>
  <dcterms:modified xsi:type="dcterms:W3CDTF">2026-03-27T20:16:08.833Z</dcterms:modified>
</cp:coreProperties>
</file>

<file path=docProps/custom.xml><?xml version="1.0" encoding="utf-8"?>
<Properties xmlns="http://schemas.openxmlformats.org/officeDocument/2006/custom-properties" xmlns:vt="http://schemas.openxmlformats.org/officeDocument/2006/docPropsVTypes"/>
</file>