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F851" w14:textId="61147145" w:rsidR="002C76EC" w:rsidRPr="002C76EC" w:rsidRDefault="002C76EC" w:rsidP="002C76EC">
      <w:pPr>
        <w:spacing w:line="240" w:lineRule="auto"/>
        <w:rPr>
          <w:rFonts w:ascii="Times New Roman" w:hAnsi="Times New Roman" w:cs="Times New Roman"/>
          <w:b/>
          <w:bCs/>
          <w:lang w:val="ru-KZ"/>
        </w:rPr>
      </w:pPr>
      <w:r w:rsidRPr="002C76EC">
        <w:rPr>
          <w:rFonts w:ascii="Times New Roman" w:hAnsi="Times New Roman" w:cs="Times New Roman"/>
          <w:b/>
          <w:bCs/>
          <w:lang w:val="ru-KZ"/>
        </w:rPr>
        <w:t>7 Technology Comparison and Selection Rationale</w:t>
      </w:r>
    </w:p>
    <w:p w14:paraId="4D9D2227" w14:textId="069F97A4" w:rsidR="002C76EC" w:rsidRPr="002C76EC" w:rsidRDefault="002C76EC" w:rsidP="002C76EC">
      <w:pPr>
        <w:spacing w:line="240" w:lineRule="auto"/>
        <w:rPr>
          <w:rFonts w:ascii="Times New Roman" w:hAnsi="Times New Roman" w:cs="Times New Roman"/>
          <w:b/>
          <w:bCs/>
          <w:lang w:val="ru-KZ"/>
        </w:rPr>
      </w:pPr>
      <w:r w:rsidRPr="002C76EC">
        <w:rPr>
          <w:rFonts w:ascii="Times New Roman" w:hAnsi="Times New Roman" w:cs="Times New Roman"/>
          <w:b/>
          <w:bCs/>
          <w:lang w:val="ru-KZ"/>
        </w:rPr>
        <w:t>7.1 Introduction</w:t>
      </w:r>
    </w:p>
    <w:p w14:paraId="20340D35" w14:textId="77777777" w:rsidR="002C76EC" w:rsidRPr="002C76EC" w:rsidRDefault="002C76EC" w:rsidP="002C76EC">
      <w:pPr>
        <w:spacing w:line="240" w:lineRule="auto"/>
        <w:ind w:firstLine="720"/>
        <w:rPr>
          <w:rFonts w:ascii="Times New Roman" w:hAnsi="Times New Roman" w:cs="Times New Roman"/>
          <w:lang w:val="ru-KZ"/>
        </w:rPr>
      </w:pPr>
      <w:r w:rsidRPr="002C76EC">
        <w:rPr>
          <w:rFonts w:ascii="Times New Roman" w:hAnsi="Times New Roman" w:cs="Times New Roman"/>
          <w:lang w:val="ru-KZ"/>
        </w:rPr>
        <w:t>The selection of appropriate technologies represents a crucial stage in the design of modern data-driven systems, as it directly influences system performance, scalability, maintainability, and long-term adaptability. In the case of the developed farmland analysis platform, multiple technological alternatives were considered across several system layers, including backend development, machine learning, geospatial data processing, satellite data access, and frontend visualization.</w:t>
      </w:r>
    </w:p>
    <w:p w14:paraId="07EB7855" w14:textId="77777777" w:rsidR="002C76EC" w:rsidRPr="002C76EC" w:rsidRDefault="002C76EC" w:rsidP="002C76EC">
      <w:pPr>
        <w:spacing w:line="240" w:lineRule="auto"/>
        <w:ind w:firstLine="720"/>
        <w:rPr>
          <w:rFonts w:ascii="Times New Roman" w:hAnsi="Times New Roman" w:cs="Times New Roman"/>
          <w:lang w:val="ru-KZ"/>
        </w:rPr>
      </w:pPr>
      <w:r w:rsidRPr="002C76EC">
        <w:rPr>
          <w:rFonts w:ascii="Times New Roman" w:hAnsi="Times New Roman" w:cs="Times New Roman"/>
          <w:lang w:val="ru-KZ"/>
        </w:rPr>
        <w:t>Rather than relying on a single criterion, the selection process was guided by a combination of factors, including computational efficiency, support for asynchronous execution, compatibility with the Python-based ecosystem, availability of pretrained models and geospatial datasets, as well as the maturity of documentation and community support. This multi-criteria evaluation approach allows for a more balanced and practically justified selection of technologies.</w:t>
      </w:r>
    </w:p>
    <w:p w14:paraId="52FE0AE2" w14:textId="10337483"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The purpose of this section is to provide a comparative analysis of the considered technologies and to justify the final design decisions adopted in the system.</w:t>
      </w:r>
    </w:p>
    <w:p w14:paraId="76F4603B" w14:textId="30D4EEC6" w:rsidR="002C76EC" w:rsidRPr="002C76EC" w:rsidRDefault="002C76EC" w:rsidP="002C76EC">
      <w:pPr>
        <w:spacing w:line="240" w:lineRule="auto"/>
        <w:rPr>
          <w:rFonts w:ascii="Times New Roman" w:hAnsi="Times New Roman" w:cs="Times New Roman"/>
          <w:b/>
          <w:bCs/>
          <w:lang w:val="ru-KZ"/>
        </w:rPr>
      </w:pPr>
      <w:r w:rsidRPr="002C76EC">
        <w:rPr>
          <w:rFonts w:ascii="Times New Roman" w:hAnsi="Times New Roman" w:cs="Times New Roman"/>
          <w:b/>
          <w:bCs/>
          <w:lang w:val="ru-KZ"/>
        </w:rPr>
        <w:t>7.2 Backend Framework</w:t>
      </w:r>
    </w:p>
    <w:p w14:paraId="181CB95D" w14:textId="77777777" w:rsidR="002C76EC" w:rsidRPr="002C76EC" w:rsidRDefault="002C76EC" w:rsidP="002C76EC">
      <w:pPr>
        <w:spacing w:line="240" w:lineRule="auto"/>
        <w:ind w:firstLine="720"/>
        <w:rPr>
          <w:rFonts w:ascii="Times New Roman" w:hAnsi="Times New Roman" w:cs="Times New Roman"/>
          <w:lang w:val="ru-KZ"/>
        </w:rPr>
      </w:pPr>
      <w:r w:rsidRPr="002C76EC">
        <w:rPr>
          <w:rFonts w:ascii="Times New Roman" w:hAnsi="Times New Roman" w:cs="Times New Roman"/>
          <w:lang w:val="ru-KZ"/>
        </w:rPr>
        <w:t>The backend layer functions as the central coordination component of the system, handling API requests, orchestrating geospatial data processing, and managing communication with external services. Among the evaluated options, FastAPI, Flask, and Django REST Framework represent commonly used Python-based frameworks.</w:t>
      </w:r>
    </w:p>
    <w:p w14:paraId="20FFD710" w14:textId="77777777" w:rsidR="002C76EC" w:rsidRPr="002C76EC" w:rsidRDefault="002C76EC" w:rsidP="002C76EC">
      <w:pPr>
        <w:spacing w:line="240" w:lineRule="auto"/>
        <w:ind w:firstLine="720"/>
        <w:rPr>
          <w:rFonts w:ascii="Times New Roman" w:hAnsi="Times New Roman" w:cs="Times New Roman"/>
          <w:lang w:val="ru-KZ"/>
        </w:rPr>
      </w:pPr>
      <w:r w:rsidRPr="002C76EC">
        <w:rPr>
          <w:rFonts w:ascii="Times New Roman" w:hAnsi="Times New Roman" w:cs="Times New Roman"/>
          <w:lang w:val="ru-KZ"/>
        </w:rPr>
        <w:t>Flask is often considered a flexible and lightweight solution, particularly suitable for simple applications. However, its default synchronous execution model may introduce limitations in scenarios involving multiple concurrent I/O operations, such as satellite data retrieval and file processing. While asynchronous extensions are available, their integration may increase system complexity.</w:t>
      </w:r>
    </w:p>
    <w:p w14:paraId="11EA5616" w14:textId="77777777" w:rsidR="002C76EC" w:rsidRPr="002C76EC" w:rsidRDefault="002C76EC" w:rsidP="002C76EC">
      <w:pPr>
        <w:spacing w:line="240" w:lineRule="auto"/>
        <w:ind w:firstLine="720"/>
        <w:rPr>
          <w:rFonts w:ascii="Times New Roman" w:hAnsi="Times New Roman" w:cs="Times New Roman"/>
          <w:lang w:val="ru-KZ"/>
        </w:rPr>
      </w:pPr>
      <w:r w:rsidRPr="002C76EC">
        <w:rPr>
          <w:rFonts w:ascii="Times New Roman" w:hAnsi="Times New Roman" w:cs="Times New Roman"/>
          <w:lang w:val="ru-KZ"/>
        </w:rPr>
        <w:t>Django REST Framework provides a more comprehensive environment with built-in features such as authentication and ORM integration. Nevertheless, for a relatively lightweight analytical service, its monolithic structure may introduce unnecessary overhead and reduce overall system efficiency.</w:t>
      </w:r>
    </w:p>
    <w:p w14:paraId="65F5323A" w14:textId="77777777" w:rsidR="002C76EC" w:rsidRPr="002C76EC" w:rsidRDefault="002C76EC" w:rsidP="002C76EC">
      <w:pPr>
        <w:spacing w:line="240" w:lineRule="auto"/>
        <w:ind w:firstLine="720"/>
        <w:rPr>
          <w:rFonts w:ascii="Times New Roman" w:hAnsi="Times New Roman" w:cs="Times New Roman"/>
          <w:lang w:val="ru-KZ"/>
        </w:rPr>
      </w:pPr>
      <w:r w:rsidRPr="002C76EC">
        <w:rPr>
          <w:rFonts w:ascii="Times New Roman" w:hAnsi="Times New Roman" w:cs="Times New Roman"/>
          <w:lang w:val="ru-KZ"/>
        </w:rPr>
        <w:t>In contrast, FastAPI offers native asynchronous request handling based on Python’s asyncio, which can be particularly advantageous for I/O-bound workloads. In addition, its automatic generation of OpenAPI-compliant documentation and strict request validation using Pydantic models contribute to improved development efficiency and reliability. For these reasons, FastAPI appears to provide a suitable balance between performance and development simplicity for the given system.</w:t>
      </w:r>
    </w:p>
    <w:p w14:paraId="0A94C9AB" w14:textId="21096F1A" w:rsidR="002C76EC" w:rsidRPr="002C76EC" w:rsidRDefault="002C76EC" w:rsidP="002C76EC">
      <w:pPr>
        <w:spacing w:line="240" w:lineRule="auto"/>
        <w:rPr>
          <w:rFonts w:ascii="Times New Roman" w:hAnsi="Times New Roman" w:cs="Times New Roman"/>
          <w:lang w:val="ru-RU"/>
        </w:rPr>
      </w:pPr>
    </w:p>
    <w:p w14:paraId="09095C7F" w14:textId="64AD1858" w:rsidR="002C76EC" w:rsidRPr="002C76EC" w:rsidRDefault="002C76EC" w:rsidP="002C76EC">
      <w:pPr>
        <w:spacing w:line="240" w:lineRule="auto"/>
        <w:rPr>
          <w:rFonts w:ascii="Times New Roman" w:hAnsi="Times New Roman" w:cs="Times New Roman"/>
          <w:b/>
          <w:bCs/>
          <w:lang w:val="ru-KZ"/>
        </w:rPr>
      </w:pPr>
      <w:r w:rsidRPr="002C76EC">
        <w:rPr>
          <w:rFonts w:ascii="Times New Roman" w:hAnsi="Times New Roman" w:cs="Times New Roman"/>
          <w:b/>
          <w:bCs/>
          <w:lang w:val="ru-KZ"/>
        </w:rPr>
        <w:t>7.3 Machine Learning Framework</w:t>
      </w:r>
    </w:p>
    <w:p w14:paraId="472E3087"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The machine learning component requires a framework that supports transfer learning workflows, efficient model experimentation, and integration with pretrained architectures. Among the considered frameworks, PyTorch, TensorFlow, and Keras are among the most widely adopted.</w:t>
      </w:r>
    </w:p>
    <w:p w14:paraId="52089451"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TensorFlow is commonly used in production environments due to its scalability and deployment capabilities. Keras, as a high-level interface, simplifies model development but may limit flexibility when more detailed control over training procedures is required.</w:t>
      </w:r>
    </w:p>
    <w:p w14:paraId="2E2EC922"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lastRenderedPageBreak/>
        <w:t>PyTorch, by contrast, is widely recognised for its dynamic computation graph, which enables more intuitive debugging and flexible model design. This characteristic is particularly beneficial in research-oriented tasks such as transfer learning and fine-tuning of pretrained models. Furthermore, the availability of pretrained architectures through the torchvision library facilitates rapid experimentation and reduces implementation complexity.</w:t>
      </w:r>
    </w:p>
    <w:p w14:paraId="53E6F1CB"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Based on these considerations, PyTorch was selected as it provides a favourable balance between flexibility, usability, and compatibility with the research-oriented nature of the project.</w:t>
      </w:r>
    </w:p>
    <w:p w14:paraId="5DD6EDC8" w14:textId="01F8040D" w:rsidR="002C76EC" w:rsidRPr="002C76EC" w:rsidRDefault="002C76EC" w:rsidP="002C76EC">
      <w:pPr>
        <w:spacing w:line="240" w:lineRule="auto"/>
        <w:rPr>
          <w:rFonts w:ascii="Times New Roman" w:hAnsi="Times New Roman" w:cs="Times New Roman"/>
          <w:lang w:val="ru-KZ"/>
        </w:rPr>
      </w:pPr>
    </w:p>
    <w:p w14:paraId="196D0739" w14:textId="0FC4F1CE" w:rsidR="002C76EC" w:rsidRPr="002C76EC" w:rsidRDefault="002C76EC" w:rsidP="002C76EC">
      <w:pPr>
        <w:spacing w:line="240" w:lineRule="auto"/>
        <w:rPr>
          <w:rFonts w:ascii="Times New Roman" w:hAnsi="Times New Roman" w:cs="Times New Roman"/>
          <w:b/>
          <w:bCs/>
          <w:lang w:val="ru-KZ"/>
        </w:rPr>
      </w:pPr>
      <w:r w:rsidRPr="002C76EC">
        <w:rPr>
          <w:rFonts w:ascii="Times New Roman" w:hAnsi="Times New Roman" w:cs="Times New Roman"/>
          <w:b/>
          <w:bCs/>
          <w:lang w:val="ru-KZ"/>
        </w:rPr>
        <w:t>7.4 Geospatial Processing Tools</w:t>
      </w:r>
    </w:p>
    <w:p w14:paraId="06BAC8F6"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The system requires handling both vector and raster geospatial data. For this purpose, GeoPandas, Rasterio, and GDAL were evaluated.</w:t>
      </w:r>
    </w:p>
    <w:p w14:paraId="46BC4222"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GDAL provides a comprehensive and powerful low-level interface for geospatial data processing. However, its complexity and relatively steep learning curve may pose challenges in rapid prototyping contexts.</w:t>
      </w:r>
    </w:p>
    <w:p w14:paraId="3F41F81B"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GeoPandas offers a high-level, user-friendly interface for vector data manipulation, building upon familiar Pandas data structures. It supports essential operations such as geometry validation, coordinate transformations, and spatial analysis, which are required in the system.</w:t>
      </w:r>
    </w:p>
    <w:p w14:paraId="60D7F0E8"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Rasterio, which is built on top of GDAL, provides a more accessible interface for raster data operations, including spatial clipping, masking, and band extraction. Its integration with NumPy enables efficient numerical processing of raster data.</w:t>
      </w:r>
    </w:p>
    <w:p w14:paraId="5741F0F6"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Thus, the combined use of GeoPandas and Rasterio allows leveraging the functionality of GDAL indirectly while maintaining a more intuitive and development-friendly interface.</w:t>
      </w:r>
    </w:p>
    <w:p w14:paraId="17C5F0CD" w14:textId="22C024C4" w:rsidR="002C76EC" w:rsidRPr="002C76EC" w:rsidRDefault="002C76EC" w:rsidP="002C76EC">
      <w:pPr>
        <w:spacing w:line="240" w:lineRule="auto"/>
        <w:rPr>
          <w:rFonts w:ascii="Times New Roman" w:hAnsi="Times New Roman" w:cs="Times New Roman"/>
          <w:lang w:val="ru-KZ"/>
        </w:rPr>
      </w:pPr>
    </w:p>
    <w:p w14:paraId="44289425" w14:textId="77777777" w:rsidR="002C76EC" w:rsidRPr="002C76EC" w:rsidRDefault="002C76EC" w:rsidP="002C76EC">
      <w:pPr>
        <w:spacing w:line="240" w:lineRule="auto"/>
        <w:rPr>
          <w:rFonts w:ascii="Times New Roman" w:hAnsi="Times New Roman" w:cs="Times New Roman"/>
          <w:lang w:val="ru-KZ"/>
        </w:rPr>
      </w:pPr>
    </w:p>
    <w:p w14:paraId="10B0C329" w14:textId="77777777" w:rsidR="002C76EC" w:rsidRPr="002C76EC" w:rsidRDefault="002C76EC" w:rsidP="002C76EC">
      <w:pPr>
        <w:spacing w:line="240" w:lineRule="auto"/>
        <w:rPr>
          <w:rFonts w:ascii="Times New Roman" w:hAnsi="Times New Roman" w:cs="Times New Roman"/>
          <w:lang w:val="ru-KZ"/>
        </w:rPr>
      </w:pPr>
    </w:p>
    <w:p w14:paraId="1FB39D60" w14:textId="09B3BFE4" w:rsidR="002C76EC" w:rsidRPr="002C76EC" w:rsidRDefault="002C76EC" w:rsidP="002C76EC">
      <w:pPr>
        <w:spacing w:line="240" w:lineRule="auto"/>
        <w:rPr>
          <w:rFonts w:ascii="Times New Roman" w:hAnsi="Times New Roman" w:cs="Times New Roman"/>
          <w:b/>
          <w:bCs/>
          <w:lang w:val="ru-KZ"/>
        </w:rPr>
      </w:pPr>
      <w:r w:rsidRPr="002C76EC">
        <w:rPr>
          <w:rFonts w:ascii="Times New Roman" w:hAnsi="Times New Roman" w:cs="Times New Roman"/>
          <w:b/>
          <w:bCs/>
          <w:lang w:val="ru-KZ"/>
        </w:rPr>
        <w:t>7.5 Satellite Data Platforms</w:t>
      </w:r>
    </w:p>
    <w:p w14:paraId="48A9287E"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Access to satellite imagery is a fundamental requirement for the system. Two platforms were considered: Google Earth Engine and Sentinel Hub.</w:t>
      </w:r>
    </w:p>
    <w:p w14:paraId="1C834198"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Google Earth Engine provides access to extensive satellite datasets and supports large-scale geospatial analysis directly in the cloud. Its ability to perform operations such as filtering, compositing, and cloud masking makes it particularly suitable for backend data processing tasks.</w:t>
      </w:r>
    </w:p>
    <w:p w14:paraId="72781332"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Sentinel Hub, on the other hand, is optimised for efficient delivery of satellite imagery through web APIs, making it well-suited for frontend visualization. While its analytical capabilities are more limited compared to GEE, its performance in real-time rendering is advantageous for interactive applications.</w:t>
      </w:r>
    </w:p>
    <w:p w14:paraId="03856119"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In this context, the combined use of both platforms can be considered a complementary approach, where Google Earth Engine supports analytical processing and Sentinel Hub enables efficient visualization. This division of responsibilities enhances both system performance and usability.</w:t>
      </w:r>
    </w:p>
    <w:p w14:paraId="2EEAC058" w14:textId="404F35F8" w:rsidR="002C76EC" w:rsidRPr="002C76EC" w:rsidRDefault="002C76EC" w:rsidP="002C76EC">
      <w:pPr>
        <w:spacing w:line="240" w:lineRule="auto"/>
        <w:rPr>
          <w:rFonts w:ascii="Times New Roman" w:hAnsi="Times New Roman" w:cs="Times New Roman"/>
          <w:lang w:val="ru-KZ"/>
        </w:rPr>
      </w:pPr>
    </w:p>
    <w:p w14:paraId="7EE1B5A6" w14:textId="5450A65B" w:rsidR="002C76EC" w:rsidRPr="002C76EC" w:rsidRDefault="002C76EC" w:rsidP="002C76EC">
      <w:pPr>
        <w:spacing w:line="240" w:lineRule="auto"/>
        <w:rPr>
          <w:rFonts w:ascii="Times New Roman" w:hAnsi="Times New Roman" w:cs="Times New Roman"/>
          <w:b/>
          <w:bCs/>
          <w:lang w:val="ru-KZ"/>
        </w:rPr>
      </w:pPr>
      <w:r w:rsidRPr="002C76EC">
        <w:rPr>
          <w:rFonts w:ascii="Times New Roman" w:hAnsi="Times New Roman" w:cs="Times New Roman"/>
          <w:b/>
          <w:bCs/>
          <w:lang w:val="ru-KZ"/>
        </w:rPr>
        <w:t>7.6 Frontend Technologies</w:t>
      </w:r>
    </w:p>
    <w:p w14:paraId="34029EA9"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lastRenderedPageBreak/>
        <w:t>The frontend component is responsible for user interaction and geospatial data visualization. Among the evaluated frameworks, React, Vue.js, and Angular were considered.</w:t>
      </w:r>
    </w:p>
    <w:p w14:paraId="638D8EE3"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React is widely used due to its component-based architecture and efficient rendering through the virtual DOM. These characteristics support modular development and allow efficient updates of dynamic UI elements, which is particularly relevant for map-based applications.</w:t>
      </w:r>
    </w:p>
    <w:p w14:paraId="48AF7DF8"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For geospatial visualization, Leaflet was selected due to its lightweight design, ease of integration, and sufficient functionality for rendering GeoJSON data and satellite imagery layers. Although alternatives such as Mapbox GL JS offer advanced visual capabilities, they may introduce additional complexity or licensing constraints.</w:t>
      </w:r>
    </w:p>
    <w:p w14:paraId="0F807554" w14:textId="39D62F81" w:rsidR="002C76EC" w:rsidRPr="002C76EC" w:rsidRDefault="002C76EC" w:rsidP="002C76EC">
      <w:pPr>
        <w:spacing w:line="240" w:lineRule="auto"/>
        <w:rPr>
          <w:rFonts w:ascii="Times New Roman" w:hAnsi="Times New Roman" w:cs="Times New Roman"/>
          <w:lang w:val="ru-KZ"/>
        </w:rPr>
      </w:pPr>
    </w:p>
    <w:p w14:paraId="4E21D003" w14:textId="7BBA5857" w:rsidR="002C76EC" w:rsidRPr="002C76EC" w:rsidRDefault="002C76EC" w:rsidP="002C76EC">
      <w:pPr>
        <w:spacing w:line="240" w:lineRule="auto"/>
        <w:rPr>
          <w:rFonts w:ascii="Times New Roman" w:hAnsi="Times New Roman" w:cs="Times New Roman"/>
          <w:b/>
          <w:bCs/>
          <w:lang w:val="ru-KZ"/>
        </w:rPr>
      </w:pPr>
      <w:r w:rsidRPr="002C76EC">
        <w:rPr>
          <w:rFonts w:ascii="Times New Roman" w:hAnsi="Times New Roman" w:cs="Times New Roman"/>
          <w:b/>
          <w:bCs/>
          <w:lang w:val="ru-KZ"/>
        </w:rPr>
        <w:t>7.7 Conclusion</w:t>
      </w:r>
    </w:p>
    <w:p w14:paraId="0235DB49"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Overall, the comparative analysis suggests that the selected technology stack provides a balanced combination of performance, flexibility, and ease of development. While alternative solutions may offer advantages in specific aspects, the chosen technologies appear to align more closely with the requirements of the proposed system.</w:t>
      </w:r>
    </w:p>
    <w:p w14:paraId="672A2AFA" w14:textId="77777777" w:rsidR="002C76EC" w:rsidRPr="002C76EC" w:rsidRDefault="002C76EC" w:rsidP="002C76EC">
      <w:pPr>
        <w:spacing w:line="240" w:lineRule="auto"/>
        <w:rPr>
          <w:rFonts w:ascii="Times New Roman" w:hAnsi="Times New Roman" w:cs="Times New Roman"/>
          <w:lang w:val="ru-KZ"/>
        </w:rPr>
      </w:pPr>
      <w:r w:rsidRPr="002C76EC">
        <w:rPr>
          <w:rFonts w:ascii="Times New Roman" w:hAnsi="Times New Roman" w:cs="Times New Roman"/>
          <w:lang w:val="ru-KZ"/>
        </w:rPr>
        <w:t>Furthermore, the modular nature of the selected tools allows for future extensions and potential replacement of individual components without significant changes to the overall architecture. This indicates that the system design is not only suitable for the current prototype implementation but may also support further development towards a more production-ready solution.</w:t>
      </w:r>
    </w:p>
    <w:p w14:paraId="482A5DA1" w14:textId="77777777" w:rsidR="002673D8" w:rsidRPr="002C76EC" w:rsidRDefault="002673D8" w:rsidP="002C76EC">
      <w:pPr>
        <w:spacing w:line="240" w:lineRule="auto"/>
        <w:rPr>
          <w:rFonts w:ascii="Times New Roman" w:hAnsi="Times New Roman" w:cs="Times New Roman"/>
          <w:lang w:val="ru-KZ"/>
        </w:rPr>
      </w:pPr>
    </w:p>
    <w:sectPr w:rsidR="002673D8" w:rsidRPr="002C76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6EC"/>
    <w:rsid w:val="002673D8"/>
    <w:rsid w:val="002C76EC"/>
    <w:rsid w:val="009B3585"/>
    <w:rsid w:val="00A1050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E8FA"/>
  <w15:chartTrackingRefBased/>
  <w15:docId w15:val="{D9471B2B-AE34-4A83-91D5-E83E092C2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6EC"/>
    <w:rPr>
      <w:rFonts w:eastAsiaTheme="majorEastAsia" w:cstheme="majorBidi"/>
      <w:color w:val="272727" w:themeColor="text1" w:themeTint="D8"/>
    </w:rPr>
  </w:style>
  <w:style w:type="paragraph" w:styleId="Title">
    <w:name w:val="Title"/>
    <w:basedOn w:val="Normal"/>
    <w:next w:val="Normal"/>
    <w:link w:val="TitleChar"/>
    <w:uiPriority w:val="10"/>
    <w:qFormat/>
    <w:rsid w:val="002C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6EC"/>
    <w:pPr>
      <w:spacing w:before="160"/>
      <w:jc w:val="center"/>
    </w:pPr>
    <w:rPr>
      <w:i/>
      <w:iCs/>
      <w:color w:val="404040" w:themeColor="text1" w:themeTint="BF"/>
    </w:rPr>
  </w:style>
  <w:style w:type="character" w:customStyle="1" w:styleId="QuoteChar">
    <w:name w:val="Quote Char"/>
    <w:basedOn w:val="DefaultParagraphFont"/>
    <w:link w:val="Quote"/>
    <w:uiPriority w:val="29"/>
    <w:rsid w:val="002C76EC"/>
    <w:rPr>
      <w:i/>
      <w:iCs/>
      <w:color w:val="404040" w:themeColor="text1" w:themeTint="BF"/>
    </w:rPr>
  </w:style>
  <w:style w:type="paragraph" w:styleId="ListParagraph">
    <w:name w:val="List Paragraph"/>
    <w:basedOn w:val="Normal"/>
    <w:uiPriority w:val="34"/>
    <w:qFormat/>
    <w:rsid w:val="002C76EC"/>
    <w:pPr>
      <w:ind w:left="720"/>
      <w:contextualSpacing/>
    </w:pPr>
  </w:style>
  <w:style w:type="character" w:styleId="IntenseEmphasis">
    <w:name w:val="Intense Emphasis"/>
    <w:basedOn w:val="DefaultParagraphFont"/>
    <w:uiPriority w:val="21"/>
    <w:qFormat/>
    <w:rsid w:val="002C76EC"/>
    <w:rPr>
      <w:i/>
      <w:iCs/>
      <w:color w:val="0F4761" w:themeColor="accent1" w:themeShade="BF"/>
    </w:rPr>
  </w:style>
  <w:style w:type="paragraph" w:styleId="IntenseQuote">
    <w:name w:val="Intense Quote"/>
    <w:basedOn w:val="Normal"/>
    <w:next w:val="Normal"/>
    <w:link w:val="IntenseQuoteChar"/>
    <w:uiPriority w:val="30"/>
    <w:qFormat/>
    <w:rsid w:val="002C7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6EC"/>
    <w:rPr>
      <w:i/>
      <w:iCs/>
      <w:color w:val="0F4761" w:themeColor="accent1" w:themeShade="BF"/>
    </w:rPr>
  </w:style>
  <w:style w:type="character" w:styleId="IntenseReference">
    <w:name w:val="Intense Reference"/>
    <w:basedOn w:val="DefaultParagraphFont"/>
    <w:uiPriority w:val="32"/>
    <w:qFormat/>
    <w:rsid w:val="002C76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1124</Words>
  <Characters>6410</Characters>
  <Application>Microsoft Office Word</Application>
  <DocSecurity>0</DocSecurity>
  <Lines>53</Lines>
  <Paragraphs>15</Paragraphs>
  <ScaleCrop>false</ScaleCrop>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Kaminur Orynbek</dc:creator>
  <cp:keywords/>
  <dc:description/>
  <cp:lastModifiedBy>Kaminur Orynbek</cp:lastModifiedBy>
  <cp:revision>1</cp:revision>
  <dcterms:created xsi:type="dcterms:W3CDTF">2026-03-27T21:23:00Z</dcterms:created>
  <dcterms:modified xsi:type="dcterms:W3CDTF">2026-03-27T21:31:00Z</dcterms:modified>
</cp:coreProperties>
</file>