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1183EF9A" w:rsidR="005B2106" w:rsidRPr="00AB20AC" w:rsidRDefault="00C140D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27 Feb </w:t>
            </w:r>
            <w:r w:rsidR="005B2106" w:rsidRPr="00AB20AC">
              <w:rPr>
                <w:rFonts w:cstheme="minorHAnsi"/>
              </w:rPr>
              <w:t>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B25C0F1" w:rsidR="000708AF" w:rsidRPr="00AB20AC" w:rsidRDefault="000708AF" w:rsidP="000708AF">
            <w:pPr>
              <w:rPr>
                <w:rFonts w:cstheme="minorHAnsi"/>
              </w:rPr>
            </w:pP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29BDBACD" w:rsidR="000708AF" w:rsidRPr="00AB20AC" w:rsidRDefault="00C140D6" w:rsidP="000708AF">
            <w:pPr>
              <w:rPr>
                <w:rFonts w:cstheme="minorHAnsi"/>
              </w:rPr>
            </w:pPr>
            <w:r w:rsidRPr="00476D79">
              <w:rPr>
                <w:b/>
                <w:bCs/>
              </w:rPr>
              <w:t>Indian Electricity Consumption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C140D6">
        <w:trPr>
          <w:trHeight w:val="2260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59170772" w:rsidR="00AB20AC" w:rsidRPr="00AB20AC" w:rsidRDefault="00C140D6" w:rsidP="00AB20AC">
            <w:pPr>
              <w:rPr>
                <w:rFonts w:cstheme="minorHAnsi"/>
              </w:rPr>
            </w:pPr>
            <w:r w:rsidRPr="00C140D6">
              <w:rPr>
                <w:rFonts w:cstheme="minorHAnsi"/>
              </w:rPr>
              <w:t>There is a lack of interactive tools to quantify the exact impact of the COVID-19 lockdown on India's energy grid. Stakeholders struggle to compare 16,500+ daily records from 2020 against the 2019 baseline to identify regional industrial shutdowns and recovery speeds using traditional static reports.</w:t>
            </w:r>
          </w:p>
        </w:tc>
      </w:tr>
      <w:tr w:rsidR="00AB20AC" w:rsidRPr="00AB20AC" w14:paraId="3C3A95E7" w14:textId="77777777" w:rsidTr="00C140D6">
        <w:trPr>
          <w:trHeight w:val="2405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79C41864" w:rsidR="00AB20AC" w:rsidRPr="00AB20AC" w:rsidRDefault="00C140D6" w:rsidP="00AB20AC">
            <w:pPr>
              <w:rPr>
                <w:rFonts w:cstheme="minorHAnsi"/>
              </w:rPr>
            </w:pPr>
            <w:r w:rsidRPr="00C140D6">
              <w:rPr>
                <w:rFonts w:cstheme="minorHAnsi"/>
              </w:rPr>
              <w:t xml:space="preserve">An integrated data analytics pipeline that cleans raw POSOCO data using </w:t>
            </w:r>
            <w:r w:rsidRPr="00C140D6">
              <w:rPr>
                <w:rFonts w:cstheme="minorHAnsi"/>
                <w:b/>
                <w:bCs/>
              </w:rPr>
              <w:t>Python</w:t>
            </w:r>
            <w:r w:rsidRPr="00C140D6">
              <w:rPr>
                <w:rFonts w:cstheme="minorHAnsi"/>
              </w:rPr>
              <w:t xml:space="preserve">, stores it in a </w:t>
            </w:r>
            <w:r w:rsidRPr="00C140D6">
              <w:rPr>
                <w:rFonts w:cstheme="minorHAnsi"/>
                <w:b/>
                <w:bCs/>
              </w:rPr>
              <w:t>PostgreSQL</w:t>
            </w:r>
            <w:r w:rsidRPr="00C140D6">
              <w:rPr>
                <w:rFonts w:cstheme="minorHAnsi"/>
              </w:rPr>
              <w:t xml:space="preserve"> relational database, and visualizes it through </w:t>
            </w:r>
            <w:r w:rsidRPr="00C140D6">
              <w:rPr>
                <w:rFonts w:cstheme="minorHAnsi"/>
                <w:b/>
                <w:bCs/>
              </w:rPr>
              <w:t>Tableau</w:t>
            </w:r>
            <w:r w:rsidRPr="00C140D6">
              <w:rPr>
                <w:rFonts w:cstheme="minorHAnsi"/>
              </w:rPr>
              <w:t xml:space="preserve">. The final output is an interactive web portal built with </w:t>
            </w:r>
            <w:r w:rsidRPr="00C140D6">
              <w:rPr>
                <w:rFonts w:cstheme="minorHAnsi"/>
                <w:b/>
                <w:bCs/>
              </w:rPr>
              <w:t>Flask</w:t>
            </w:r>
            <w:r w:rsidRPr="00C140D6">
              <w:rPr>
                <w:rFonts w:cstheme="minorHAnsi"/>
              </w:rPr>
              <w:t xml:space="preserve"> that allows users to filter consumption by state, region, and pandemic phase.</w:t>
            </w:r>
          </w:p>
        </w:tc>
      </w:tr>
      <w:tr w:rsidR="00AB20AC" w:rsidRPr="00AB20AC" w14:paraId="6E49BCD3" w14:textId="77777777" w:rsidTr="00C140D6">
        <w:trPr>
          <w:trHeight w:val="239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209EC763" w:rsidR="00AB20AC" w:rsidRPr="00AB20AC" w:rsidRDefault="00C140D6" w:rsidP="00AB20AC">
            <w:pPr>
              <w:rPr>
                <w:rFonts w:cstheme="minorHAnsi"/>
              </w:rPr>
            </w:pPr>
            <w:r w:rsidRPr="00C140D6">
              <w:rPr>
                <w:rFonts w:cstheme="minorHAnsi"/>
              </w:rPr>
              <w:t xml:space="preserve">Unlike standard government PDFs, this solution offers a </w:t>
            </w:r>
            <w:r w:rsidRPr="00C140D6">
              <w:rPr>
                <w:rFonts w:cstheme="minorHAnsi"/>
                <w:b/>
                <w:bCs/>
              </w:rPr>
              <w:t>"Recovery Index"</w:t>
            </w:r>
            <w:r w:rsidRPr="00C140D6">
              <w:rPr>
                <w:rFonts w:cstheme="minorHAnsi"/>
              </w:rPr>
              <w:t xml:space="preserve"> and </w:t>
            </w:r>
            <w:r w:rsidRPr="00C140D6">
              <w:rPr>
                <w:rFonts w:cstheme="minorHAnsi"/>
                <w:b/>
                <w:bCs/>
              </w:rPr>
              <w:t>"YoY Comparative View"</w:t>
            </w:r>
            <w:r w:rsidRPr="00C140D6">
              <w:rPr>
                <w:rFonts w:cstheme="minorHAnsi"/>
              </w:rPr>
              <w:t xml:space="preserve"> on a single dual-axis dashboard. It bridges the gap between raw data storage (SQL) and public accessibility (Flask) without requiring the end-user to have any technical or BI software installed.</w:t>
            </w:r>
          </w:p>
        </w:tc>
      </w:tr>
      <w:tr w:rsidR="00AB20AC" w:rsidRPr="00AB20AC" w14:paraId="60541664" w14:textId="77777777" w:rsidTr="00C140D6">
        <w:trPr>
          <w:trHeight w:val="2119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5AADCBD3" w:rsidR="00AB20AC" w:rsidRPr="00AB20AC" w:rsidRDefault="00C140D6" w:rsidP="00AB20AC">
            <w:pPr>
              <w:rPr>
                <w:rFonts w:cstheme="minorHAnsi"/>
              </w:rPr>
            </w:pPr>
            <w:proofErr w:type="spellStart"/>
            <w:r w:rsidRPr="00C140D6">
              <w:rPr>
                <w:rFonts w:cstheme="minorHAnsi"/>
                <w:b/>
                <w:bCs/>
              </w:rPr>
              <w:t>Satisfaction</w:t>
            </w:r>
            <w:r w:rsidRPr="00C140D6">
              <w:rPr>
                <w:rFonts w:cstheme="minorHAnsi"/>
              </w:rPr>
              <w:t>Provides</w:t>
            </w:r>
            <w:proofErr w:type="spellEnd"/>
            <w:r w:rsidRPr="00C140D6">
              <w:rPr>
                <w:rFonts w:cstheme="minorHAnsi"/>
              </w:rPr>
              <w:t xml:space="preserve"> policymakers with clear, visual evidence of economic resilience. It highlights which regions recovered fastest, helping government bodies allocate energy resources more efficiently during future crises and ensuring data-driven transparency for public energy usage.</w:t>
            </w:r>
          </w:p>
        </w:tc>
      </w:tr>
      <w:tr w:rsidR="00AB20AC" w:rsidRPr="00AB20AC" w14:paraId="7966D0D3" w14:textId="77777777" w:rsidTr="00C140D6">
        <w:trPr>
          <w:trHeight w:val="1125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7760884F" w:rsidR="00AB20AC" w:rsidRPr="00AB20AC" w:rsidRDefault="00C140D6" w:rsidP="00AB20AC">
            <w:pPr>
              <w:rPr>
                <w:rFonts w:cstheme="minorHAnsi"/>
              </w:rPr>
            </w:pPr>
            <w:r w:rsidRPr="00C140D6">
              <w:rPr>
                <w:rFonts w:cstheme="minorHAnsi"/>
                <w:b/>
                <w:bCs/>
              </w:rPr>
              <w:t>SaaS (Software as a Service) / B2G (Business to Government):</w:t>
            </w:r>
            <w:r w:rsidRPr="00C140D6">
              <w:rPr>
                <w:rFonts w:cstheme="minorHAnsi"/>
              </w:rPr>
              <w:t xml:space="preserve"> The platform can be offered as a subscription-based analytical tool for state electricity boards or as a specialized </w:t>
            </w:r>
            <w:r w:rsidRPr="00C140D6">
              <w:rPr>
                <w:rFonts w:cstheme="minorHAnsi"/>
              </w:rPr>
              <w:lastRenderedPageBreak/>
              <w:t>consultancy framework for infrastructure planning firms.</w:t>
            </w:r>
          </w:p>
        </w:tc>
      </w:tr>
      <w:tr w:rsidR="00604AAA" w:rsidRPr="00AB20AC" w14:paraId="3A7E9CD7" w14:textId="77777777" w:rsidTr="00C140D6">
        <w:trPr>
          <w:trHeight w:val="1964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3133A3A8" w:rsidR="00604AAA" w:rsidRPr="00AB20AC" w:rsidRDefault="00C140D6" w:rsidP="00AB20AC">
            <w:pPr>
              <w:rPr>
                <w:rFonts w:cstheme="minorHAnsi"/>
              </w:rPr>
            </w:pPr>
            <w:r w:rsidRPr="00C140D6">
              <w:rPr>
                <w:rFonts w:cstheme="minorHAnsi"/>
              </w:rPr>
              <w:t xml:space="preserve">The </w:t>
            </w:r>
            <w:r w:rsidRPr="00C140D6">
              <w:rPr>
                <w:rFonts w:cstheme="minorHAnsi"/>
                <w:b/>
                <w:bCs/>
              </w:rPr>
              <w:t>3-Tier Architecture</w:t>
            </w:r>
            <w:r w:rsidRPr="00C140D6">
              <w:rPr>
                <w:rFonts w:cstheme="minorHAnsi"/>
              </w:rPr>
              <w:t xml:space="preserve"> allows for easy expansion. The SQL backend can scale to include 2021–2025 data, and the Flask frontend can be integrated with real-time APIs from the National Power Portal for live monitoring across the entire Indian subcontinent.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5B2106"/>
    <w:rsid w:val="00604389"/>
    <w:rsid w:val="00604AAA"/>
    <w:rsid w:val="00786989"/>
    <w:rsid w:val="007A3AE5"/>
    <w:rsid w:val="007D3B4C"/>
    <w:rsid w:val="009D3AA0"/>
    <w:rsid w:val="00AB20AC"/>
    <w:rsid w:val="00AC6D16"/>
    <w:rsid w:val="00AC7F0A"/>
    <w:rsid w:val="00B76D2E"/>
    <w:rsid w:val="00C140D6"/>
    <w:rsid w:val="00DB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Amit Bhati</cp:lastModifiedBy>
  <cp:revision>9</cp:revision>
  <dcterms:created xsi:type="dcterms:W3CDTF">2022-09-18T16:51:00Z</dcterms:created>
  <dcterms:modified xsi:type="dcterms:W3CDTF">2026-03-08T16:00:00Z</dcterms:modified>
</cp:coreProperties>
</file>