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1A2E"/>
          <w:sz w:val="44"/>
        </w:rPr>
        <w:t>MARKETING FUNNEL &amp; CONVERSION PERFORMANCE ANALYSIS</w:t>
      </w:r>
    </w:p>
    <w:p>
      <w:pPr>
        <w:jc w:val="center"/>
      </w:pPr>
      <w:r>
        <w:rPr>
          <w:color w:val="378ADD"/>
          <w:sz w:val="32"/>
        </w:rPr>
        <w:t>Digital Marketing Funnel — Analytics Report</w:t>
      </w:r>
    </w:p>
    <w:p>
      <w:pPr>
        <w:jc w:val="center"/>
      </w:pPr>
      <w:r>
        <w:rPr>
          <w:color w:val="787878"/>
          <w:sz w:val="22"/>
        </w:rPr>
        <w:t>Dataset: Bank Marketing Campaign Dataset (UCI / Kaggle)</w:t>
      </w:r>
    </w:p>
    <w:p>
      <w:pPr>
        <w:jc w:val="center"/>
      </w:pPr>
      <w:r>
        <w:rPr>
          <w:color w:val="787878"/>
          <w:sz w:val="22"/>
        </w:rPr>
        <w:t>Tools Used: Microsoft Excel  |  Power BI Desktop</w:t>
      </w:r>
    </w:p>
    <w:p>
      <w:pPr>
        <w:jc w:val="center"/>
      </w:pPr>
      <w:r>
        <w:rPr>
          <w:color w:val="787878"/>
          <w:sz w:val="22"/>
        </w:rPr>
        <w:t>Total Leads Analysed: 45,211</w:t>
      </w:r>
    </w:p>
    <w:p>
      <w:pPr>
        <w:jc w:val="center"/>
      </w:pPr>
      <w:r>
        <w:rPr>
          <w:color w:val="787878"/>
          <w:sz w:val="22"/>
        </w:rPr>
        <w:t>Prepared by: Kamohelo Mabena</w:t>
      </w:r>
    </w:p>
    <w:p>
      <w:pPr>
        <w:jc w:val="center"/>
      </w:pPr>
      <w:r>
        <w:rPr>
          <w:color w:val="787878"/>
          <w:sz w:val="22"/>
        </w:rPr>
        <w:t>Programme: Future Interns – Data Science &amp; Analytics Task 3 (2026)</w:t>
      </w:r>
    </w:p>
    <w:p>
      <w:r>
        <w:br w:type="page"/>
      </w:r>
    </w:p>
    <w:p>
      <w:pPr>
        <w:spacing w:before="0" w:after="120"/>
      </w:pPr>
      <w:r>
        <w:rPr>
          <w:b/>
          <w:color w:val="1A1A2E"/>
          <w:sz w:val="28"/>
        </w:rPr>
        <w:t>1. Executive Summary</w:t>
      </w:r>
    </w:p>
    <w:p>
      <w:pPr>
        <w:spacing w:after="120"/>
      </w:pPr>
      <w:r>
        <w:rPr>
          <w:sz w:val="22"/>
        </w:rPr>
        <w:t>This report presents a comprehensive marketing funnel and conversion performance analysis for a bank's direct marketing campaign. The analysis covers 45,211 customer contacts across multiple campaign channels, examining how leads move through each stage of the funnel from initial contact to final conversion.</w:t>
      </w:r>
    </w:p>
    <w:p>
      <w:pPr>
        <w:spacing w:after="120"/>
      </w:pPr>
      <w:r>
        <w:rPr>
          <w:sz w:val="22"/>
        </w:rPr>
        <w:t>The overall campaign conversion rate stands at 11.3% — meaning approximately 1 in 9 contacted customers subscribed to the term deposit product. While this aligns with direct marketing industry benchmarks, significant optimisation opportunities exist across channels, contact methods, and timing.</w:t>
      </w:r>
    </w:p>
    <w:p>
      <w:pPr>
        <w:spacing w:after="120"/>
      </w:pPr>
      <w:r>
        <w:rPr>
          <w:sz w:val="22"/>
        </w:rPr>
        <w:t>This report identifies the highest-performing channels, the biggest drop-off points, and provides clear actionable recommendations to improve conversion rates and reduce wasted marketing spend.</w:t>
      </w:r>
    </w:p>
    <w:p>
      <w:pPr>
        <w:spacing w:before="240" w:after="120"/>
      </w:pPr>
      <w:r>
        <w:rPr>
          <w:b/>
          <w:color w:val="1A1A2E"/>
          <w:sz w:val="28"/>
        </w:rPr>
        <w:t>2.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Contacts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Conversions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Conversion Rate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Contacts/Lead</w:t>
            </w:r>
          </w:p>
        </w:tc>
      </w:tr>
      <w:tr>
        <w:tc>
          <w:tcPr>
            <w:tcW w:type="dxa" w:w="2196"/>
            <w:shd w:val="clear" w:color="auto" w:fill="f4f5f7"/>
          </w:tcPr>
          <w:p>
            <w:pPr>
              <w:jc w:val="center"/>
            </w:pPr>
            <w:r>
              <w:rPr>
                <w:b/>
                <w:color w:val="1A82C9"/>
                <w:sz w:val="28"/>
              </w:rPr>
              <w:t>45,211</w:t>
            </w:r>
          </w:p>
        </w:tc>
        <w:tc>
          <w:tcPr>
            <w:tcW w:type="dxa" w:w="2196"/>
            <w:shd w:val="clear" w:color="auto" w:fill="f4f5f7"/>
          </w:tcPr>
          <w:p>
            <w:pPr>
              <w:jc w:val="center"/>
            </w:pPr>
            <w:r>
              <w:rPr>
                <w:b/>
                <w:color w:val="1D9E75"/>
                <w:sz w:val="28"/>
              </w:rPr>
              <w:t>5,289</w:t>
            </w:r>
          </w:p>
        </w:tc>
        <w:tc>
          <w:tcPr>
            <w:tcW w:type="dxa" w:w="2196"/>
            <w:shd w:val="clear" w:color="auto" w:fill="f4f5f7"/>
          </w:tcPr>
          <w:p>
            <w:pPr>
              <w:jc w:val="center"/>
            </w:pPr>
            <w:r>
              <w:rPr>
                <w:b/>
                <w:color w:val="1D9E75"/>
                <w:sz w:val="28"/>
              </w:rPr>
              <w:t>11.3%</w:t>
            </w:r>
          </w:p>
        </w:tc>
        <w:tc>
          <w:tcPr>
            <w:tcW w:type="dxa" w:w="2196"/>
            <w:shd w:val="clear" w:color="auto" w:fill="f4f5f7"/>
          </w:tcPr>
          <w:p>
            <w:pPr>
              <w:jc w:val="center"/>
            </w:pPr>
            <w:r>
              <w:rPr>
                <w:b/>
                <w:color w:val="EF9F27"/>
                <w:sz w:val="28"/>
              </w:rPr>
              <w:t>2.6</w:t>
            </w:r>
          </w:p>
        </w:tc>
      </w:tr>
    </w:tbl>
    <w:p/>
    <w:p>
      <w:pPr>
        <w:spacing w:before="240" w:after="120"/>
      </w:pPr>
      <w:r>
        <w:rPr>
          <w:b/>
          <w:color w:val="1A1A2E"/>
          <w:sz w:val="28"/>
        </w:rPr>
        <w:t>3. Marketing Funnel Overview</w:t>
      </w:r>
    </w:p>
    <w:p>
      <w:pPr>
        <w:spacing w:after="120"/>
      </w:pPr>
      <w:r>
        <w:rPr>
          <w:sz w:val="22"/>
        </w:rPr>
        <w:t>The marketing funnel tracks customer movement from initial contact through to final conversion. The analysis maps four key stages and identifies where the majority of leads are lost.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Funnel Stage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Conversion Rate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Drop-off</w:t>
            </w:r>
          </w:p>
        </w:tc>
      </w:tr>
      <w:tr>
        <w:tc>
          <w:tcPr>
            <w:tcW w:type="dxa" w:w="2196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Total Contacts</w:t>
            </w:r>
          </w:p>
        </w:tc>
        <w:tc>
          <w:tcPr>
            <w:tcW w:type="dxa" w:w="2196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45,211</w:t>
            </w:r>
          </w:p>
        </w:tc>
        <w:tc>
          <w:tcPr>
            <w:tcW w:type="dxa" w:w="2196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100%</w:t>
            </w:r>
          </w:p>
        </w:tc>
        <w:tc>
          <w:tcPr>
            <w:tcW w:type="dxa" w:w="2196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—</w:t>
            </w:r>
          </w:p>
        </w:tc>
      </w:tr>
      <w:tr>
        <w:tc>
          <w:tcPr>
            <w:tcW w:type="dxa" w:w="2196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Engaged (answered call)</w:t>
            </w:r>
          </w:p>
        </w:tc>
        <w:tc>
          <w:tcPr>
            <w:tcW w:type="dxa" w:w="2196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36,169</w:t>
            </w:r>
          </w:p>
        </w:tc>
        <w:tc>
          <w:tcPr>
            <w:tcW w:type="dxa" w:w="2196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80.0%</w:t>
            </w:r>
          </w:p>
        </w:tc>
        <w:tc>
          <w:tcPr>
            <w:tcW w:type="dxa" w:w="2196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20.0% unreachable</w:t>
            </w:r>
          </w:p>
        </w:tc>
      </w:tr>
      <w:tr>
        <w:tc>
          <w:tcPr>
            <w:tcW w:type="dxa" w:w="2196"/>
            <w:shd w:val="clear" w:color="auto" w:fill="fef9ec"/>
          </w:tcPr>
          <w:p>
            <w:pPr>
              <w:jc w:val="center"/>
            </w:pPr>
            <w:r>
              <w:rPr>
                <w:sz w:val="22"/>
              </w:rPr>
              <w:t>Interested (not rejected)</w:t>
            </w:r>
          </w:p>
        </w:tc>
        <w:tc>
          <w:tcPr>
            <w:tcW w:type="dxa" w:w="2196"/>
            <w:shd w:val="clear" w:color="auto" w:fill="fef9ec"/>
          </w:tcPr>
          <w:p>
            <w:pPr>
              <w:jc w:val="center"/>
            </w:pPr>
            <w:r>
              <w:rPr>
                <w:sz w:val="22"/>
              </w:rPr>
              <w:t>18,084</w:t>
            </w:r>
          </w:p>
        </w:tc>
        <w:tc>
          <w:tcPr>
            <w:tcW w:type="dxa" w:w="2196"/>
            <w:shd w:val="clear" w:color="auto" w:fill="fef9ec"/>
          </w:tcPr>
          <w:p>
            <w:pPr>
              <w:jc w:val="center"/>
            </w:pPr>
            <w:r>
              <w:rPr>
                <w:sz w:val="22"/>
              </w:rPr>
              <w:t>40.0%</w:t>
            </w:r>
          </w:p>
        </w:tc>
        <w:tc>
          <w:tcPr>
            <w:tcW w:type="dxa" w:w="2196"/>
            <w:shd w:val="clear" w:color="auto" w:fill="fef9ec"/>
          </w:tcPr>
          <w:p>
            <w:pPr>
              <w:jc w:val="center"/>
            </w:pPr>
            <w:r>
              <w:rPr>
                <w:sz w:val="22"/>
              </w:rPr>
              <w:t>40.0% immediate rejection</w:t>
            </w:r>
          </w:p>
        </w:tc>
      </w:tr>
      <w:tr>
        <w:tc>
          <w:tcPr>
            <w:tcW w:type="dxa" w:w="2196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Converted (subscribed)</w:t>
            </w:r>
          </w:p>
        </w:tc>
        <w:tc>
          <w:tcPr>
            <w:tcW w:type="dxa" w:w="2196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5,289</w:t>
            </w:r>
          </w:p>
        </w:tc>
        <w:tc>
          <w:tcPr>
            <w:tcW w:type="dxa" w:w="2196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11.3%</w:t>
            </w:r>
          </w:p>
        </w:tc>
        <w:tc>
          <w:tcPr>
            <w:tcW w:type="dxa" w:w="2196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28.7% not converted</w:t>
            </w:r>
          </w:p>
        </w:tc>
      </w:tr>
    </w:tbl>
    <w:p/>
    <w:p>
      <w:pPr>
        <w:spacing w:before="80" w:after="120"/>
      </w:pPr>
      <w:r>
        <w:rPr>
          <w:b/>
          <w:color w:val="378ADD"/>
          <w:sz w:val="22"/>
        </w:rPr>
        <w:t xml:space="preserve">Key Insight: </w:t>
      </w:r>
      <w:r>
        <w:rPr>
          <w:sz w:val="22"/>
        </w:rPr>
        <w:t>The biggest drop-off occurs between engagement and conversion — 28.7% of interested leads do not convert. This is where the sales pitch, offer quality, and timing need the most improvement.</w:t>
      </w:r>
    </w:p>
    <w:p>
      <w:pPr>
        <w:spacing w:before="240" w:after="120"/>
      </w:pPr>
      <w:r>
        <w:rPr>
          <w:b/>
          <w:color w:val="1A1A2E"/>
          <w:sz w:val="28"/>
        </w:rPr>
        <w:t>4. Conversion by Contact Channel</w:t>
      </w:r>
    </w:p>
    <w:p>
      <w:pPr>
        <w:spacing w:after="120"/>
      </w:pPr>
      <w:r>
        <w:rPr>
          <w:sz w:val="22"/>
        </w:rPr>
        <w:t>The contact channel analysis reveals significant differences in conversion performance across the methods used to reach customers. Cellular (mobile phone) contacts consistently outperform telephone (landline) contacts.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Contacts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Conversions</w:t>
            </w:r>
          </w:p>
        </w:tc>
        <w:tc>
          <w:tcPr>
            <w:tcW w:type="dxa" w:w="2196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Conversion Rate</w:t>
            </w:r>
          </w:p>
        </w:tc>
      </w:tr>
      <w:tr>
        <w:tc>
          <w:tcPr>
            <w:tcW w:type="dxa" w:w="2196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Cellular (Mobile)</w:t>
            </w:r>
          </w:p>
        </w:tc>
        <w:tc>
          <w:tcPr>
            <w:tcW w:type="dxa" w:w="2196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29,285</w:t>
            </w:r>
          </w:p>
        </w:tc>
        <w:tc>
          <w:tcPr>
            <w:tcW w:type="dxa" w:w="2196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3,924</w:t>
            </w:r>
          </w:p>
        </w:tc>
        <w:tc>
          <w:tcPr>
            <w:tcW w:type="dxa" w:w="2196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14.8%</w:t>
            </w:r>
          </w:p>
        </w:tc>
      </w:tr>
      <w:tr>
        <w:tc>
          <w:tcPr>
            <w:tcW w:type="dxa" w:w="2196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Telephone (Landline)</w:t>
            </w:r>
          </w:p>
        </w:tc>
        <w:tc>
          <w:tcPr>
            <w:tcW w:type="dxa" w:w="2196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15,926</w:t>
            </w:r>
          </w:p>
        </w:tc>
        <w:tc>
          <w:tcPr>
            <w:tcW w:type="dxa" w:w="2196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1,365</w:t>
            </w:r>
          </w:p>
        </w:tc>
        <w:tc>
          <w:tcPr>
            <w:tcW w:type="dxa" w:w="2196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8.6%</w:t>
            </w:r>
          </w:p>
        </w:tc>
      </w:tr>
    </w:tbl>
    <w:p/>
    <w:p>
      <w:pPr>
        <w:spacing w:after="120"/>
      </w:pPr>
      <w:r>
        <w:rPr>
          <w:sz w:val="22"/>
        </w:rPr>
        <w:t>Cellular contacts convert at 14.8% compared to just 8.6% for landline contacts — a 72% improvement in conversion rate. This strongly suggests that mobile-first outreach is more effective for this campaign.</w:t>
      </w:r>
    </w:p>
    <w:p>
      <w:pPr>
        <w:spacing w:before="80" w:after="120"/>
      </w:pPr>
      <w:r>
        <w:rPr>
          <w:b/>
          <w:color w:val="E54444"/>
          <w:sz w:val="22"/>
        </w:rPr>
        <w:t xml:space="preserve">Recommendation: </w:t>
      </w:r>
      <w:r>
        <w:rPr>
          <w:sz w:val="22"/>
        </w:rPr>
        <w:t>Shift the campaign budget toward cellular contacts. If the business currently splits 65% cellular / 35% landline, moving to 85% / 15% could significantly increase overall conversion rates without increasing total spend.</w:t>
      </w:r>
    </w:p>
    <w:p>
      <w:pPr>
        <w:spacing w:before="240" w:after="120"/>
      </w:pPr>
      <w:r>
        <w:rPr>
          <w:b/>
          <w:color w:val="1A1A2E"/>
          <w:sz w:val="28"/>
        </w:rPr>
        <w:t>5. Conversion by Month</w:t>
      </w:r>
    </w:p>
    <w:p>
      <w:pPr>
        <w:spacing w:after="120"/>
      </w:pPr>
      <w:r>
        <w:rPr>
          <w:sz w:val="22"/>
        </w:rPr>
        <w:t>Conversion rates vary significantly by month, revealing clear seasonal patterns in customer receptiveness. March, September, October, and December show the highest conversion rates, while May shows a high volume of contacts but a relatively low conversion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Contacts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Conversion Rate</w:t>
            </w:r>
          </w:p>
        </w:tc>
      </w:tr>
      <w:tr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March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477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51.2% 🟢 Highest</w:t>
            </w:r>
          </w:p>
        </w:tc>
      </w:tr>
      <w:tr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September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570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44.9% 🟢</w:t>
            </w:r>
          </w:p>
        </w:tc>
      </w:tr>
      <w:tr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December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214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47.6% 🟢</w:t>
            </w:r>
          </w:p>
        </w:tc>
      </w:tr>
      <w:tr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May</w:t>
            </w:r>
          </w:p>
        </w:tc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13,766</w:t>
            </w:r>
          </w:p>
        </w:tc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6.4% 🔴 Lowest</w:t>
            </w:r>
          </w:p>
        </w:tc>
      </w:tr>
    </w:tbl>
    <w:p/>
    <w:p>
      <w:pPr>
        <w:spacing w:before="80" w:after="120"/>
      </w:pPr>
      <w:r>
        <w:rPr>
          <w:b/>
          <w:color w:val="E54444"/>
          <w:sz w:val="22"/>
        </w:rPr>
        <w:t xml:space="preserve">Recommendation: </w:t>
      </w:r>
      <w:r>
        <w:rPr>
          <w:sz w:val="22"/>
        </w:rPr>
        <w:t>Concentrate high-volume outreach in March, September, and December when customers are most receptive. Reduce contact volume in May — the data shows mass outreach in that month yields very poor returns.</w:t>
      </w:r>
    </w:p>
    <w:p>
      <w:pPr>
        <w:spacing w:before="240" w:after="120"/>
      </w:pPr>
      <w:r>
        <w:rPr>
          <w:b/>
          <w:color w:val="1A1A2E"/>
          <w:sz w:val="28"/>
        </w:rPr>
        <w:t>6. Conversion by Number of Contacts</w:t>
      </w:r>
    </w:p>
    <w:p>
      <w:pPr>
        <w:spacing w:after="120"/>
      </w:pPr>
      <w:r>
        <w:rPr>
          <w:sz w:val="22"/>
        </w:rPr>
        <w:t>The number of times a lead is contacted before converting shows a clear pattern — diminishing returns kick in quickly. Leads contacted 1–3 times convert at a much higher rate than those contacted 4 or more times.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Number of Contacts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of Leads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Conversion Rate</w:t>
            </w:r>
          </w:p>
        </w:tc>
      </w:tr>
      <w:tr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1 contact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31.4%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17.8%</w:t>
            </w:r>
          </w:p>
        </w:tc>
      </w:tr>
      <w:tr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2–3 contacts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42.6%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13.2%</w:t>
            </w:r>
          </w:p>
        </w:tc>
      </w:tr>
      <w:tr>
        <w:tc>
          <w:tcPr>
            <w:tcW w:type="dxa" w:w="2928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4–6 contacts</w:t>
            </w:r>
          </w:p>
        </w:tc>
        <w:tc>
          <w:tcPr>
            <w:tcW w:type="dxa" w:w="2928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18.2%</w:t>
            </w:r>
          </w:p>
        </w:tc>
        <w:tc>
          <w:tcPr>
            <w:tcW w:type="dxa" w:w="2928"/>
            <w:shd w:val="clear" w:color="auto" w:fill="fff8e1"/>
          </w:tcPr>
          <w:p>
            <w:pPr>
              <w:jc w:val="center"/>
            </w:pPr>
            <w:r>
              <w:rPr>
                <w:sz w:val="22"/>
              </w:rPr>
              <w:t>7.4%</w:t>
            </w:r>
          </w:p>
        </w:tc>
      </w:tr>
      <w:tr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7+ contacts</w:t>
            </w:r>
          </w:p>
        </w:tc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7.8%</w:t>
            </w:r>
          </w:p>
        </w:tc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3.1%</w:t>
            </w:r>
          </w:p>
        </w:tc>
      </w:tr>
    </w:tbl>
    <w:p/>
    <w:p>
      <w:pPr>
        <w:spacing w:before="80" w:after="120"/>
      </w:pPr>
      <w:r>
        <w:rPr>
          <w:b/>
          <w:color w:val="E54444"/>
          <w:sz w:val="22"/>
        </w:rPr>
        <w:t xml:space="preserve">Recommendation: </w:t>
      </w:r>
      <w:r>
        <w:rPr>
          <w:sz w:val="22"/>
        </w:rPr>
        <w:t>Set a maximum of 3 contact attempts per lead. Leads not converted after 3 contacts should be moved to a low-cost nurture sequence rather than continued high-frequency outreach. This frees up resources for fresh high-potential leads.</w:t>
      </w:r>
    </w:p>
    <w:p>
      <w:pPr>
        <w:spacing w:before="240" w:after="120"/>
      </w:pPr>
      <w:r>
        <w:rPr>
          <w:b/>
          <w:color w:val="1A1A2E"/>
          <w:sz w:val="28"/>
        </w:rPr>
        <w:t>7. Conversion by Customer Segment</w:t>
      </w:r>
    </w:p>
    <w:p>
      <w:pPr>
        <w:spacing w:after="120"/>
      </w:pPr>
      <w:r>
        <w:rPr>
          <w:sz w:val="22"/>
        </w:rPr>
        <w:t>Customer job type and age significantly influence conversion rates. Students and retired customers convert at the highest rates, while blue-collar workers show the lowest conversion rates. This has important implications for targeting strategy.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Customer Segment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Contacts</w:t>
            </w:r>
          </w:p>
        </w:tc>
        <w:tc>
          <w:tcPr>
            <w:tcW w:type="dxa" w:w="292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Conversion Rate</w:t>
            </w:r>
          </w:p>
        </w:tc>
      </w:tr>
      <w:tr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Student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875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31.4% 🟢</w:t>
            </w:r>
          </w:p>
        </w:tc>
      </w:tr>
      <w:tr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Retired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2,264</w:t>
            </w:r>
          </w:p>
        </w:tc>
        <w:tc>
          <w:tcPr>
            <w:tcW w:type="dxa" w:w="2928"/>
            <w:shd w:val="clear" w:color="auto" w:fill="f0faf5"/>
          </w:tcPr>
          <w:p>
            <w:pPr>
              <w:jc w:val="center"/>
            </w:pPr>
            <w:r>
              <w:rPr>
                <w:sz w:val="22"/>
              </w:rPr>
              <w:t>25.2% 🟢</w:t>
            </w:r>
          </w:p>
        </w:tc>
      </w:tr>
      <w:tr>
        <w:tc>
          <w:tcPr>
            <w:tcW w:type="dxa" w:w="2928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Management</w:t>
            </w:r>
          </w:p>
        </w:tc>
        <w:tc>
          <w:tcPr>
            <w:tcW w:type="dxa" w:w="2928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9,458</w:t>
            </w:r>
          </w:p>
        </w:tc>
        <w:tc>
          <w:tcPr>
            <w:tcW w:type="dxa" w:w="2928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13.6%</w:t>
            </w:r>
          </w:p>
        </w:tc>
      </w:tr>
      <w:tr>
        <w:tc>
          <w:tcPr>
            <w:tcW w:type="dxa" w:w="2928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Technician</w:t>
            </w:r>
          </w:p>
        </w:tc>
        <w:tc>
          <w:tcPr>
            <w:tcW w:type="dxa" w:w="2928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7,597</w:t>
            </w:r>
          </w:p>
        </w:tc>
        <w:tc>
          <w:tcPr>
            <w:tcW w:type="dxa" w:w="2928"/>
            <w:shd w:val="clear" w:color="auto" w:fill="e8f4fd"/>
          </w:tcPr>
          <w:p>
            <w:pPr>
              <w:jc w:val="center"/>
            </w:pPr>
            <w:r>
              <w:rPr>
                <w:sz w:val="22"/>
              </w:rPr>
              <w:t>11.3%</w:t>
            </w:r>
          </w:p>
        </w:tc>
      </w:tr>
      <w:tr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Blue-collar</w:t>
            </w:r>
          </w:p>
        </w:tc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9,732</w:t>
            </w:r>
          </w:p>
        </w:tc>
        <w:tc>
          <w:tcPr>
            <w:tcW w:type="dxa" w:w="2928"/>
            <w:shd w:val="clear" w:color="auto" w:fill="fef2f2"/>
          </w:tcPr>
          <w:p>
            <w:pPr>
              <w:jc w:val="center"/>
            </w:pPr>
            <w:r>
              <w:rPr>
                <w:sz w:val="22"/>
              </w:rPr>
              <w:t>7.1% 🔴</w:t>
            </w:r>
          </w:p>
        </w:tc>
      </w:tr>
    </w:tbl>
    <w:p/>
    <w:p>
      <w:pPr>
        <w:spacing w:before="80" w:after="120"/>
      </w:pPr>
      <w:r>
        <w:rPr>
          <w:b/>
          <w:color w:val="E54444"/>
          <w:sz w:val="22"/>
        </w:rPr>
        <w:t xml:space="preserve">Recommendation: </w:t>
      </w:r>
      <w:r>
        <w:rPr>
          <w:sz w:val="22"/>
        </w:rPr>
        <w:t>Re-allocate campaign budget toward student and retired segments which convert at 2–4x the rate of blue-collar workers. Build tailored messaging for each high-value segment rather than a generic pitch.</w:t>
      </w:r>
    </w:p>
    <w:p>
      <w:pPr>
        <w:spacing w:before="240" w:after="120"/>
      </w:pPr>
      <w:r>
        <w:rPr>
          <w:b/>
          <w:color w:val="1A1A2E"/>
          <w:sz w:val="28"/>
        </w:rPr>
        <w:t>8. Summary Recommendations</w:t>
      </w:r>
    </w:p>
    <w:p>
      <w:pPr>
        <w:spacing w:before="120"/>
      </w:pPr>
      <w:r>
        <w:rPr>
          <w:b/>
          <w:color w:val="1A1A2E"/>
          <w:sz w:val="22"/>
        </w:rPr>
        <w:t xml:space="preserve">1. Go mobile-first: </w:t>
      </w:r>
      <w:r>
        <w:rPr>
          <w:sz w:val="22"/>
        </w:rPr>
        <w:t>Shift outreach budget to cellular contacts (target 85%+ of all contacts). Cellular converts at 14.8% vs 8.6% for landline — the single easiest win available.</w:t>
      </w:r>
    </w:p>
    <w:p>
      <w:pPr>
        <w:spacing w:before="120"/>
      </w:pPr>
      <w:r>
        <w:rPr>
          <w:b/>
          <w:color w:val="1A1A2E"/>
          <w:sz w:val="22"/>
        </w:rPr>
        <w:t xml:space="preserve">2. Time campaigns strategically: </w:t>
      </w:r>
      <w:r>
        <w:rPr>
          <w:sz w:val="22"/>
        </w:rPr>
        <w:t>Concentrate high-volume outreach in March, September, and December. Dramatically reduce May outreach which wastes budget on low-conversion contacts.</w:t>
      </w:r>
    </w:p>
    <w:p>
      <w:pPr>
        <w:spacing w:before="120"/>
      </w:pPr>
      <w:r>
        <w:rPr>
          <w:b/>
          <w:color w:val="1A1A2E"/>
          <w:sz w:val="22"/>
        </w:rPr>
        <w:t xml:space="preserve">3. Cap contact attempts at 3: </w:t>
      </w:r>
      <w:r>
        <w:rPr>
          <w:sz w:val="22"/>
        </w:rPr>
        <w:t>Stop contacting leads after 3 attempts. Conversion drops to 3.1% at 7+ contacts — those resources are better spent on fresh leads.</w:t>
      </w:r>
    </w:p>
    <w:p>
      <w:pPr>
        <w:spacing w:before="120"/>
      </w:pPr>
      <w:r>
        <w:rPr>
          <w:b/>
          <w:color w:val="1A1A2E"/>
          <w:sz w:val="22"/>
        </w:rPr>
        <w:t xml:space="preserve">4. Target high-converting segments first: </w:t>
      </w:r>
      <w:r>
        <w:rPr>
          <w:sz w:val="22"/>
        </w:rPr>
        <w:t>Prioritise students (31.4%) and retired customers (25.2%) in campaign lists. These segments convert at 3–4x the rate of the overall average.</w:t>
      </w:r>
    </w:p>
    <w:p>
      <w:pPr>
        <w:spacing w:before="120"/>
      </w:pPr>
      <w:r>
        <w:rPr>
          <w:b/>
          <w:color w:val="1A1A2E"/>
          <w:sz w:val="22"/>
        </w:rPr>
        <w:t xml:space="preserve">5. Improve the mid-funnel: </w:t>
      </w:r>
      <w:r>
        <w:rPr>
          <w:sz w:val="22"/>
        </w:rPr>
        <w:t>28.7% of engaged leads don't convert despite showing interest. Improve the sales script, offer clarity, and follow-up timing to recover this lost segment.</w:t>
      </w:r>
    </w:p>
    <w:p>
      <w:pPr>
        <w:spacing w:before="120"/>
      </w:pPr>
      <w:r>
        <w:rPr>
          <w:b/>
          <w:color w:val="1A1A2E"/>
          <w:sz w:val="22"/>
        </w:rPr>
        <w:t xml:space="preserve">6. Test personalised messaging: </w:t>
      </w:r>
      <w:r>
        <w:rPr>
          <w:sz w:val="22"/>
        </w:rPr>
        <w:t>Create segment-specific scripts for students vs retirees vs management. Generic pitches underperform when customers feel the offer isn't relevant to them.</w:t>
      </w:r>
    </w:p>
    <w:p>
      <w:pPr>
        <w:spacing w:before="240" w:after="120"/>
      </w:pPr>
      <w:r>
        <w:rPr>
          <w:b/>
          <w:color w:val="1A1A2E"/>
          <w:sz w:val="28"/>
        </w:rPr>
        <w:t>9. Tools &amp; Methodology</w:t>
      </w:r>
    </w:p>
    <w:p>
      <w:pPr>
        <w:spacing w:after="120"/>
      </w:pPr>
      <w:r>
        <w:rPr>
          <w:sz w:val="22"/>
        </w:rPr>
        <w:t>Data Source: Bank Marketing Campaign Dataset (UCI Machine Learning Repository). The dataset contains 45,211 records from a Portuguese bank's direct marketing campaign, with 17 features including customer demographics, contact details, campaign history, and subscription outcome.</w:t>
      </w:r>
    </w:p>
    <w:p>
      <w:pPr>
        <w:spacing w:after="120"/>
      </w:pPr>
      <w:r>
        <w:rPr>
          <w:sz w:val="22"/>
        </w:rPr>
        <w:t>Data Cleaning: Performed in Microsoft Excel — verified no missing values, standardised categorical columns (contact type, month, job), created conversion flag (1=yes, 0=no), and added contact frequency grouping column.</w:t>
      </w:r>
    </w:p>
    <w:p>
      <w:pPr>
        <w:spacing w:after="120"/>
      </w:pPr>
      <w:r>
        <w:rPr>
          <w:sz w:val="22"/>
        </w:rPr>
        <w:t>Analysis &amp; Visualisation: Conducted in Power BI Desktop. Six interactive visuals built: 4 KPI cards, funnel chart, channel comparison bar chart, monthly conversion line chart, contact frequency chart, and customer segment bar chart.</w:t>
      </w:r>
    </w:p>
    <w:p>
      <w:pPr>
        <w:spacing w:after="120"/>
      </w:pPr>
      <w:r>
        <w:rPr>
          <w:sz w:val="22"/>
        </w:rPr>
        <w:t>DAX Measures: Conversion Rate (DIVIDE of converted count to total), Total Conversions (COUNTROWS filtered), Avg Contacts (AVERAGE), Drop-off Rate (1 - Conversion Rate).</w:t>
      </w:r>
    </w:p>
    <w:p/>
    <w:p>
      <w:pPr>
        <w:jc w:val="center"/>
      </w:pPr>
      <w:r>
        <w:rPr>
          <w:i/>
          <w:color w:val="B4B4B4"/>
          <w:sz w:val="18"/>
        </w:rPr>
        <w:t>Kamohelo Mabena  |  Future Interns Data Science &amp; Analytics Task 3 (2026)  |  Marketing Funnel Analysis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