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38C65" w14:textId="77777777" w:rsidR="0087737B" w:rsidRDefault="0087737B" w:rsidP="0087737B">
      <w:r>
        <w:t># Safe Handling and Administration of High-Alert Medications</w:t>
      </w:r>
    </w:p>
    <w:p w14:paraId="483DC772" w14:textId="77777777" w:rsidR="0087737B" w:rsidRDefault="0087737B" w:rsidP="0087737B">
      <w:r>
        <w:t>Document ID: MED-HAM-002 | Version: 3.0 | Department: Pharmacy &amp; Patient Safety</w:t>
      </w:r>
    </w:p>
    <w:p w14:paraId="05194891" w14:textId="77777777" w:rsidR="0087737B" w:rsidRDefault="0087737B" w:rsidP="0087737B"/>
    <w:p w14:paraId="3601A896" w14:textId="77777777" w:rsidR="0087737B" w:rsidRDefault="0087737B" w:rsidP="0087737B">
      <w:r>
        <w:t>## 1. Definition and Scope</w:t>
      </w:r>
    </w:p>
    <w:p w14:paraId="78AD4806" w14:textId="77777777" w:rsidR="0087737B" w:rsidRDefault="0087737B" w:rsidP="0087737B">
      <w:r>
        <w:t>High-alert medications bear a heightened risk of causing significant patient harm when used in error. Classes include:</w:t>
      </w:r>
    </w:p>
    <w:p w14:paraId="2AB0FD9A" w14:textId="77777777" w:rsidR="0087737B" w:rsidRDefault="0087737B" w:rsidP="0087737B">
      <w:r>
        <w:t>- Intravenous Potassium Chloride (KCl) concentrates</w:t>
      </w:r>
    </w:p>
    <w:p w14:paraId="62FDB451" w14:textId="77777777" w:rsidR="0087737B" w:rsidRDefault="0087737B" w:rsidP="0087737B">
      <w:r>
        <w:t>- Insulin (all formulations)</w:t>
      </w:r>
    </w:p>
    <w:p w14:paraId="39FB6A2F" w14:textId="77777777" w:rsidR="0087737B" w:rsidRDefault="0087737B" w:rsidP="0087737B">
      <w:r>
        <w:t>- Anticoagulants (Heparin, Enoxaparin, Warfarin)</w:t>
      </w:r>
    </w:p>
    <w:p w14:paraId="7D254FFB" w14:textId="77777777" w:rsidR="0087737B" w:rsidRDefault="0087737B" w:rsidP="0087737B">
      <w:r>
        <w:t>- Opioids and sedatives</w:t>
      </w:r>
    </w:p>
    <w:p w14:paraId="1B7A5842" w14:textId="77777777" w:rsidR="0087737B" w:rsidRDefault="0087737B" w:rsidP="0087737B">
      <w:r>
        <w:t>- Neuromuscular blocking agents</w:t>
      </w:r>
    </w:p>
    <w:p w14:paraId="3F988A0F" w14:textId="77777777" w:rsidR="0087737B" w:rsidRDefault="0087737B" w:rsidP="0087737B"/>
    <w:p w14:paraId="59F5301F" w14:textId="77777777" w:rsidR="0087737B" w:rsidRDefault="0087737B" w:rsidP="0087737B">
      <w:r>
        <w:t>## 2. Safeguards and Storage Rules</w:t>
      </w:r>
    </w:p>
    <w:p w14:paraId="2E440AD3" w14:textId="77777777" w:rsidR="0087737B" w:rsidRDefault="0087737B" w:rsidP="0087737B">
      <w:r>
        <w:t>- Concentrated Electrolytes: Potassium Chloride vials &gt;2 mEq/mL are strictly barred from general wards; they must reside exclusively in the central pharmacy and ICU satellite stores.</w:t>
      </w:r>
    </w:p>
    <w:p w14:paraId="03601A45" w14:textId="77777777" w:rsidR="0087737B" w:rsidRDefault="0087737B" w:rsidP="0087737B">
      <w:r>
        <w:t>- Tall-Man Lettering: Systems must display look-alike/sound-alike drugs as:</w:t>
      </w:r>
    </w:p>
    <w:p w14:paraId="18DC85D6" w14:textId="77777777" w:rsidR="0087737B" w:rsidRDefault="0087737B" w:rsidP="0087737B">
      <w:r>
        <w:t xml:space="preserve">  - DOPamine vs. DOBUTamine</w:t>
      </w:r>
    </w:p>
    <w:p w14:paraId="5F072221" w14:textId="77777777" w:rsidR="0087737B" w:rsidRDefault="0087737B" w:rsidP="0087737B">
      <w:r>
        <w:t xml:space="preserve">  - predniSONE vs. prednisoLONE</w:t>
      </w:r>
    </w:p>
    <w:p w14:paraId="2FB53F74" w14:textId="77777777" w:rsidR="0087737B" w:rsidRDefault="0087737B" w:rsidP="0087737B">
      <w:r>
        <w:t xml:space="preserve">  - hydrOXYzine vs. hydrALAZINE</w:t>
      </w:r>
    </w:p>
    <w:p w14:paraId="57501B75" w14:textId="77777777" w:rsidR="0087737B" w:rsidRDefault="0087737B" w:rsidP="0087737B"/>
    <w:p w14:paraId="373A3AEF" w14:textId="77777777" w:rsidR="0087737B" w:rsidRDefault="0087737B" w:rsidP="0087737B">
      <w:r>
        <w:t>## 3. Independent Double-Check Protocol</w:t>
      </w:r>
    </w:p>
    <w:p w14:paraId="4FF3BE16" w14:textId="77777777" w:rsidR="0087737B" w:rsidRDefault="0087737B" w:rsidP="0087737B">
      <w:r>
        <w:t>- Two licensed registered nurses must independently verify:</w:t>
      </w:r>
    </w:p>
    <w:p w14:paraId="54D034F9" w14:textId="77777777" w:rsidR="0087737B" w:rsidRDefault="0087737B" w:rsidP="0087737B">
      <w:r>
        <w:t xml:space="preserve">  1. Patient identification band (name and MRN).</w:t>
      </w:r>
    </w:p>
    <w:p w14:paraId="528D0C46" w14:textId="77777777" w:rsidR="0087737B" w:rsidRDefault="0087737B" w:rsidP="0087737B">
      <w:r>
        <w:t xml:space="preserve">  2. Physician prescription order.</w:t>
      </w:r>
    </w:p>
    <w:p w14:paraId="081CAEC7" w14:textId="77777777" w:rsidR="0087737B" w:rsidRDefault="0087737B" w:rsidP="0087737B">
      <w:r>
        <w:t xml:space="preserve">  3. Drug calculation, vial concentration, and total volume drawn.</w:t>
      </w:r>
    </w:p>
    <w:p w14:paraId="4F69B77F" w14:textId="77777777" w:rsidR="0087737B" w:rsidRDefault="0087737B" w:rsidP="0087737B">
      <w:r>
        <w:t xml:space="preserve">  4. Infusion pump settings (rate, volume to be infused, channel assignment).</w:t>
      </w:r>
    </w:p>
    <w:p w14:paraId="48D7D7C7" w14:textId="25B16D9D" w:rsidR="00EA491F" w:rsidRDefault="0087737B" w:rsidP="0087737B">
      <w:r>
        <w:t>- Both nurses must sign the Medication Administration Record (MAR) prior to delivery.</w:t>
      </w:r>
      <w:bookmarkStart w:id="0" w:name="_GoBack"/>
      <w:bookmarkEnd w:id="0"/>
    </w:p>
    <w:sectPr w:rsidR="00EA4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33"/>
    <w:rsid w:val="002B0097"/>
    <w:rsid w:val="00546B1D"/>
    <w:rsid w:val="007D4133"/>
    <w:rsid w:val="0087737B"/>
    <w:rsid w:val="00EA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3D86"/>
  <w15:chartTrackingRefBased/>
  <w15:docId w15:val="{D53468BF-7D3C-4497-950A-C17D1795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2026-09-16T15:00:00Z</dcterms:created>
  <dcterms:modified xsi:type="dcterms:W3CDTF">2026-09-16T15:00:00Z</dcterms:modified>
</cp:coreProperties>
</file>