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535F3" w14:textId="12D62BFC" w:rsidR="00F82E1E" w:rsidRPr="00F82E1E" w:rsidRDefault="00F82E1E" w:rsidP="00F82E1E">
      <w:pPr>
        <w:jc w:val="center"/>
        <w:rPr>
          <w:b/>
          <w:bCs/>
          <w:sz w:val="28"/>
          <w:szCs w:val="28"/>
          <w:lang w:val="az-Latn-AZ"/>
        </w:rPr>
      </w:pPr>
      <w:r w:rsidRPr="00F82E1E">
        <w:rPr>
          <w:b/>
          <w:bCs/>
          <w:sz w:val="28"/>
          <w:szCs w:val="28"/>
          <w:lang w:val="az-Latn-AZ"/>
        </w:rPr>
        <w:t>Tələbə</w:t>
      </w:r>
      <w:r w:rsidRPr="00F82E1E">
        <w:rPr>
          <w:b/>
          <w:bCs/>
          <w:sz w:val="28"/>
          <w:szCs w:val="28"/>
        </w:rPr>
        <w:t>:</w:t>
      </w:r>
      <w:r w:rsidRPr="00F82E1E">
        <w:rPr>
          <w:b/>
          <w:bCs/>
          <w:sz w:val="28"/>
          <w:szCs w:val="28"/>
          <w:lang w:val="az-Latn-AZ"/>
        </w:rPr>
        <w:t>Fərzəliyev Cavidan</w:t>
      </w:r>
    </w:p>
    <w:p w14:paraId="4545AE9F" w14:textId="433F3813" w:rsidR="00A0734F" w:rsidRDefault="00A0734F" w:rsidP="00A0734F">
      <w:pPr>
        <w:rPr>
          <w:sz w:val="28"/>
          <w:szCs w:val="28"/>
          <w:lang w:val="az-Latn-AZ"/>
        </w:rPr>
      </w:pPr>
      <w:r w:rsidRPr="00A0734F">
        <w:rPr>
          <w:sz w:val="28"/>
          <w:szCs w:val="28"/>
          <w:lang w:val="az-Latn-AZ"/>
        </w:rPr>
        <w:t>Azərbaycan Respublikası Dövlət Neft Şirkəti— dünyanın ən böyük milli neft şirkətlərindən biridir. Neftin çıxarılması, daşınması, emalı və istehlakında olduğu üçün inteqrasiya olunmuş şirkətdir.</w:t>
      </w:r>
    </w:p>
    <w:p w14:paraId="4880DC80" w14:textId="01E02802" w:rsidR="00D27064" w:rsidRDefault="00A0734F" w:rsidP="00A0734F">
      <w:pPr>
        <w:rPr>
          <w:sz w:val="28"/>
          <w:szCs w:val="28"/>
          <w:lang w:val="az-Latn-AZ"/>
        </w:rPr>
      </w:pPr>
      <w:r w:rsidRPr="00A0734F">
        <w:rPr>
          <w:sz w:val="28"/>
          <w:szCs w:val="28"/>
          <w:lang w:val="az-Latn-AZ"/>
        </w:rPr>
        <w:t>Azərbaycan Respublikasının neft sərvətlərindən istifadəni vahid dövlət siyasəti əsasında həyata keçirmək, neft sənayesinin idarəetmə strukturunu təkmilləşdirmək, yanacaq-enerji kompleksinin inkişafını təmin etmək məqsədi ilə Azərbaycan respublika prezidentinin 13.09.1992-ci il Fərmanı ilə Azərineft Dövlət Konserninin və Azərnefkimya İstehsalat Birliyininin bazasında Azərbaycan Respublikası Dövlət Neft Şirkəti yaradılmışdır. Ümumiyyətlə, ayrı-ayrı vaxtlarda Azərbaycanda neft sənayesini özündə birləşdirən Azərneft birləşdirdiyi və idarə etdiyi müəssisələrin xüsusiyyətindən asılı olaraq İttifaq əhəmiyyətli trest və ya birlik kimi müxtəlif ittifaq və respublika təşkilatlarına (Azərbaycan SSR Xalq Komissarları Soveti, SSRİ Ali Xalq Təsərrüfatı Şurası, SSRİ Ağır Sənaye Nazirliyi, Azərbaycan SSR Xalq Təsərrüfatı Şurası) tabe olmuş və "Azərneftkomitə", "Azərneftkombinat" (sonralar "Azərneft", "Azərneftzavodlar" və "Azərneftmaşınqayırma" birliklərinə ayrılmış), "Azərneftçıxarma" Birliyi adlanmışdır. Şirkətin nəzdində iki neftayırma zavodu, bir neçə beynəlxalq neft-qaz boru kəməri və bir neçə mühəndislik şirkəti var. Hal-hazırda ARDNŞ kapital həcminə görə dünyanın 68-ci ən böyük şirkətidir.</w:t>
      </w:r>
    </w:p>
    <w:p w14:paraId="0F6B7433" w14:textId="28558719" w:rsidR="00A0734F" w:rsidRDefault="00A0734F" w:rsidP="00A0734F">
      <w:pPr>
        <w:rPr>
          <w:sz w:val="28"/>
          <w:szCs w:val="28"/>
          <w:lang w:val="az-Latn-AZ"/>
        </w:rPr>
      </w:pPr>
    </w:p>
    <w:p w14:paraId="742C87E5" w14:textId="767D31BF" w:rsidR="00A0734F" w:rsidRDefault="00A0734F" w:rsidP="00F93D21">
      <w:pPr>
        <w:rPr>
          <w:sz w:val="28"/>
          <w:szCs w:val="28"/>
          <w:lang w:val="az-Latn-AZ"/>
        </w:rPr>
      </w:pPr>
    </w:p>
    <w:p w14:paraId="0EF4A1A4" w14:textId="22067187" w:rsidR="00A0734F" w:rsidRDefault="00A0734F" w:rsidP="00A0734F">
      <w:pPr>
        <w:pStyle w:val="Heading2"/>
        <w:pBdr>
          <w:bottom w:val="single" w:sz="6" w:space="0" w:color="A2A9B1"/>
        </w:pBdr>
        <w:shd w:val="clear" w:color="auto" w:fill="FFFFFF"/>
        <w:spacing w:before="240" w:beforeAutospacing="0" w:after="60" w:afterAutospacing="0"/>
        <w:jc w:val="center"/>
        <w:rPr>
          <w:rFonts w:ascii="Georgia" w:hAnsi="Georgia"/>
          <w:b w:val="0"/>
          <w:bCs w:val="0"/>
          <w:color w:val="000000"/>
        </w:rPr>
      </w:pPr>
      <w:proofErr w:type="spellStart"/>
      <w:r>
        <w:rPr>
          <w:rStyle w:val="mw-headline"/>
          <w:rFonts w:ascii="Georgia" w:hAnsi="Georgia"/>
          <w:b w:val="0"/>
          <w:bCs w:val="0"/>
          <w:color w:val="000000"/>
        </w:rPr>
        <w:t>Şirk</w:t>
      </w:r>
      <w:r>
        <w:rPr>
          <w:rStyle w:val="mw-headline"/>
          <w:b w:val="0"/>
          <w:bCs w:val="0"/>
          <w:color w:val="000000"/>
        </w:rPr>
        <w:t>ə</w:t>
      </w:r>
      <w:r>
        <w:rPr>
          <w:rStyle w:val="mw-headline"/>
          <w:rFonts w:ascii="Georgia" w:hAnsi="Georgia"/>
          <w:b w:val="0"/>
          <w:bCs w:val="0"/>
          <w:color w:val="000000"/>
        </w:rPr>
        <w:t>tin</w:t>
      </w:r>
      <w:proofErr w:type="spellEnd"/>
      <w:r>
        <w:rPr>
          <w:rStyle w:val="mw-headline"/>
          <w:rFonts w:ascii="Georgia" w:hAnsi="Georgia"/>
          <w:b w:val="0"/>
          <w:bCs w:val="0"/>
          <w:color w:val="000000"/>
        </w:rPr>
        <w:t xml:space="preserve"> </w:t>
      </w:r>
      <w:proofErr w:type="spellStart"/>
      <w:r>
        <w:rPr>
          <w:rStyle w:val="mw-headline"/>
          <w:rFonts w:ascii="Georgia" w:hAnsi="Georgia"/>
          <w:b w:val="0"/>
          <w:bCs w:val="0"/>
          <w:color w:val="000000"/>
        </w:rPr>
        <w:t>funksiyası</w:t>
      </w:r>
      <w:proofErr w:type="spellEnd"/>
    </w:p>
    <w:p w14:paraId="6A68391F" w14:textId="77777777" w:rsidR="00A0734F" w:rsidRPr="00A0734F" w:rsidRDefault="00A0734F" w:rsidP="00A0734F">
      <w:pPr>
        <w:rPr>
          <w:sz w:val="28"/>
          <w:szCs w:val="28"/>
          <w:lang w:val="az-Latn-AZ"/>
        </w:rPr>
      </w:pPr>
      <w:r w:rsidRPr="00A0734F">
        <w:rPr>
          <w:sz w:val="28"/>
          <w:szCs w:val="28"/>
          <w:lang w:val="az-Latn-AZ"/>
        </w:rPr>
        <w:t xml:space="preserve">ARDNŞ respublikanın bütün ərazisində, o cümlədən quru və dəniz ərazilərində neft və qaz yataqlarının axtarışı, kəşfiyyatı və işlənməsi, neftin, qazın, qaz kondensatının hazırlanması, emalı və nəqli, həmçinin onlardan alınan məhsulların daxili və xarici bazarlarda satışı ilə məşğul olur. O, həmçinin, böyük həcmdə elmi-tədqiqat və layihə işləri yerinə yetirir. Hazırda Azərbaycanda neftlə zəngin 57 yataq mövcuddur ki, bunun da 18-i Xəzər dənizinin Azərbaycan sektorunda, qalanı isə qurudadır. Ümumiyyətlə, Xəzər hövzəsi 30 milyard tona yaxın neft, 18–20 trilyon kub metr həcmində qaz ehtiyatına malikdir ki, bu da dünyanın karbohidrogen resurslarının 15%-ni təşkil edir. Xəzər hövzəsinin Azərbaycana aid </w:t>
      </w:r>
      <w:r w:rsidRPr="00A0734F">
        <w:rPr>
          <w:sz w:val="28"/>
          <w:szCs w:val="28"/>
          <w:lang w:val="az-Latn-AZ"/>
        </w:rPr>
        <w:lastRenderedPageBreak/>
        <w:t>bölgəsində isə 3–5 milyard ton neft, 5 trilyon kub metr həcmində qaz ehtiyatı mövcuddur. Azərbaycanda neft hasilatının 2005-ci ildən başlayaraq sürətlə artacağı gözlənilir. Proqnozlara görə, Azəri-Çıraq-Günəşli layihəsi üzrə neft hasilatının ən yüksək səviyyəsi 2010-cu ildə olub. Belə ki, həmin il neft hasilatı 54,9 milyon tona çatdırılib. Şahdəniz layihəsi üzrə isə 2010-cu ildə 2,1 milyon ton kondensat hasil olunacaq. Hazırda ARDNŞ-də 58.945 nəfər, o cümlədən 50 nəfəri elmlər doktoru, 392 nəfəri elmlər namizədi elmi dərəcəsinə malik olan 17.500 mühəndis, texnik və mütəxəssis çalışır. ARDNŞ respublikanın neft və neft məhsullarına olan tələbatını ödəmək, daxili tələbdən artıq hissəni isə ixrac etmək imkanına malikdir. Bunu təmin etmək üçün ARDNŞ müvafiq istehsal güclərinə, inkişaf etmiş xidmət sektoruna, böyük elmi və texniki potensiala malikdir. ARDNŞ həm quru, həm də dəniz neft yataqlarının kəşfiyyatı, işlənməsi və abadlaşdırılması ilə bağlı bütün məsələləri həll etmək qabiliyyətinə malik yüksək ixtisaslı mühəndis, texnik və fəhlə kadrlara malikdir.</w:t>
      </w:r>
    </w:p>
    <w:p w14:paraId="52E1046D" w14:textId="293E8B2F" w:rsidR="00A0734F" w:rsidRPr="00A0734F" w:rsidRDefault="00A0734F" w:rsidP="00A0734F">
      <w:pPr>
        <w:rPr>
          <w:sz w:val="28"/>
          <w:szCs w:val="28"/>
          <w:lang w:val="az-Latn-AZ"/>
        </w:rPr>
      </w:pPr>
      <w:r w:rsidRPr="00A0734F">
        <w:rPr>
          <w:sz w:val="28"/>
          <w:szCs w:val="28"/>
          <w:lang w:val="az-Latn-AZ"/>
        </w:rPr>
        <w:t>2012-ci il yanvarın 27-də dünyanın aparıcı maliyyə nəşrlərində və internet saytlarında ARDNŞ-nin Avrobond buraxmaq niyyətində olduğu barədə açıqlama verilmişdir. Avrobondların yerləşdirilməsi və tədavülü Azərbaycan Respublikasının və Amerika Birləşmiş Ştatlarının hüdudlarından kənarda həyata keçirilməklə, Böyük Britaniya və Şimali İrlandiya Birləşmiş Krallığı Listinq Orqanının (UK Listing Authority) və London Fond Birjasının (London Stock Exchange) listinqinə daxil ediləcək. Buraxılışın hüquqi rejimi ABŞ-ın 1933-cü il tarixli "Qiymətli kağızlar" haqqında qanununun "Regulation S" hissəsinə uyğundur. Bu işlərin həyata keçirilməsində Birgə Baş İdarəçilər (Joint Lead Managers) qismində Citi Group Global Markets Limited, Deutsche Bank AG (London filialı) və The Royal Bank of Scotland Plc., Birgə İdarəçilər (Co-Managers) qismində Nomura International Plc. və Société Générale S.A., İnvestorların təmsilçisi (Trustee) qismində Deutsche Trustee Company Limited, Əsas Ödəniş və Köçürmə Agenti (Principal Paying and Transfer Agent) qismində isə Deutsche Bank AG (London filialı) çıxış edirlər. Avrobondların buraxılması ilə bağlı müvafiq qaydalara əsasən, dünyanın aparıcı reytinq şirkətləri buraxılacaq qiymətli kağıza reytinq dərəcəsi şamil etməlidir. Artıq Fitch Ratings və Moody’s şirkətləri tərəfindən ARDNŞ Avrobondlarına müvafiq olaraq BBB-(exp) və Ba1 reytinq dərəcələri şamil olunmuşdur.</w:t>
      </w:r>
    </w:p>
    <w:p w14:paraId="4A43F5CB" w14:textId="5862D052" w:rsidR="00A0734F" w:rsidRDefault="00A0734F" w:rsidP="00A0734F">
      <w:pPr>
        <w:pStyle w:val="Heading2"/>
        <w:pBdr>
          <w:bottom w:val="single" w:sz="6" w:space="0" w:color="A2A9B1"/>
        </w:pBdr>
        <w:shd w:val="clear" w:color="auto" w:fill="FFFFFF"/>
        <w:spacing w:before="240" w:beforeAutospacing="0" w:after="60" w:afterAutospacing="0"/>
        <w:jc w:val="center"/>
        <w:rPr>
          <w:rStyle w:val="mw-headline"/>
          <w:rFonts w:ascii="Georgia" w:hAnsi="Georgia"/>
          <w:b w:val="0"/>
          <w:bCs w:val="0"/>
          <w:color w:val="000000"/>
        </w:rPr>
      </w:pPr>
      <w:bookmarkStart w:id="0" w:name="_Hlk100529765"/>
      <w:proofErr w:type="spellStart"/>
      <w:r>
        <w:rPr>
          <w:rStyle w:val="mw-headline"/>
          <w:rFonts w:ascii="Georgia" w:hAnsi="Georgia"/>
          <w:b w:val="0"/>
          <w:bCs w:val="0"/>
          <w:color w:val="000000"/>
        </w:rPr>
        <w:t>F</w:t>
      </w:r>
      <w:r>
        <w:rPr>
          <w:rStyle w:val="mw-headline"/>
          <w:b w:val="0"/>
          <w:bCs w:val="0"/>
          <w:color w:val="000000"/>
        </w:rPr>
        <w:t>ə</w:t>
      </w:r>
      <w:r>
        <w:rPr>
          <w:rStyle w:val="mw-headline"/>
          <w:rFonts w:ascii="Georgia" w:hAnsi="Georgia"/>
          <w:b w:val="0"/>
          <w:bCs w:val="0"/>
          <w:color w:val="000000"/>
        </w:rPr>
        <w:t>aliyy</w:t>
      </w:r>
      <w:r>
        <w:rPr>
          <w:rStyle w:val="mw-headline"/>
          <w:b w:val="0"/>
          <w:bCs w:val="0"/>
          <w:color w:val="000000"/>
        </w:rPr>
        <w:t>ə</w:t>
      </w:r>
      <w:r>
        <w:rPr>
          <w:rStyle w:val="mw-headline"/>
          <w:rFonts w:ascii="Georgia" w:hAnsi="Georgia"/>
          <w:b w:val="0"/>
          <w:bCs w:val="0"/>
          <w:color w:val="000000"/>
        </w:rPr>
        <w:t>t</w:t>
      </w:r>
      <w:proofErr w:type="spellEnd"/>
    </w:p>
    <w:p w14:paraId="61DEBDAB" w14:textId="77777777" w:rsidR="00A0734F" w:rsidRDefault="00A0734F" w:rsidP="00A0734F">
      <w:pPr>
        <w:pStyle w:val="Heading2"/>
        <w:pBdr>
          <w:bottom w:val="single" w:sz="6" w:space="0" w:color="A2A9B1"/>
        </w:pBdr>
        <w:shd w:val="clear" w:color="auto" w:fill="FFFFFF"/>
        <w:spacing w:before="240" w:beforeAutospacing="0" w:after="60" w:afterAutospacing="0"/>
        <w:jc w:val="center"/>
        <w:rPr>
          <w:rFonts w:ascii="Georgia" w:hAnsi="Georgia"/>
          <w:b w:val="0"/>
          <w:bCs w:val="0"/>
          <w:color w:val="000000"/>
        </w:rPr>
      </w:pPr>
    </w:p>
    <w:p w14:paraId="0FA983AB" w14:textId="4CF7C58F" w:rsidR="00A0734F" w:rsidRPr="00A0734F" w:rsidRDefault="00A0734F" w:rsidP="00A0734F">
      <w:pPr>
        <w:jc w:val="center"/>
        <w:rPr>
          <w:sz w:val="28"/>
          <w:szCs w:val="28"/>
          <w:lang w:val="az-Latn-AZ"/>
        </w:rPr>
      </w:pPr>
      <w:r w:rsidRPr="00A0734F">
        <w:rPr>
          <w:sz w:val="28"/>
          <w:szCs w:val="28"/>
          <w:lang w:val="az-Latn-AZ"/>
        </w:rPr>
        <w:t>ARDNŞ-nin fəaliyyəti əsas olaraq 6 sahəyə bölünmüşdür. Bunlar:</w:t>
      </w:r>
    </w:p>
    <w:p w14:paraId="752CE161" w14:textId="77777777" w:rsidR="00A0734F" w:rsidRPr="00A0734F" w:rsidRDefault="00A0734F" w:rsidP="00A0734F">
      <w:pPr>
        <w:jc w:val="center"/>
        <w:rPr>
          <w:sz w:val="28"/>
          <w:szCs w:val="28"/>
          <w:lang w:val="az-Latn-AZ"/>
        </w:rPr>
      </w:pPr>
      <w:r w:rsidRPr="00A0734F">
        <w:rPr>
          <w:sz w:val="28"/>
          <w:szCs w:val="28"/>
          <w:lang w:val="az-Latn-AZ"/>
        </w:rPr>
        <w:t>Neft-qaz yataqlarının kəşfiyyatı</w:t>
      </w:r>
    </w:p>
    <w:p w14:paraId="55CF3129" w14:textId="77777777" w:rsidR="00A0734F" w:rsidRPr="00A0734F" w:rsidRDefault="00A0734F" w:rsidP="00A0734F">
      <w:pPr>
        <w:jc w:val="center"/>
        <w:rPr>
          <w:sz w:val="28"/>
          <w:szCs w:val="28"/>
          <w:lang w:val="az-Latn-AZ"/>
        </w:rPr>
      </w:pPr>
      <w:r w:rsidRPr="00A0734F">
        <w:rPr>
          <w:sz w:val="28"/>
          <w:szCs w:val="28"/>
          <w:lang w:val="az-Latn-AZ"/>
        </w:rPr>
        <w:t>Neft-qaz hasilatı</w:t>
      </w:r>
    </w:p>
    <w:p w14:paraId="089DD388" w14:textId="77777777" w:rsidR="00A0734F" w:rsidRPr="00A0734F" w:rsidRDefault="00A0734F" w:rsidP="00A0734F">
      <w:pPr>
        <w:jc w:val="center"/>
        <w:rPr>
          <w:sz w:val="28"/>
          <w:szCs w:val="28"/>
          <w:lang w:val="az-Latn-AZ"/>
        </w:rPr>
      </w:pPr>
      <w:r w:rsidRPr="00A0734F">
        <w:rPr>
          <w:sz w:val="28"/>
          <w:szCs w:val="28"/>
          <w:lang w:val="az-Latn-AZ"/>
        </w:rPr>
        <w:t>Neftin və təbii qazın emalı</w:t>
      </w:r>
    </w:p>
    <w:p w14:paraId="29C8AF85" w14:textId="77777777" w:rsidR="00A0734F" w:rsidRPr="00A0734F" w:rsidRDefault="00A0734F" w:rsidP="00A0734F">
      <w:pPr>
        <w:jc w:val="center"/>
        <w:rPr>
          <w:sz w:val="28"/>
          <w:szCs w:val="28"/>
          <w:lang w:val="az-Latn-AZ"/>
        </w:rPr>
      </w:pPr>
      <w:r w:rsidRPr="00A0734F">
        <w:rPr>
          <w:sz w:val="28"/>
          <w:szCs w:val="28"/>
          <w:lang w:val="az-Latn-AZ"/>
        </w:rPr>
        <w:t>Neft kimyası</w:t>
      </w:r>
    </w:p>
    <w:p w14:paraId="1302541E" w14:textId="77777777" w:rsidR="00A0734F" w:rsidRPr="00A0734F" w:rsidRDefault="00A0734F" w:rsidP="00A0734F">
      <w:pPr>
        <w:jc w:val="center"/>
        <w:rPr>
          <w:sz w:val="28"/>
          <w:szCs w:val="28"/>
          <w:lang w:val="az-Latn-AZ"/>
        </w:rPr>
      </w:pPr>
      <w:r w:rsidRPr="00A0734F">
        <w:rPr>
          <w:sz w:val="28"/>
          <w:szCs w:val="28"/>
          <w:lang w:val="az-Latn-AZ"/>
        </w:rPr>
        <w:t>Enerjidaşıyıcıların nəqli</w:t>
      </w:r>
    </w:p>
    <w:p w14:paraId="3BEA7249" w14:textId="5B61AB5C" w:rsidR="00A0734F" w:rsidRDefault="00A0734F" w:rsidP="00A0734F">
      <w:pPr>
        <w:jc w:val="center"/>
        <w:rPr>
          <w:sz w:val="28"/>
          <w:szCs w:val="28"/>
          <w:lang w:val="az-Latn-AZ"/>
        </w:rPr>
      </w:pPr>
      <w:r w:rsidRPr="00A0734F">
        <w:rPr>
          <w:sz w:val="28"/>
          <w:szCs w:val="28"/>
          <w:lang w:val="az-Latn-AZ"/>
        </w:rPr>
        <w:t>Xidmətlər</w:t>
      </w:r>
    </w:p>
    <w:p w14:paraId="3D2D2F3B" w14:textId="0979BD4F" w:rsidR="00A0734F" w:rsidRDefault="00A0734F" w:rsidP="00A0734F">
      <w:pPr>
        <w:rPr>
          <w:sz w:val="28"/>
          <w:szCs w:val="28"/>
          <w:lang w:val="az-Latn-AZ"/>
        </w:rPr>
      </w:pPr>
      <w:r w:rsidRPr="00A0734F">
        <w:rPr>
          <w:sz w:val="28"/>
          <w:szCs w:val="28"/>
          <w:lang w:val="az-Latn-AZ"/>
        </w:rPr>
        <w:t>ARDNŞ-yə tabe olan Azərneftyağ Neft Emalı Zavodu yanacaq və yağların istehsalı üzrə ixtisaslaşmışdır. Burada neftin emalı nəticəsində benzin, kerosin, dizel distillatları, mühərrik, sənaye, turbin, transformator, digər müxtəlif yağlar və bitum istehsal olunur. Son 2 ildə burada istehsal olunmuş bütün yanacaq distillatları təkrar emal üçün Heydər Əliyev adına BNEZ-ə nəql olunur. 2010-cu ildə zavodda 215,2 min ton ilkin emal benzini, 174,9 min ton kerosin, 599,8 min ton dizel distillatları, 1,3 min ton mühərrik yağı, 27,6 min ton sənaye yağı, 7,9 min ton turbin yağları, 14,1 min ton transformator yağı, 36,2 min ton digər yağlar və 241,4 min ton bitum istehsal olunmuşdur. Heydər Əliyev adına BNEZ-də xam neftin emalı yanacaqların üstün istehsal sxemi ilə aparilir. Azərbaycan neftinin 24 çeşidindən 21-i Heydər Əliyev adına Bakı Neft Emalı Zavodunda emal olunur ki, bunlardan da öz növbəsində 15 adda neft məhsulu, o cümlədən avtomobil benzinləri, aviasiya kerosini, dizel yanacağı, mazut, neft koksu və s. istehsal olunur. Zavod respublikanın neft məhsullarına olan tələbatını tam ödəyir. Bundan əlavə, istehsal olunan neft məhsullarının 45%-i xarici ölkələrə ixrac edilir. Qaz Emalı Zavodu Azərbaycan Respublikası Prezidentinin Sərəncamına uyğun olaraq ARDNŞ-in strukturuna aid edilmişdir. Qaz Emalı Zavodunda "Azneft" İB-də hasil olunmuş təbii və səmt qazları emal edilir. Zavodun istehsal olunmuş məhsullarına təmizlənmiş qaz, maye qaz və qaz benzini aiddir. 2010-cu ildə müəssisədə 4,030 milyard m³ təmizlənmiş qaz, 24,8 min ton maye və 26,7 min ton qaz benzini istehsal olunmuşdur.</w:t>
      </w:r>
    </w:p>
    <w:p w14:paraId="2600E1E7" w14:textId="77777777" w:rsidR="00A0734F" w:rsidRPr="00A0734F" w:rsidRDefault="00A0734F" w:rsidP="00A0734F">
      <w:pPr>
        <w:rPr>
          <w:sz w:val="28"/>
          <w:szCs w:val="28"/>
          <w:lang w:val="az-Latn-AZ"/>
        </w:rPr>
      </w:pPr>
      <w:r w:rsidRPr="00A0734F">
        <w:rPr>
          <w:sz w:val="28"/>
          <w:szCs w:val="28"/>
          <w:lang w:val="az-Latn-AZ"/>
        </w:rPr>
        <w:t xml:space="preserve">Azərbaycan Respublikası Prezidentinin "Neft-kimya sənayesində idarəetmə mexanizmlərinin təkmilləşdirilməsi haqqında" 2 aprel 2010-cu il tarixli </w:t>
      </w:r>
      <w:r w:rsidRPr="00A0734F">
        <w:rPr>
          <w:sz w:val="28"/>
          <w:szCs w:val="28"/>
          <w:lang w:val="az-Latn-AZ"/>
        </w:rPr>
        <w:lastRenderedPageBreak/>
        <w:t>Sərəncamına əsasən, "Azərikimya" Dövlət Şirkəti ARDNŞ-nin tabeçiliyinə verilmişdir. "Azərikimya" İB-nin strukturuna "Etilen-Polietilen" zavodu, "Səthi Aktiv Maddələr" zavodu, "Üzvi Sintez" zavodu, "Mexaniki Təmir" zavodu, "Kimyalayihə" institutu, Təmir-Tikinti idarəsi, Nəqliyyat və Xüsusi Texnika idarəsi, Anbar Təsərrüfatı daxildir. "Azərikimya" İB-in istehsal olunmuş məhsullara — propilen, polietilen, butilen-butadien fraksiyası, propilen oksidi, propilen qlikol, izopropil spirti, pirokondensat, maye xlor və qələvi aiddir.</w:t>
      </w:r>
    </w:p>
    <w:bookmarkEnd w:id="0"/>
    <w:p w14:paraId="73443CD5" w14:textId="211021E8" w:rsidR="00A0734F" w:rsidRDefault="00A0734F" w:rsidP="00A0734F">
      <w:pPr>
        <w:jc w:val="center"/>
        <w:rPr>
          <w:sz w:val="28"/>
          <w:szCs w:val="28"/>
          <w:lang w:val="az-Latn-AZ"/>
        </w:rPr>
      </w:pPr>
    </w:p>
    <w:p w14:paraId="58E5B21D" w14:textId="304C1539" w:rsidR="00FE6915" w:rsidRDefault="00FE6915" w:rsidP="00FE6915">
      <w:pPr>
        <w:pStyle w:val="Heading2"/>
        <w:pBdr>
          <w:bottom w:val="single" w:sz="6" w:space="0" w:color="A2A9B1"/>
        </w:pBdr>
        <w:shd w:val="clear" w:color="auto" w:fill="FFFFFF"/>
        <w:spacing w:before="240" w:beforeAutospacing="0" w:after="60" w:afterAutospacing="0"/>
        <w:jc w:val="center"/>
        <w:rPr>
          <w:rFonts w:ascii="Georgia" w:hAnsi="Georgia"/>
          <w:b w:val="0"/>
          <w:bCs w:val="0"/>
          <w:color w:val="000000"/>
        </w:rPr>
      </w:pPr>
      <w:proofErr w:type="spellStart"/>
      <w:r>
        <w:rPr>
          <w:rStyle w:val="mw-headline"/>
          <w:rFonts w:ascii="Georgia" w:hAnsi="Georgia"/>
          <w:b w:val="0"/>
          <w:bCs w:val="0"/>
          <w:color w:val="000000"/>
        </w:rPr>
        <w:t>Xarici</w:t>
      </w:r>
      <w:proofErr w:type="spellEnd"/>
      <w:r>
        <w:rPr>
          <w:rStyle w:val="mw-headline"/>
          <w:rFonts w:ascii="Georgia" w:hAnsi="Georgia"/>
          <w:b w:val="0"/>
          <w:bCs w:val="0"/>
          <w:color w:val="000000"/>
        </w:rPr>
        <w:t xml:space="preserve"> </w:t>
      </w:r>
      <w:proofErr w:type="spellStart"/>
      <w:r>
        <w:rPr>
          <w:rStyle w:val="mw-headline"/>
          <w:rFonts w:ascii="Georgia" w:hAnsi="Georgia"/>
          <w:b w:val="0"/>
          <w:bCs w:val="0"/>
          <w:color w:val="000000"/>
        </w:rPr>
        <w:t>ölk</w:t>
      </w:r>
      <w:r>
        <w:rPr>
          <w:rStyle w:val="mw-headline"/>
          <w:b w:val="0"/>
          <w:bCs w:val="0"/>
          <w:color w:val="000000"/>
        </w:rPr>
        <w:t>ə</w:t>
      </w:r>
      <w:r>
        <w:rPr>
          <w:rStyle w:val="mw-headline"/>
          <w:rFonts w:ascii="Georgia" w:hAnsi="Georgia"/>
          <w:b w:val="0"/>
          <w:bCs w:val="0"/>
          <w:color w:val="000000"/>
        </w:rPr>
        <w:t>l</w:t>
      </w:r>
      <w:r>
        <w:rPr>
          <w:rStyle w:val="mw-headline"/>
          <w:b w:val="0"/>
          <w:bCs w:val="0"/>
          <w:color w:val="000000"/>
        </w:rPr>
        <w:t>ə</w:t>
      </w:r>
      <w:r>
        <w:rPr>
          <w:rStyle w:val="mw-headline"/>
          <w:rFonts w:ascii="Georgia" w:hAnsi="Georgia"/>
          <w:b w:val="0"/>
          <w:bCs w:val="0"/>
          <w:color w:val="000000"/>
        </w:rPr>
        <w:t>rd</w:t>
      </w:r>
      <w:r>
        <w:rPr>
          <w:rStyle w:val="mw-headline"/>
          <w:b w:val="0"/>
          <w:bCs w:val="0"/>
          <w:color w:val="000000"/>
        </w:rPr>
        <w:t>ə</w:t>
      </w:r>
      <w:r>
        <w:rPr>
          <w:rStyle w:val="mw-headline"/>
          <w:rFonts w:ascii="Georgia" w:hAnsi="Georgia"/>
          <w:b w:val="0"/>
          <w:bCs w:val="0"/>
          <w:color w:val="000000"/>
        </w:rPr>
        <w:t>ki</w:t>
      </w:r>
      <w:proofErr w:type="spellEnd"/>
      <w:r>
        <w:rPr>
          <w:rStyle w:val="mw-headline"/>
          <w:rFonts w:ascii="Georgia" w:hAnsi="Georgia"/>
          <w:b w:val="0"/>
          <w:bCs w:val="0"/>
          <w:color w:val="000000"/>
        </w:rPr>
        <w:t xml:space="preserve"> </w:t>
      </w:r>
      <w:proofErr w:type="spellStart"/>
      <w:r>
        <w:rPr>
          <w:rStyle w:val="mw-headline"/>
          <w:rFonts w:ascii="Georgia" w:hAnsi="Georgia"/>
          <w:b w:val="0"/>
          <w:bCs w:val="0"/>
          <w:color w:val="000000"/>
        </w:rPr>
        <w:t>f</w:t>
      </w:r>
      <w:r>
        <w:rPr>
          <w:rStyle w:val="mw-headline"/>
          <w:b w:val="0"/>
          <w:bCs w:val="0"/>
          <w:color w:val="000000"/>
        </w:rPr>
        <w:t>ə</w:t>
      </w:r>
      <w:r>
        <w:rPr>
          <w:rStyle w:val="mw-headline"/>
          <w:rFonts w:ascii="Georgia" w:hAnsi="Georgia"/>
          <w:b w:val="0"/>
          <w:bCs w:val="0"/>
          <w:color w:val="000000"/>
        </w:rPr>
        <w:t>aliyy</w:t>
      </w:r>
      <w:r>
        <w:rPr>
          <w:rStyle w:val="mw-headline"/>
          <w:b w:val="0"/>
          <w:bCs w:val="0"/>
          <w:color w:val="000000"/>
        </w:rPr>
        <w:t>ə</w:t>
      </w:r>
      <w:r>
        <w:rPr>
          <w:rStyle w:val="mw-headline"/>
          <w:rFonts w:ascii="Georgia" w:hAnsi="Georgia"/>
          <w:b w:val="0"/>
          <w:bCs w:val="0"/>
          <w:color w:val="000000"/>
        </w:rPr>
        <w:t>ti</w:t>
      </w:r>
      <w:proofErr w:type="spellEnd"/>
    </w:p>
    <w:p w14:paraId="232D8F5A" w14:textId="413778F4" w:rsidR="00FE6915" w:rsidRPr="00FE6915" w:rsidRDefault="00FE6915" w:rsidP="00FE6915">
      <w:pPr>
        <w:jc w:val="center"/>
        <w:rPr>
          <w:sz w:val="28"/>
          <w:szCs w:val="28"/>
          <w:lang w:val="az-Latn-AZ"/>
        </w:rPr>
      </w:pPr>
      <w:r w:rsidRPr="00FE6915">
        <w:rPr>
          <w:sz w:val="28"/>
          <w:szCs w:val="28"/>
          <w:lang w:val="az-Latn-AZ"/>
        </w:rPr>
        <w:t>ARDNŞ bir neçə şəhərdə öz nümayəndəliklərini açıb. Bu şəhərlər arasına İstanbul, Tehran, Astana, Buxarest, Frankfurt, Cenevrə, London, Vyana, Tbilisi, Kiyev şəhərləri aiddir. Rumıniyada ARDNŞ neft-kimya emalı kompleksi tikməyi nəzərdə tutur. Bu zavodda istehsal olunan məhsullar Avropa ölkələrinə göndəriləcək. ARDNŞ-nin Almaniya və Avstriyadakı nümayəndəlikləri Nabukko layihəsinin reallaşdırılması istiqamətində Avropa şirkətləri ilə əməkdaşlıq edirlər. İsveçrədə ARDNŞ-nin törəmə şirkəti olan SOCAR Trading SA 2008-ci ildə açılmışdır. Onun əsas funksiyası Avropada Azərbaycan neftinin satışını təşkil etməkdir. Şirkətin maliyyə fondu 5 milyon İsveçrə frankıdır.</w:t>
      </w:r>
    </w:p>
    <w:p w14:paraId="25E13ADA" w14:textId="77777777" w:rsidR="00FE6915" w:rsidRPr="00FE6915" w:rsidRDefault="00FE6915" w:rsidP="00FE6915">
      <w:pPr>
        <w:jc w:val="center"/>
        <w:rPr>
          <w:sz w:val="28"/>
          <w:szCs w:val="28"/>
          <w:lang w:val="az-Latn-AZ"/>
        </w:rPr>
      </w:pPr>
    </w:p>
    <w:p w14:paraId="034F5BE0" w14:textId="6F0A768C" w:rsidR="00FE6915" w:rsidRPr="00FE6915" w:rsidRDefault="00FE6915" w:rsidP="00A46D11">
      <w:pPr>
        <w:jc w:val="center"/>
        <w:rPr>
          <w:sz w:val="28"/>
          <w:szCs w:val="28"/>
          <w:lang w:val="az-Latn-AZ"/>
        </w:rPr>
      </w:pPr>
      <w:r w:rsidRPr="00FE6915">
        <w:rPr>
          <w:sz w:val="28"/>
          <w:szCs w:val="28"/>
          <w:lang w:val="az-Latn-AZ"/>
        </w:rPr>
        <w:t>2007-ci ildə Türkiyə hökuməti ölkədə ən böyük neftayırma zavodlarından biri olan Petkim zavodunu özəlləşdirməyə çıxarıb. Tenderin qalibi ARDNŞ, Türkiyənin Turcas və Səudiyyə Ərəbistanının İnjas şirkətlərinin qurduğu konsorsium olub. Müəssisənin özəlləşdirilməsinin dəyəri 1,6 milyard dollar olub. Konsorsium 2015-ci ilə qədər zavodun yerləşdiyi ərazidə daha böyük gücə malik ikinci bir neftayırma zavodu tikməyi və mövcud müəssisənin emal gücünü artırmağı planlaşdırır. Konsorsium bu məqsədlə 10 milyard dollar xərcləməyi nəzərdə tutur.</w:t>
      </w:r>
    </w:p>
    <w:p w14:paraId="6C529239" w14:textId="7F72BC6F" w:rsidR="00FE6915" w:rsidRPr="00FE6915" w:rsidRDefault="00FE6915" w:rsidP="00A46D11">
      <w:pPr>
        <w:jc w:val="center"/>
        <w:rPr>
          <w:sz w:val="28"/>
          <w:szCs w:val="28"/>
          <w:lang w:val="az-Latn-AZ"/>
        </w:rPr>
      </w:pPr>
      <w:r w:rsidRPr="00FE6915">
        <w:rPr>
          <w:sz w:val="28"/>
          <w:szCs w:val="28"/>
          <w:lang w:val="az-Latn-AZ"/>
        </w:rPr>
        <w:t>Azərbaycan Dövlət Neft Şirkəti 2011-ci ilin sonunadək Ukraynada 17 yanacaqdoldurma məntəqəsi açmaq niyyətindədir. 2015-ci ilə qədər isə şirkət Rumıniyada 300 yanacaqdoldurma məntəqəsi işə salacaq.</w:t>
      </w:r>
    </w:p>
    <w:p w14:paraId="124EE0BA" w14:textId="2751F937" w:rsidR="00FE6915" w:rsidRPr="00FE6915" w:rsidRDefault="00FE6915" w:rsidP="00FE6915">
      <w:pPr>
        <w:jc w:val="center"/>
        <w:rPr>
          <w:sz w:val="28"/>
          <w:szCs w:val="28"/>
          <w:lang w:val="az-Latn-AZ"/>
        </w:rPr>
      </w:pPr>
      <w:r w:rsidRPr="00FE6915">
        <w:rPr>
          <w:sz w:val="28"/>
          <w:szCs w:val="28"/>
          <w:lang w:val="az-Latn-AZ"/>
        </w:rPr>
        <w:t>16 noyabr 2011-ci ildə ARDNŞ Exxon Mobil şirkətinin İsveçrə filialı olan Esso Schweiz GmbH-ı satın alır.</w:t>
      </w:r>
    </w:p>
    <w:p w14:paraId="2330DA65" w14:textId="08280F72" w:rsidR="00FE6915" w:rsidRDefault="00FE6915" w:rsidP="00FE6915">
      <w:pPr>
        <w:jc w:val="center"/>
        <w:rPr>
          <w:sz w:val="28"/>
          <w:szCs w:val="28"/>
          <w:lang w:val="az-Latn-AZ"/>
        </w:rPr>
      </w:pPr>
      <w:r w:rsidRPr="00FE6915">
        <w:rPr>
          <w:sz w:val="28"/>
          <w:szCs w:val="28"/>
          <w:lang w:val="az-Latn-AZ"/>
        </w:rPr>
        <w:lastRenderedPageBreak/>
        <w:t>2019-cu ildə SOCAR və "Sberbank"ın ortaq müəssisəsi olan "SOCAR Enerqoresurs" Rusiyanın Tümen şəhərində müflis olmaq ərəfəsində olan Antipinsk neft emalı zavodunun səhmlərinin 80%-ni əldə edib. "Antipinsk" neft emalı zavodunun istehsal gücü 9 milyon tondur. 2016-cı ildə bu zavod Rusiyanın 200 böyük özəl müəssisəsi arasında gəlir həcminə görə 43-cü yeri tutub. SOCAR tərəfindən satın alınan zavod yenidən fəaliyyətini bərpa edib. SOCAR Enerqoresurs həmçinin bu zavoda məxsus olan, Rusiyanın Orenburq vilayətində yerləşən neft mədənlərini də alıb.</w:t>
      </w:r>
    </w:p>
    <w:p w14:paraId="5792BFD9" w14:textId="2AE5B897" w:rsidR="00FE6915" w:rsidRDefault="00FE6915" w:rsidP="00FE6915">
      <w:pPr>
        <w:pStyle w:val="Heading2"/>
        <w:pBdr>
          <w:bottom w:val="single" w:sz="6" w:space="0" w:color="A2A9B1"/>
        </w:pBdr>
        <w:shd w:val="clear" w:color="auto" w:fill="FFFFFF"/>
        <w:spacing w:before="240" w:beforeAutospacing="0" w:after="60" w:afterAutospacing="0"/>
        <w:jc w:val="center"/>
        <w:rPr>
          <w:rFonts w:ascii="Georgia" w:hAnsi="Georgia"/>
          <w:b w:val="0"/>
          <w:bCs w:val="0"/>
          <w:color w:val="000000"/>
        </w:rPr>
      </w:pPr>
      <w:bookmarkStart w:id="1" w:name="_Hlk100529566"/>
      <w:proofErr w:type="spellStart"/>
      <w:r>
        <w:rPr>
          <w:rStyle w:val="mw-headline"/>
          <w:rFonts w:ascii="Georgia" w:hAnsi="Georgia"/>
          <w:b w:val="0"/>
          <w:bCs w:val="0"/>
          <w:color w:val="000000"/>
        </w:rPr>
        <w:t>Struktu</w:t>
      </w:r>
      <w:proofErr w:type="spellEnd"/>
    </w:p>
    <w:p w14:paraId="40BD5596" w14:textId="77777777" w:rsidR="00FE6915" w:rsidRPr="00FE6915" w:rsidRDefault="00FE6915" w:rsidP="00FE6915">
      <w:pPr>
        <w:pStyle w:val="ListParagraph"/>
        <w:numPr>
          <w:ilvl w:val="0"/>
          <w:numId w:val="3"/>
        </w:numPr>
        <w:jc w:val="center"/>
        <w:rPr>
          <w:sz w:val="28"/>
          <w:szCs w:val="28"/>
          <w:lang w:val="az-Latn-AZ"/>
        </w:rPr>
      </w:pPr>
      <w:bookmarkStart w:id="2" w:name="_Hlk100529578"/>
      <w:bookmarkEnd w:id="1"/>
      <w:r w:rsidRPr="00FE6915">
        <w:rPr>
          <w:sz w:val="28"/>
          <w:szCs w:val="28"/>
          <w:lang w:val="az-Latn-AZ"/>
        </w:rPr>
        <w:t>Azneft İB</w:t>
      </w:r>
    </w:p>
    <w:p w14:paraId="3A894358" w14:textId="77777777" w:rsidR="00FE6915" w:rsidRPr="00FE6915" w:rsidRDefault="00FE6915" w:rsidP="00FE6915">
      <w:pPr>
        <w:pStyle w:val="ListParagraph"/>
        <w:numPr>
          <w:ilvl w:val="0"/>
          <w:numId w:val="3"/>
        </w:numPr>
        <w:jc w:val="center"/>
        <w:rPr>
          <w:sz w:val="28"/>
          <w:szCs w:val="28"/>
          <w:lang w:val="az-Latn-AZ"/>
        </w:rPr>
      </w:pPr>
      <w:r w:rsidRPr="00FE6915">
        <w:rPr>
          <w:sz w:val="28"/>
          <w:szCs w:val="28"/>
          <w:lang w:val="az-Latn-AZ"/>
        </w:rPr>
        <w:t>Azərbaycan Neft Təsərrüfatı Jurnalı</w:t>
      </w:r>
    </w:p>
    <w:p w14:paraId="3EE9575E" w14:textId="77777777" w:rsidR="00FE6915" w:rsidRPr="00FE6915" w:rsidRDefault="00FE6915" w:rsidP="00FE6915">
      <w:pPr>
        <w:pStyle w:val="ListParagraph"/>
        <w:numPr>
          <w:ilvl w:val="0"/>
          <w:numId w:val="3"/>
        </w:numPr>
        <w:jc w:val="center"/>
        <w:rPr>
          <w:sz w:val="28"/>
          <w:szCs w:val="28"/>
          <w:lang w:val="az-Latn-AZ"/>
        </w:rPr>
      </w:pPr>
      <w:r w:rsidRPr="00FE6915">
        <w:rPr>
          <w:sz w:val="28"/>
          <w:szCs w:val="28"/>
          <w:lang w:val="az-Latn-AZ"/>
        </w:rPr>
        <w:t>Azərikimya İB</w:t>
      </w:r>
    </w:p>
    <w:p w14:paraId="18C9872B" w14:textId="77777777" w:rsidR="00FE6915" w:rsidRPr="00FE6915" w:rsidRDefault="00FE6915" w:rsidP="00FE6915">
      <w:pPr>
        <w:pStyle w:val="ListParagraph"/>
        <w:numPr>
          <w:ilvl w:val="0"/>
          <w:numId w:val="3"/>
        </w:numPr>
        <w:jc w:val="center"/>
        <w:rPr>
          <w:sz w:val="28"/>
          <w:szCs w:val="28"/>
          <w:lang w:val="az-Latn-AZ"/>
        </w:rPr>
      </w:pPr>
      <w:r w:rsidRPr="00FE6915">
        <w:rPr>
          <w:sz w:val="28"/>
          <w:szCs w:val="28"/>
          <w:lang w:val="az-Latn-AZ"/>
        </w:rPr>
        <w:t>Azəriqaz İB</w:t>
      </w:r>
    </w:p>
    <w:p w14:paraId="0653442E" w14:textId="77777777" w:rsidR="00FE6915" w:rsidRPr="00FE6915" w:rsidRDefault="00FE6915" w:rsidP="00FE6915">
      <w:pPr>
        <w:pStyle w:val="ListParagraph"/>
        <w:numPr>
          <w:ilvl w:val="0"/>
          <w:numId w:val="3"/>
        </w:numPr>
        <w:jc w:val="center"/>
        <w:rPr>
          <w:sz w:val="28"/>
          <w:szCs w:val="28"/>
          <w:lang w:val="az-Latn-AZ"/>
        </w:rPr>
      </w:pPr>
      <w:r w:rsidRPr="00FE6915">
        <w:rPr>
          <w:sz w:val="28"/>
          <w:szCs w:val="28"/>
          <w:lang w:val="az-Latn-AZ"/>
        </w:rPr>
        <w:t>Bakı Ali Neft Məktəbi</w:t>
      </w:r>
    </w:p>
    <w:p w14:paraId="436B5E18" w14:textId="77777777" w:rsidR="00FE6915" w:rsidRPr="00FE6915" w:rsidRDefault="00FE6915" w:rsidP="00FE6915">
      <w:pPr>
        <w:pStyle w:val="ListParagraph"/>
        <w:numPr>
          <w:ilvl w:val="0"/>
          <w:numId w:val="3"/>
        </w:numPr>
        <w:jc w:val="center"/>
        <w:rPr>
          <w:sz w:val="28"/>
          <w:szCs w:val="28"/>
          <w:lang w:val="az-Latn-AZ"/>
        </w:rPr>
      </w:pPr>
      <w:r w:rsidRPr="00FE6915">
        <w:rPr>
          <w:sz w:val="28"/>
          <w:szCs w:val="28"/>
          <w:lang w:val="az-Latn-AZ"/>
        </w:rPr>
        <w:t>Ekologiya İdarəsi</w:t>
      </w:r>
    </w:p>
    <w:p w14:paraId="0905A034" w14:textId="77777777" w:rsidR="00FE6915" w:rsidRPr="00FE6915" w:rsidRDefault="00FE6915" w:rsidP="00FE6915">
      <w:pPr>
        <w:pStyle w:val="ListParagraph"/>
        <w:numPr>
          <w:ilvl w:val="0"/>
          <w:numId w:val="3"/>
        </w:numPr>
        <w:jc w:val="center"/>
        <w:rPr>
          <w:sz w:val="28"/>
          <w:szCs w:val="28"/>
          <w:lang w:val="az-Latn-AZ"/>
        </w:rPr>
      </w:pPr>
      <w:r w:rsidRPr="00FE6915">
        <w:rPr>
          <w:sz w:val="28"/>
          <w:szCs w:val="28"/>
          <w:lang w:val="az-Latn-AZ"/>
        </w:rPr>
        <w:t>Fontana Qarşı dağmədənxilasetmə hərbiləşdirilmiş hissəsi</w:t>
      </w:r>
    </w:p>
    <w:p w14:paraId="37DFAA6E" w14:textId="77777777" w:rsidR="00FE6915" w:rsidRPr="00FE6915" w:rsidRDefault="00FE6915" w:rsidP="00FE6915">
      <w:pPr>
        <w:pStyle w:val="ListParagraph"/>
        <w:numPr>
          <w:ilvl w:val="0"/>
          <w:numId w:val="3"/>
        </w:numPr>
        <w:jc w:val="center"/>
        <w:rPr>
          <w:sz w:val="28"/>
          <w:szCs w:val="28"/>
          <w:lang w:val="az-Latn-AZ"/>
        </w:rPr>
      </w:pPr>
      <w:r w:rsidRPr="00FE6915">
        <w:rPr>
          <w:sz w:val="28"/>
          <w:szCs w:val="28"/>
          <w:lang w:val="az-Latn-AZ"/>
        </w:rPr>
        <w:t>Geofizika və Geologiya İdarəsi</w:t>
      </w:r>
    </w:p>
    <w:p w14:paraId="1A9A1900" w14:textId="77777777" w:rsidR="00FE6915" w:rsidRPr="00FE6915" w:rsidRDefault="00FE6915" w:rsidP="00FE6915">
      <w:pPr>
        <w:pStyle w:val="ListParagraph"/>
        <w:numPr>
          <w:ilvl w:val="0"/>
          <w:numId w:val="3"/>
        </w:numPr>
        <w:jc w:val="center"/>
        <w:rPr>
          <w:sz w:val="28"/>
          <w:szCs w:val="28"/>
          <w:lang w:val="az-Latn-AZ"/>
        </w:rPr>
      </w:pPr>
      <w:r w:rsidRPr="00FE6915">
        <w:rPr>
          <w:sz w:val="28"/>
          <w:szCs w:val="28"/>
          <w:lang w:val="az-Latn-AZ"/>
        </w:rPr>
        <w:t>Heydər Əliyev adına Bakı Dərin Özüllər Zavodu</w:t>
      </w:r>
    </w:p>
    <w:p w14:paraId="24BDE314" w14:textId="77777777" w:rsidR="00FE6915" w:rsidRPr="00FE6915" w:rsidRDefault="00FE6915" w:rsidP="00FE6915">
      <w:pPr>
        <w:pStyle w:val="ListParagraph"/>
        <w:numPr>
          <w:ilvl w:val="0"/>
          <w:numId w:val="3"/>
        </w:numPr>
        <w:jc w:val="center"/>
        <w:rPr>
          <w:sz w:val="28"/>
          <w:szCs w:val="28"/>
          <w:lang w:val="az-Latn-AZ"/>
        </w:rPr>
      </w:pPr>
      <w:r w:rsidRPr="00FE6915">
        <w:rPr>
          <w:sz w:val="28"/>
          <w:szCs w:val="28"/>
          <w:lang w:val="az-Latn-AZ"/>
        </w:rPr>
        <w:t>Heydər Əliyev adına Neft Emalı Zavodu</w:t>
      </w:r>
    </w:p>
    <w:p w14:paraId="23BD3415" w14:textId="77777777" w:rsidR="00FE6915" w:rsidRPr="00FE6915" w:rsidRDefault="00FE6915" w:rsidP="00FE6915">
      <w:pPr>
        <w:pStyle w:val="ListParagraph"/>
        <w:numPr>
          <w:ilvl w:val="0"/>
          <w:numId w:val="3"/>
        </w:numPr>
        <w:jc w:val="center"/>
        <w:rPr>
          <w:sz w:val="28"/>
          <w:szCs w:val="28"/>
          <w:lang w:val="az-Latn-AZ"/>
        </w:rPr>
      </w:pPr>
      <w:r w:rsidRPr="00FE6915">
        <w:rPr>
          <w:sz w:val="28"/>
          <w:szCs w:val="28"/>
          <w:lang w:val="az-Latn-AZ"/>
        </w:rPr>
        <w:t>Karbamid Zavodu</w:t>
      </w:r>
    </w:p>
    <w:p w14:paraId="2C83DDDA" w14:textId="77777777" w:rsidR="00FE6915" w:rsidRPr="00FE6915" w:rsidRDefault="00FE6915" w:rsidP="00FE6915">
      <w:pPr>
        <w:pStyle w:val="ListParagraph"/>
        <w:numPr>
          <w:ilvl w:val="0"/>
          <w:numId w:val="3"/>
        </w:numPr>
        <w:jc w:val="center"/>
        <w:rPr>
          <w:sz w:val="28"/>
          <w:szCs w:val="28"/>
          <w:lang w:val="az-Latn-AZ"/>
        </w:rPr>
      </w:pPr>
      <w:r w:rsidRPr="00FE6915">
        <w:rPr>
          <w:sz w:val="28"/>
          <w:szCs w:val="28"/>
          <w:lang w:val="az-Latn-AZ"/>
        </w:rPr>
        <w:t>Kompleks Qazma İşləri Tresti</w:t>
      </w:r>
    </w:p>
    <w:p w14:paraId="59E2ADF7" w14:textId="77777777" w:rsidR="00FE6915" w:rsidRPr="00FE6915" w:rsidRDefault="00FE6915" w:rsidP="00FE6915">
      <w:pPr>
        <w:pStyle w:val="ListParagraph"/>
        <w:numPr>
          <w:ilvl w:val="0"/>
          <w:numId w:val="3"/>
        </w:numPr>
        <w:jc w:val="center"/>
        <w:rPr>
          <w:sz w:val="28"/>
          <w:szCs w:val="28"/>
          <w:lang w:val="az-Latn-AZ"/>
        </w:rPr>
      </w:pPr>
      <w:r w:rsidRPr="00FE6915">
        <w:rPr>
          <w:sz w:val="28"/>
          <w:szCs w:val="28"/>
          <w:lang w:val="az-Latn-AZ"/>
        </w:rPr>
        <w:t>Marketinq və İqtisadi Əməliyyatlar İdarəsi</w:t>
      </w:r>
    </w:p>
    <w:p w14:paraId="6838B84A" w14:textId="77777777" w:rsidR="00FE6915" w:rsidRPr="00FE6915" w:rsidRDefault="00FE6915" w:rsidP="00FE6915">
      <w:pPr>
        <w:pStyle w:val="ListParagraph"/>
        <w:numPr>
          <w:ilvl w:val="0"/>
          <w:numId w:val="3"/>
        </w:numPr>
        <w:jc w:val="center"/>
        <w:rPr>
          <w:sz w:val="28"/>
          <w:szCs w:val="28"/>
          <w:lang w:val="az-Latn-AZ"/>
        </w:rPr>
      </w:pPr>
      <w:r w:rsidRPr="00FE6915">
        <w:rPr>
          <w:sz w:val="28"/>
          <w:szCs w:val="28"/>
          <w:lang w:val="az-Latn-AZ"/>
        </w:rPr>
        <w:t>Neft Qaz Emalı Neft Kimya Kompleksi</w:t>
      </w:r>
    </w:p>
    <w:p w14:paraId="6302EDBC" w14:textId="77777777" w:rsidR="00FE6915" w:rsidRPr="00FE6915" w:rsidRDefault="00FE6915" w:rsidP="00FE6915">
      <w:pPr>
        <w:pStyle w:val="ListParagraph"/>
        <w:numPr>
          <w:ilvl w:val="0"/>
          <w:numId w:val="3"/>
        </w:numPr>
        <w:jc w:val="center"/>
        <w:rPr>
          <w:sz w:val="28"/>
          <w:szCs w:val="28"/>
          <w:lang w:val="az-Latn-AZ"/>
        </w:rPr>
      </w:pPr>
      <w:r w:rsidRPr="00FE6915">
        <w:rPr>
          <w:sz w:val="28"/>
          <w:szCs w:val="28"/>
          <w:lang w:val="az-Latn-AZ"/>
        </w:rPr>
        <w:t>Neft Kəmərləri İdarəsi</w:t>
      </w:r>
    </w:p>
    <w:p w14:paraId="026732FF" w14:textId="77777777" w:rsidR="00FE6915" w:rsidRPr="00FE6915" w:rsidRDefault="00FE6915" w:rsidP="00FE6915">
      <w:pPr>
        <w:pStyle w:val="ListParagraph"/>
        <w:numPr>
          <w:ilvl w:val="0"/>
          <w:numId w:val="3"/>
        </w:numPr>
        <w:jc w:val="center"/>
        <w:rPr>
          <w:sz w:val="28"/>
          <w:szCs w:val="28"/>
          <w:lang w:val="az-Latn-AZ"/>
        </w:rPr>
      </w:pPr>
      <w:r w:rsidRPr="00FE6915">
        <w:rPr>
          <w:sz w:val="28"/>
          <w:szCs w:val="28"/>
          <w:lang w:val="az-Latn-AZ"/>
        </w:rPr>
        <w:t>Neftqazelmitədqiqatlayihə İnstitutu</w:t>
      </w:r>
    </w:p>
    <w:p w14:paraId="4C1C111D" w14:textId="77777777" w:rsidR="00FE6915" w:rsidRPr="00FE6915" w:rsidRDefault="00FE6915" w:rsidP="00FE6915">
      <w:pPr>
        <w:pStyle w:val="ListParagraph"/>
        <w:numPr>
          <w:ilvl w:val="0"/>
          <w:numId w:val="3"/>
        </w:numPr>
        <w:jc w:val="center"/>
        <w:rPr>
          <w:sz w:val="28"/>
          <w:szCs w:val="28"/>
          <w:lang w:val="az-Latn-AZ"/>
        </w:rPr>
      </w:pPr>
      <w:r w:rsidRPr="00FE6915">
        <w:rPr>
          <w:sz w:val="28"/>
          <w:szCs w:val="28"/>
          <w:lang w:val="az-Latn-AZ"/>
        </w:rPr>
        <w:t>Neftqaztikinti tresti</w:t>
      </w:r>
    </w:p>
    <w:p w14:paraId="6BC97361" w14:textId="77777777" w:rsidR="00FE6915" w:rsidRPr="00FE6915" w:rsidRDefault="00FE6915" w:rsidP="00FE6915">
      <w:pPr>
        <w:pStyle w:val="ListParagraph"/>
        <w:numPr>
          <w:ilvl w:val="0"/>
          <w:numId w:val="3"/>
        </w:numPr>
        <w:jc w:val="center"/>
        <w:rPr>
          <w:sz w:val="28"/>
          <w:szCs w:val="28"/>
          <w:lang w:val="az-Latn-AZ"/>
        </w:rPr>
      </w:pPr>
      <w:r w:rsidRPr="00FE6915">
        <w:rPr>
          <w:sz w:val="28"/>
          <w:szCs w:val="28"/>
          <w:lang w:val="az-Latn-AZ"/>
        </w:rPr>
        <w:t>Nəqliyyat İdarəsi</w:t>
      </w:r>
    </w:p>
    <w:p w14:paraId="2A5C4C05" w14:textId="77777777" w:rsidR="00FE6915" w:rsidRPr="00FE6915" w:rsidRDefault="00FE6915" w:rsidP="00FE6915">
      <w:pPr>
        <w:pStyle w:val="ListParagraph"/>
        <w:numPr>
          <w:ilvl w:val="0"/>
          <w:numId w:val="3"/>
        </w:numPr>
        <w:jc w:val="center"/>
        <w:rPr>
          <w:sz w:val="28"/>
          <w:szCs w:val="28"/>
          <w:lang w:val="az-Latn-AZ"/>
        </w:rPr>
      </w:pPr>
      <w:r w:rsidRPr="00FE6915">
        <w:rPr>
          <w:sz w:val="28"/>
          <w:szCs w:val="28"/>
          <w:lang w:val="az-Latn-AZ"/>
        </w:rPr>
        <w:t>Qaz Emalı Zavodu</w:t>
      </w:r>
    </w:p>
    <w:p w14:paraId="31DD385B" w14:textId="77777777" w:rsidR="00FE6915" w:rsidRPr="00FE6915" w:rsidRDefault="00FE6915" w:rsidP="00FE6915">
      <w:pPr>
        <w:pStyle w:val="ListParagraph"/>
        <w:numPr>
          <w:ilvl w:val="0"/>
          <w:numId w:val="3"/>
        </w:numPr>
        <w:jc w:val="center"/>
        <w:rPr>
          <w:sz w:val="28"/>
          <w:szCs w:val="28"/>
          <w:lang w:val="az-Latn-AZ"/>
        </w:rPr>
      </w:pPr>
      <w:r w:rsidRPr="00FE6915">
        <w:rPr>
          <w:sz w:val="28"/>
          <w:szCs w:val="28"/>
          <w:lang w:val="az-Latn-AZ"/>
        </w:rPr>
        <w:t>Qaz İxrac İdarəsi</w:t>
      </w:r>
    </w:p>
    <w:p w14:paraId="0EC7BB0D" w14:textId="77777777" w:rsidR="00FE6915" w:rsidRPr="00FE6915" w:rsidRDefault="00FE6915" w:rsidP="00FE6915">
      <w:pPr>
        <w:pStyle w:val="ListParagraph"/>
        <w:numPr>
          <w:ilvl w:val="0"/>
          <w:numId w:val="3"/>
        </w:numPr>
        <w:jc w:val="center"/>
        <w:rPr>
          <w:sz w:val="28"/>
          <w:szCs w:val="28"/>
          <w:lang w:val="az-Latn-AZ"/>
        </w:rPr>
      </w:pPr>
      <w:r w:rsidRPr="00FE6915">
        <w:rPr>
          <w:sz w:val="28"/>
          <w:szCs w:val="28"/>
          <w:lang w:val="az-Latn-AZ"/>
        </w:rPr>
        <w:t>Sosial İnkişaf İdarəsi</w:t>
      </w:r>
    </w:p>
    <w:p w14:paraId="1F5F99D9" w14:textId="77777777" w:rsidR="00FE6915" w:rsidRPr="00FE6915" w:rsidRDefault="00FE6915" w:rsidP="00FE6915">
      <w:pPr>
        <w:pStyle w:val="ListParagraph"/>
        <w:numPr>
          <w:ilvl w:val="0"/>
          <w:numId w:val="3"/>
        </w:numPr>
        <w:jc w:val="center"/>
        <w:rPr>
          <w:sz w:val="28"/>
          <w:szCs w:val="28"/>
          <w:lang w:val="az-Latn-AZ"/>
        </w:rPr>
      </w:pPr>
      <w:r w:rsidRPr="00FE6915">
        <w:rPr>
          <w:sz w:val="28"/>
          <w:szCs w:val="28"/>
          <w:lang w:val="az-Latn-AZ"/>
        </w:rPr>
        <w:t>Sərmayələr İdarəsi</w:t>
      </w:r>
    </w:p>
    <w:p w14:paraId="319DCF2F" w14:textId="77777777" w:rsidR="00FE6915" w:rsidRPr="00FE6915" w:rsidRDefault="00FE6915" w:rsidP="00FE6915">
      <w:pPr>
        <w:pStyle w:val="ListParagraph"/>
        <w:numPr>
          <w:ilvl w:val="0"/>
          <w:numId w:val="3"/>
        </w:numPr>
        <w:jc w:val="center"/>
        <w:rPr>
          <w:sz w:val="28"/>
          <w:szCs w:val="28"/>
          <w:lang w:val="az-Latn-AZ"/>
        </w:rPr>
      </w:pPr>
      <w:r w:rsidRPr="00FE6915">
        <w:rPr>
          <w:sz w:val="28"/>
          <w:szCs w:val="28"/>
          <w:lang w:val="az-Latn-AZ"/>
        </w:rPr>
        <w:t>Təhlükəsizlik İdarəsi</w:t>
      </w:r>
    </w:p>
    <w:p w14:paraId="0E21FE24" w14:textId="77777777" w:rsidR="00FE6915" w:rsidRPr="00FE6915" w:rsidRDefault="00FE6915" w:rsidP="00FE6915">
      <w:pPr>
        <w:pStyle w:val="ListParagraph"/>
        <w:numPr>
          <w:ilvl w:val="0"/>
          <w:numId w:val="3"/>
        </w:numPr>
        <w:jc w:val="center"/>
        <w:rPr>
          <w:sz w:val="28"/>
          <w:szCs w:val="28"/>
          <w:lang w:val="az-Latn-AZ"/>
        </w:rPr>
      </w:pPr>
      <w:r w:rsidRPr="00FE6915">
        <w:rPr>
          <w:sz w:val="28"/>
          <w:szCs w:val="28"/>
          <w:lang w:val="az-Latn-AZ"/>
        </w:rPr>
        <w:t>Təlim Tədris və Sertifikatlaşdırma İdarəsi</w:t>
      </w:r>
    </w:p>
    <w:p w14:paraId="491F6A2B" w14:textId="77777777" w:rsidR="00FE6915" w:rsidRPr="00FE6915" w:rsidRDefault="00FE6915" w:rsidP="00FE6915">
      <w:pPr>
        <w:pStyle w:val="ListParagraph"/>
        <w:numPr>
          <w:ilvl w:val="0"/>
          <w:numId w:val="3"/>
        </w:numPr>
        <w:jc w:val="center"/>
        <w:rPr>
          <w:sz w:val="28"/>
          <w:szCs w:val="28"/>
          <w:lang w:val="az-Latn-AZ"/>
        </w:rPr>
      </w:pPr>
      <w:r w:rsidRPr="00FE6915">
        <w:rPr>
          <w:sz w:val="28"/>
          <w:szCs w:val="28"/>
          <w:lang w:val="az-Latn-AZ"/>
        </w:rPr>
        <w:t>İnformasiya Texnologiyaları və Rabitə İdarəsi</w:t>
      </w:r>
    </w:p>
    <w:p w14:paraId="03E543FC" w14:textId="312E824C" w:rsidR="00FE6915" w:rsidRDefault="00FE6915" w:rsidP="00FE6915">
      <w:pPr>
        <w:pStyle w:val="ListParagraph"/>
        <w:numPr>
          <w:ilvl w:val="0"/>
          <w:numId w:val="3"/>
        </w:numPr>
        <w:jc w:val="center"/>
        <w:rPr>
          <w:sz w:val="28"/>
          <w:szCs w:val="28"/>
          <w:lang w:val="az-Latn-AZ"/>
        </w:rPr>
      </w:pPr>
      <w:r w:rsidRPr="00FE6915">
        <w:rPr>
          <w:sz w:val="28"/>
          <w:szCs w:val="28"/>
          <w:lang w:val="az-Latn-AZ"/>
        </w:rPr>
        <w:lastRenderedPageBreak/>
        <w:t>Əmək şəraiti normalaırının işlənməsi idarəsi</w:t>
      </w:r>
    </w:p>
    <w:bookmarkEnd w:id="2"/>
    <w:p w14:paraId="60497C04" w14:textId="51568C4D" w:rsidR="00FE6915" w:rsidRDefault="00FE6915" w:rsidP="00FE6915">
      <w:pPr>
        <w:ind w:left="360"/>
        <w:rPr>
          <w:sz w:val="28"/>
          <w:szCs w:val="28"/>
          <w:lang w:val="az-Latn-AZ"/>
        </w:rPr>
      </w:pPr>
    </w:p>
    <w:p w14:paraId="681CA063" w14:textId="77777777" w:rsidR="00FE6915" w:rsidRDefault="00FE6915" w:rsidP="00FE6915">
      <w:pPr>
        <w:pStyle w:val="Heading2"/>
        <w:pBdr>
          <w:bottom w:val="single" w:sz="6" w:space="0" w:color="A2A9B1"/>
        </w:pBdr>
        <w:shd w:val="clear" w:color="auto" w:fill="FFFFFF"/>
        <w:spacing w:before="240" w:beforeAutospacing="0" w:after="60" w:afterAutospacing="0"/>
        <w:jc w:val="center"/>
        <w:rPr>
          <w:rFonts w:ascii="Georgia" w:hAnsi="Georgia"/>
          <w:b w:val="0"/>
          <w:bCs w:val="0"/>
          <w:color w:val="000000"/>
        </w:rPr>
      </w:pPr>
      <w:proofErr w:type="spellStart"/>
      <w:r>
        <w:rPr>
          <w:rStyle w:val="mw-headline"/>
          <w:rFonts w:ascii="Georgia" w:hAnsi="Georgia"/>
          <w:b w:val="0"/>
          <w:bCs w:val="0"/>
          <w:color w:val="000000"/>
        </w:rPr>
        <w:t>R</w:t>
      </w:r>
      <w:r>
        <w:rPr>
          <w:rStyle w:val="mw-headline"/>
          <w:b w:val="0"/>
          <w:bCs w:val="0"/>
          <w:color w:val="000000"/>
        </w:rPr>
        <w:t>ə</w:t>
      </w:r>
      <w:r>
        <w:rPr>
          <w:rStyle w:val="mw-headline"/>
          <w:rFonts w:ascii="Georgia" w:hAnsi="Georgia"/>
          <w:b w:val="0"/>
          <w:bCs w:val="0"/>
          <w:color w:val="000000"/>
        </w:rPr>
        <w:t>hb</w:t>
      </w:r>
      <w:r>
        <w:rPr>
          <w:rStyle w:val="mw-headline"/>
          <w:b w:val="0"/>
          <w:bCs w:val="0"/>
          <w:color w:val="000000"/>
        </w:rPr>
        <w:t>ə</w:t>
      </w:r>
      <w:r>
        <w:rPr>
          <w:rStyle w:val="mw-headline"/>
          <w:rFonts w:ascii="Georgia" w:hAnsi="Georgia"/>
          <w:b w:val="0"/>
          <w:bCs w:val="0"/>
          <w:color w:val="000000"/>
        </w:rPr>
        <w:t>rlik</w:t>
      </w:r>
      <w:proofErr w:type="spellEnd"/>
    </w:p>
    <w:p w14:paraId="070830CB" w14:textId="6EC72FB7" w:rsidR="00FE6915" w:rsidRPr="00FE6915" w:rsidRDefault="00FE6915" w:rsidP="00FE6915">
      <w:pPr>
        <w:rPr>
          <w:sz w:val="28"/>
          <w:szCs w:val="28"/>
          <w:lang w:val="az-Latn-AZ"/>
        </w:rPr>
      </w:pPr>
      <w:r w:rsidRPr="00FE6915">
        <w:rPr>
          <w:sz w:val="28"/>
          <w:szCs w:val="28"/>
          <w:lang w:val="az-Latn-AZ"/>
        </w:rPr>
        <w:t>ARDNŞ-nin 2005–2022-ci illərdə rəhbəri Rövnəq Abdullayev olub. Geologiya, geofizika və yataqların işlənməsi üzrə birinci vitse-prezidenti Xoşbəxt Yusifzadə, İqtisadi məsələlər üzrə vitse-prezident Süleyman Qasımov, Emal üzrə vitse-prezidenti David Məmmədov, Sosial məsələlər üzrə vitse-prezidenti Bədəl Bədəlov, Kadr, Rejim və İnformasiya texnologiyaları üzrə vitse-prezidenti Xalik Məmmədov, Neftin, qazın hasilatı və nəqli üzrə vitse-prezidenti Rəhman Qurbanov, Strateji inkişaf üzrə vitse-prezidenti Tofiq Qəhrəmanov, Sərmayələr və marketinq üzrə vitse-prezidenti Elşad Nəsirovdur.vitse-prezident Mikayıl İsmayılovdur.</w:t>
      </w:r>
    </w:p>
    <w:p w14:paraId="38869B95" w14:textId="77777777" w:rsidR="00FE6915" w:rsidRPr="00FE6915" w:rsidRDefault="00FE6915" w:rsidP="00FE6915">
      <w:pPr>
        <w:rPr>
          <w:sz w:val="28"/>
          <w:szCs w:val="28"/>
          <w:lang w:val="az-Latn-AZ"/>
        </w:rPr>
      </w:pPr>
    </w:p>
    <w:sectPr w:rsidR="00FE6915" w:rsidRPr="00FE6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60B12"/>
    <w:multiLevelType w:val="multilevel"/>
    <w:tmpl w:val="EB6417D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0EB4BD6"/>
    <w:multiLevelType w:val="hybridMultilevel"/>
    <w:tmpl w:val="482C4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24149F"/>
    <w:multiLevelType w:val="multilevel"/>
    <w:tmpl w:val="BE069D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102137398">
    <w:abstractNumId w:val="0"/>
  </w:num>
  <w:num w:numId="2" w16cid:durableId="1366901588">
    <w:abstractNumId w:val="2"/>
  </w:num>
  <w:num w:numId="3" w16cid:durableId="1820226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DA0"/>
    <w:rsid w:val="00976DA0"/>
    <w:rsid w:val="00A0734F"/>
    <w:rsid w:val="00A46D11"/>
    <w:rsid w:val="00B56139"/>
    <w:rsid w:val="00C6439A"/>
    <w:rsid w:val="00D27064"/>
    <w:rsid w:val="00F82E1E"/>
    <w:rsid w:val="00F93D21"/>
    <w:rsid w:val="00FE6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BDB16"/>
  <w15:chartTrackingRefBased/>
  <w15:docId w15:val="{4EA9550B-BA0C-4BDF-9FCC-41A973D85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073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734F"/>
    <w:rPr>
      <w:rFonts w:ascii="Times New Roman" w:eastAsia="Times New Roman" w:hAnsi="Times New Roman" w:cs="Times New Roman"/>
      <w:b/>
      <w:bCs/>
      <w:sz w:val="36"/>
      <w:szCs w:val="36"/>
    </w:rPr>
  </w:style>
  <w:style w:type="character" w:customStyle="1" w:styleId="mw-headline">
    <w:name w:val="mw-headline"/>
    <w:basedOn w:val="DefaultParagraphFont"/>
    <w:rsid w:val="00A0734F"/>
  </w:style>
  <w:style w:type="character" w:customStyle="1" w:styleId="mw-editsection">
    <w:name w:val="mw-editsection"/>
    <w:basedOn w:val="DefaultParagraphFont"/>
    <w:rsid w:val="00A0734F"/>
  </w:style>
  <w:style w:type="character" w:customStyle="1" w:styleId="mw-editsection-bracket">
    <w:name w:val="mw-editsection-bracket"/>
    <w:basedOn w:val="DefaultParagraphFont"/>
    <w:rsid w:val="00A0734F"/>
  </w:style>
  <w:style w:type="character" w:styleId="Hyperlink">
    <w:name w:val="Hyperlink"/>
    <w:basedOn w:val="DefaultParagraphFont"/>
    <w:uiPriority w:val="99"/>
    <w:semiHidden/>
    <w:unhideWhenUsed/>
    <w:rsid w:val="00A0734F"/>
    <w:rPr>
      <w:color w:val="0000FF"/>
      <w:u w:val="single"/>
    </w:rPr>
  </w:style>
  <w:style w:type="character" w:customStyle="1" w:styleId="mw-editsection-divider">
    <w:name w:val="mw-editsection-divider"/>
    <w:basedOn w:val="DefaultParagraphFont"/>
    <w:rsid w:val="00A0734F"/>
  </w:style>
  <w:style w:type="paragraph" w:styleId="ListParagraph">
    <w:name w:val="List Paragraph"/>
    <w:basedOn w:val="Normal"/>
    <w:uiPriority w:val="34"/>
    <w:qFormat/>
    <w:rsid w:val="00FE69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787495">
      <w:bodyDiv w:val="1"/>
      <w:marLeft w:val="0"/>
      <w:marRight w:val="0"/>
      <w:marTop w:val="0"/>
      <w:marBottom w:val="0"/>
      <w:divBdr>
        <w:top w:val="none" w:sz="0" w:space="0" w:color="auto"/>
        <w:left w:val="none" w:sz="0" w:space="0" w:color="auto"/>
        <w:bottom w:val="none" w:sz="0" w:space="0" w:color="auto"/>
        <w:right w:val="none" w:sz="0" w:space="0" w:color="auto"/>
      </w:divBdr>
    </w:div>
    <w:div w:id="407579895">
      <w:bodyDiv w:val="1"/>
      <w:marLeft w:val="0"/>
      <w:marRight w:val="0"/>
      <w:marTop w:val="0"/>
      <w:marBottom w:val="0"/>
      <w:divBdr>
        <w:top w:val="none" w:sz="0" w:space="0" w:color="auto"/>
        <w:left w:val="none" w:sz="0" w:space="0" w:color="auto"/>
        <w:bottom w:val="none" w:sz="0" w:space="0" w:color="auto"/>
        <w:right w:val="none" w:sz="0" w:space="0" w:color="auto"/>
      </w:divBdr>
    </w:div>
    <w:div w:id="603610580">
      <w:bodyDiv w:val="1"/>
      <w:marLeft w:val="0"/>
      <w:marRight w:val="0"/>
      <w:marTop w:val="0"/>
      <w:marBottom w:val="0"/>
      <w:divBdr>
        <w:top w:val="none" w:sz="0" w:space="0" w:color="auto"/>
        <w:left w:val="none" w:sz="0" w:space="0" w:color="auto"/>
        <w:bottom w:val="none" w:sz="0" w:space="0" w:color="auto"/>
        <w:right w:val="none" w:sz="0" w:space="0" w:color="auto"/>
      </w:divBdr>
    </w:div>
    <w:div w:id="634026530">
      <w:bodyDiv w:val="1"/>
      <w:marLeft w:val="0"/>
      <w:marRight w:val="0"/>
      <w:marTop w:val="0"/>
      <w:marBottom w:val="0"/>
      <w:divBdr>
        <w:top w:val="none" w:sz="0" w:space="0" w:color="auto"/>
        <w:left w:val="none" w:sz="0" w:space="0" w:color="auto"/>
        <w:bottom w:val="none" w:sz="0" w:space="0" w:color="auto"/>
        <w:right w:val="none" w:sz="0" w:space="0" w:color="auto"/>
      </w:divBdr>
    </w:div>
    <w:div w:id="772239274">
      <w:bodyDiv w:val="1"/>
      <w:marLeft w:val="0"/>
      <w:marRight w:val="0"/>
      <w:marTop w:val="0"/>
      <w:marBottom w:val="0"/>
      <w:divBdr>
        <w:top w:val="none" w:sz="0" w:space="0" w:color="auto"/>
        <w:left w:val="none" w:sz="0" w:space="0" w:color="auto"/>
        <w:bottom w:val="none" w:sz="0" w:space="0" w:color="auto"/>
        <w:right w:val="none" w:sz="0" w:space="0" w:color="auto"/>
      </w:divBdr>
    </w:div>
    <w:div w:id="844707318">
      <w:bodyDiv w:val="1"/>
      <w:marLeft w:val="0"/>
      <w:marRight w:val="0"/>
      <w:marTop w:val="0"/>
      <w:marBottom w:val="0"/>
      <w:divBdr>
        <w:top w:val="none" w:sz="0" w:space="0" w:color="auto"/>
        <w:left w:val="none" w:sz="0" w:space="0" w:color="auto"/>
        <w:bottom w:val="none" w:sz="0" w:space="0" w:color="auto"/>
        <w:right w:val="none" w:sz="0" w:space="0" w:color="auto"/>
      </w:divBdr>
    </w:div>
    <w:div w:id="1127316574">
      <w:bodyDiv w:val="1"/>
      <w:marLeft w:val="0"/>
      <w:marRight w:val="0"/>
      <w:marTop w:val="0"/>
      <w:marBottom w:val="0"/>
      <w:divBdr>
        <w:top w:val="none" w:sz="0" w:space="0" w:color="auto"/>
        <w:left w:val="none" w:sz="0" w:space="0" w:color="auto"/>
        <w:bottom w:val="none" w:sz="0" w:space="0" w:color="auto"/>
        <w:right w:val="none" w:sz="0" w:space="0" w:color="auto"/>
      </w:divBdr>
    </w:div>
    <w:div w:id="1469780393">
      <w:bodyDiv w:val="1"/>
      <w:marLeft w:val="0"/>
      <w:marRight w:val="0"/>
      <w:marTop w:val="0"/>
      <w:marBottom w:val="0"/>
      <w:divBdr>
        <w:top w:val="none" w:sz="0" w:space="0" w:color="auto"/>
        <w:left w:val="none" w:sz="0" w:space="0" w:color="auto"/>
        <w:bottom w:val="none" w:sz="0" w:space="0" w:color="auto"/>
        <w:right w:val="none" w:sz="0" w:space="0" w:color="auto"/>
      </w:divBdr>
    </w:div>
    <w:div w:id="1496458030">
      <w:bodyDiv w:val="1"/>
      <w:marLeft w:val="0"/>
      <w:marRight w:val="0"/>
      <w:marTop w:val="0"/>
      <w:marBottom w:val="0"/>
      <w:divBdr>
        <w:top w:val="none" w:sz="0" w:space="0" w:color="auto"/>
        <w:left w:val="none" w:sz="0" w:space="0" w:color="auto"/>
        <w:bottom w:val="none" w:sz="0" w:space="0" w:color="auto"/>
        <w:right w:val="none" w:sz="0" w:space="0" w:color="auto"/>
      </w:divBdr>
    </w:div>
    <w:div w:id="1512069466">
      <w:bodyDiv w:val="1"/>
      <w:marLeft w:val="0"/>
      <w:marRight w:val="0"/>
      <w:marTop w:val="0"/>
      <w:marBottom w:val="0"/>
      <w:divBdr>
        <w:top w:val="none" w:sz="0" w:space="0" w:color="auto"/>
        <w:left w:val="none" w:sz="0" w:space="0" w:color="auto"/>
        <w:bottom w:val="none" w:sz="0" w:space="0" w:color="auto"/>
        <w:right w:val="none" w:sz="0" w:space="0" w:color="auto"/>
      </w:divBdr>
    </w:div>
    <w:div w:id="1715694325">
      <w:bodyDiv w:val="1"/>
      <w:marLeft w:val="0"/>
      <w:marRight w:val="0"/>
      <w:marTop w:val="0"/>
      <w:marBottom w:val="0"/>
      <w:divBdr>
        <w:top w:val="none" w:sz="0" w:space="0" w:color="auto"/>
        <w:left w:val="none" w:sz="0" w:space="0" w:color="auto"/>
        <w:bottom w:val="none" w:sz="0" w:space="0" w:color="auto"/>
        <w:right w:val="none" w:sz="0" w:space="0" w:color="auto"/>
      </w:divBdr>
    </w:div>
    <w:div w:id="1869222570">
      <w:bodyDiv w:val="1"/>
      <w:marLeft w:val="0"/>
      <w:marRight w:val="0"/>
      <w:marTop w:val="0"/>
      <w:marBottom w:val="0"/>
      <w:divBdr>
        <w:top w:val="none" w:sz="0" w:space="0" w:color="auto"/>
        <w:left w:val="none" w:sz="0" w:space="0" w:color="auto"/>
        <w:bottom w:val="none" w:sz="0" w:space="0" w:color="auto"/>
        <w:right w:val="none" w:sz="0" w:space="0" w:color="auto"/>
      </w:divBdr>
    </w:div>
    <w:div w:id="198485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1574</Words>
  <Characters>8975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SPecialiST RePack</Company>
  <LinksUpToDate>false</LinksUpToDate>
  <CharactersWithSpaces>10528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kamran ferzeliyev</dc:creator>
  <cp:keywords/>
  <dc:description/>
  <cp:lastModifiedBy>kamran ferzeliyev</cp:lastModifiedBy>
  <cp:revision>4</cp:revision>
  <dcterms:created xsi:type="dcterms:W3CDTF">2022-04-10T07:30:00Z</dcterms:created>
  <dcterms:modified xsi:type="dcterms:W3CDTF">2022-04-10T20:36:00Z</dcterms:modified>
</cp:coreProperties>
</file>