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Failure Modes in Rechargeable Zinc-Air Batteries</w:t>
      </w:r>
    </w:p>
    <w:p>
      <w:r>
        <w:t>Rechargeable zinc-air batteries are attractive for grid storage because they combine a high theoretical energy density of 1086 Wh/kg with low-cost, abundant materials. During discharge, the zinc anode is oxidized to zincate, Zn(OH)4^2-, which decomposes to ZnO once the electrolyte becomes locally saturated. At the air cathode, the oxygen reduction reaction consumes O2 and produces OH-, sustaining the alkaline environment. On charge, the oxygen evolution reaction regenerates O2 at a substantial overpotential, and this asymmetry limits the round-trip efficiency to roughly 60% in most reported cells [1].</w:t>
      </w:r>
    </w:p>
    <w:p>
      <w:r>
        <w:t>The air cathode is the principal source of loss. A practical electrode must host a bifunctional catalyst that is active for both the oxygen reduction reaction and the oxygen evolution reaction, yet few materials tolerate the oxidizing potentials near 2.0 V without corrosion. Carbon supports, though conductive and porous, are themselves oxidized above 1.65 V, which degrades the gas diffusion layer and floods the triple-phase boundary. Researchers have therefore explored perovskites such as LaNiO3, spinels like Co3O4, and nitrogen-doped carbons as more stable alternatives [2].</w:t>
      </w:r>
    </w:p>
    <w:p>
      <w:r>
        <w:t>The zinc anode introduces a second set of problems. Repeated stripping and plating redistributes the active material, producing dendrites that can pierce the separator and short the cell. Passivation by a dense ZnO film raises the internal resistance and lowers the accessible specific capacity, often below 400 mAh/g in practice, far from the theoretical 820 mAh/g. Additives such as bismuth oxide and organic surfactants suppress dendrite growth, but they frequently reduce the coulombic efficiency at the same time [3].</w:t>
      </w:r>
    </w:p>
    <w:p>
      <w:r>
        <w:t>Carbonation is a slower, insidious failure mode. Atmospheric CO2 diffuses through the cathode and reacts with the KOH electrolyte to form K2CO3, which precipitates in the pores, blocks oxygen transport, and steadily raises the overpotential. Because the reaction is thermodynamically favorable, sealing and CO2 scrubbing only delay it rather than prevent it. Reported cells lose a measurable fraction of their capacity within a few hundred cycles once carbonation begins.</w:t>
      </w:r>
    </w:p>
    <w:p>
      <w:r>
        <w:t>Taken together, these mechanisms are coupled rather than independent. A catalyst chosen for a low oxygen evolution reaction overpotential may accelerate carbon corrosion; an additive that protects the zinc anode may poison the catalyst; increasing the current density to raise power density worsens both dendrite formation and local heating. This coupling explains why single-parameter optimization rarely translates into longer cycle life, and why the field still lacks a common reporting standard that would let independent groups compare round-trip efficiency, energy density, and cycle life on equal terms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