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2025-12-31</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2"/>
      </w:pPr>
      <w:r>
        <w:t xml:space="preserve">1 Introduction</w:t>
      </w:r>
    </w:p>
    <w:p>
      <w:pPr>
        <w:pStyle w:val="FirstParagraph"/>
      </w:pPr>
      <w:r>
        <w:t xml:space="preserve">Statistics I can point out</w:t>
      </w:r>
    </w:p>
    <w:p>
      <w:pPr>
        <w:numPr>
          <w:ilvl w:val="0"/>
          <w:numId w:val="1001"/>
        </w:numPr>
      </w:pPr>
      <w:r>
        <w:t xml:space="preserve">The amount of budget allocated to transportation is more than it was a century ago</w:t>
      </w:r>
      <w:r>
        <w:t xml:space="preserve"> </w:t>
      </w:r>
      <w:r>
        <w:t xml:space="preserve">(Johnson, Rogers, and Tan 2001)</w:t>
      </w:r>
      <w:r>
        <w:t xml:space="preserve"> </w:t>
      </w:r>
      <w:r>
        <w:t xml:space="preserve">but, in the past few decades it hasn’t changed much</w:t>
      </w:r>
      <w:r>
        <w:t xml:space="preserve"> </w:t>
      </w:r>
      <w:r>
        <w:t xml:space="preserve">(Bureau of Transportation Statistics 2024)</w:t>
      </w:r>
    </w:p>
    <w:p>
      <w:pPr>
        <w:numPr>
          <w:ilvl w:val="0"/>
          <w:numId w:val="1001"/>
        </w:numPr>
      </w:pPr>
      <w:r>
        <w:t xml:space="preserve">How much does the average household spend on transportaiton? I can probably get some good data from</w:t>
      </w:r>
      <w:r>
        <w:t xml:space="preserve"> </w:t>
      </w:r>
      <w:r>
        <w:t xml:space="preserve">Bureau of Transportation Statistics (2024)</w:t>
      </w:r>
    </w:p>
    <w:p>
      <w:pPr>
        <w:numPr>
          <w:ilvl w:val="1"/>
          <w:numId w:val="1002"/>
        </w:numPr>
      </w:pPr>
      <w:r>
        <w:t xml:space="preserve">rural averages about 2.5 vehicles per household and urban averages about 1.7</w:t>
      </w:r>
    </w:p>
    <w:p>
      <w:pPr>
        <w:numPr>
          <w:ilvl w:val="1"/>
          <w:numId w:val="1002"/>
        </w:numPr>
      </w:pPr>
      <w:r>
        <w:t xml:space="preserve">transportation share has gone down since 2000, but has generally stayed somewhere between the 15 - 20 percent range. That doesn’t mean people are spending less on transportation. It more likely means that people are spending more in other categories.</w:t>
      </w:r>
    </w:p>
    <w:p>
      <w:pPr>
        <w:numPr>
          <w:ilvl w:val="1"/>
          <w:numId w:val="1002"/>
        </w:numPr>
      </w:pPr>
      <w:r>
        <w:t xml:space="preserve">The number of earners in a household is closely related to how much is spent on transportation.</w:t>
      </w:r>
    </w:p>
    <w:p>
      <w:pPr>
        <w:numPr>
          <w:ilvl w:val="1"/>
          <w:numId w:val="1002"/>
        </w:numPr>
      </w:pPr>
      <w:r>
        <w:t xml:space="preserve">Since 1960, a larger percent of US households have at least one car. It was in the 80s when the percentage of 2-car households surpassed the percentage of 1-car households</w:t>
      </w:r>
    </w:p>
    <w:p>
      <w:pPr>
        <w:numPr>
          <w:ilvl w:val="0"/>
          <w:numId w:val="1001"/>
        </w:numPr>
      </w:pPr>
      <w:r>
        <w:t xml:space="preserve">(Mattson 2020)</w:t>
      </w:r>
      <w:r>
        <w:t xml:space="preserve"> </w:t>
      </w:r>
      <w:r>
        <w:t xml:space="preserve">Car ownership, family size, income, housing type, and other location factors are connected with transportation expenditures.</w:t>
      </w:r>
    </w:p>
    <w:p>
      <w:pPr>
        <w:numPr>
          <w:ilvl w:val="1"/>
          <w:numId w:val="1003"/>
        </w:numPr>
      </w:pPr>
      <w:r>
        <w:t xml:space="preserve">People with bigger families tend to spend more on transportation</w:t>
      </w:r>
    </w:p>
    <w:p>
      <w:pPr>
        <w:numPr>
          <w:ilvl w:val="1"/>
          <w:numId w:val="1003"/>
        </w:numPr>
      </w:pPr>
      <w:r>
        <w:t xml:space="preserve">People in single-family homes also generally spend more on transportation</w:t>
      </w:r>
    </w:p>
    <w:p>
      <w:pPr>
        <w:numPr>
          <w:ilvl w:val="0"/>
          <w:numId w:val="1001"/>
        </w:numPr>
      </w:pPr>
      <w:r>
        <w:t xml:space="preserve">Lower income households spend a bigger percent of their budget on transportation (transportaiton burdened)</w:t>
      </w:r>
      <w:r>
        <w:t xml:space="preserve"> </w:t>
      </w:r>
      <w:r>
        <w:t xml:space="preserve">(Molloy, Garrick, and Atkinson-Palombo 2024)</w:t>
      </w:r>
    </w:p>
    <w:p>
      <w:pPr>
        <w:pStyle w:val="FirstParagraph"/>
      </w:pPr>
      <w:r>
        <w:rPr>
          <w:b/>
          <w:bCs/>
        </w:rPr>
        <w:t xml:space="preserve">This is my start at trying to talk about the statistics</w:t>
      </w:r>
    </w:p>
    <w:p>
      <w:pPr>
        <w:pStyle w:val="BodyText"/>
      </w:pPr>
      <w:r>
        <w:t xml:space="preserve">A major portion of a household’s expenditures is allocated to transportation. The amount people spend on transportation has clearly increased in the last century, but has stayed roughly in the range of 15 - 20 percent over the last few decades. In 2023, the average household spent approximately 17 percent of their budget on transportation</w:t>
      </w:r>
      <w:r>
        <w:t xml:space="preserve"> </w:t>
      </w:r>
      <w:r>
        <w:t xml:space="preserve">(Johnson, Rogers, and Tan 2001; Bureau of Transportation Statistics 2024)</w:t>
      </w:r>
      <w:r>
        <w:t xml:space="preserve">. Looking at individual households, the transportation share of household expenditures varies widely. Lower income households seem to be more burdened by transportation expenses as it often takes up a larger portion of their overall expenses</w:t>
      </w:r>
      <w:r>
        <w:t xml:space="preserve"> </w:t>
      </w:r>
      <w:r>
        <w:t xml:space="preserve">(Molloy, Garrick, and Atkinson-Palombo 2024)</w:t>
      </w:r>
      <w:r>
        <w:t xml:space="preserve">.</w:t>
      </w:r>
    </w:p>
    <w:p>
      <w:pPr>
        <w:pStyle w:val="BodyText"/>
      </w:pPr>
      <w:r>
        <w:t xml:space="preserve">Besides income, there are many other factors that play a role in the way households spend money on transportation, including car ownership, family size, housing type, and other location factors. For example, larger family sizes and living in single-family homes both tend to be correlated with increased transportation spending</w:t>
      </w:r>
      <w:r>
        <w:t xml:space="preserve"> </w:t>
      </w:r>
      <w:r>
        <w:t xml:space="preserve">(Mattson 2020)</w:t>
      </w:r>
      <w:r>
        <w:t xml:space="preserve">.</w:t>
      </w:r>
    </w:p>
    <w:p>
      <w:pPr>
        <w:pStyle w:val="BodyText"/>
      </w:pPr>
      <w:r>
        <w:t xml:space="preserve">Car ownership has been increasing, with less than 10 percent of carless households in 2023 compared to over 20 percent in 1960. Before 1980, there was a larger portion of one-car households compared to two-car households. Since then, the number of two-car households has surpassed the number of one-car households.</w:t>
      </w:r>
    </w:p>
    <w:p>
      <w:pPr>
        <w:pStyle w:val="BodyText"/>
      </w:pPr>
      <w:r>
        <w:rPr>
          <w:b/>
          <w:bCs/>
        </w:rPr>
        <w:t xml:space="preserve">This is what Katie Wrote</w:t>
      </w:r>
    </w:p>
    <w:p>
      <w:pPr>
        <w:pStyle w:val="BodyText"/>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choipces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bookmarkEnd w:id="21"/>
    <w:bookmarkStart w:id="28"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w:t>
      </w:r>
    </w:p>
    <w:tbl>
      <w:tblPr>
        <w:tblStyle w:val="Table"/>
        <w:tblW w:type="pct" w:w="5000"/>
        <w:tblLayout w:type="fixed"/>
        <w:tblLook w:firstRow="0" w:lastRow="0" w:firstColumn="0" w:lastColumn="0" w:noHBand="0" w:noVBand="0" w:val="0000"/>
      </w:tblPr>
      <w:tblGrid>
        <w:gridCol w:w="7920"/>
      </w:tblGrid>
      <w:tr>
        <w:tc>
          <w:tcPr/>
          <w:bookmarkStart w:id="22" w:name="tbl-lit-summary"/>
          <w:p>
            <w:pPr>
              <w:jc w:val="center"/>
            </w:pPr>
            <w:pPr>
              <w:jc w:val="left"/>
              <w:spacing w:before="200"/>
              <w:pStyle w:val="ImageCaption"/>
            </w:pPr>
            <w:r>
              <w:t xml:space="preserve">Table 1: Summary of the Literature</w:t>
            </w:r>
          </w:p>
          <w:tbl>
            <w:tblPr>
              <w:tblStyle w:val="Table"/>
              <w:tblW w:type="pct" w:w="4926"/>
              <w:tblLayout w:type="fixed"/>
              <w:tblLook w:firstRow="1" w:lastRow="0" w:firstColumn="0" w:lastColumn="0" w:noHBand="0" w:noVBand="0" w:val="0020"/>
            </w:tblPr>
            <w:tblGrid>
              <w:gridCol w:w="1232"/>
              <w:gridCol w:w="3461"/>
              <w:gridCol w:w="880"/>
              <w:gridCol w:w="2229"/>
            </w:tblGrid>
            <w:tr>
              <w:trPr>
                <w:tblHeader w:val="on"/>
              </w:trPr>
              <w:tc>
                <w:tcPr/>
                <w:p>
                  <w:pPr>
                    <w:pStyle w:val="Compact"/>
                    <w:jc w:val="left"/>
                    <w:jc w:val="center"/>
                  </w:pPr>
                  <w:r>
                    <w:t xml:space="preserve">Title</w:t>
                  </w:r>
                </w:p>
              </w:tc>
              <w:tc>
                <w:tcPr/>
                <w:p>
                  <w:pPr>
                    <w:pStyle w:val="Compact"/>
                    <w:jc w:val="left"/>
                    <w:jc w:val="center"/>
                  </w:pPr>
                  <w:r>
                    <w:t xml:space="preserve">Citation</w:t>
                  </w:r>
                </w:p>
              </w:tc>
              <w:tc>
                <w:tcPr/>
                <w:p>
                  <w:pPr>
                    <w:pStyle w:val="Compact"/>
                    <w:jc w:val="left"/>
                    <w:jc w:val="center"/>
                  </w:pPr>
                  <w:r>
                    <w:t xml:space="preserve">Dataset</w:t>
                  </w:r>
                </w:p>
              </w:tc>
              <w:tc>
                <w:tcPr/>
                <w:p>
                  <w:pPr>
                    <w:pStyle w:val="Compact"/>
                    <w:jc w:val="left"/>
                    <w:jc w:val="center"/>
                  </w:pPr>
                  <w:r>
                    <w:t xml:space="preserve">Findings</w:t>
                  </w:r>
                </w:p>
              </w:tc>
            </w:tr>
            <w:tr>
              <w:tc>
                <w:tcPr/>
                <w:p>
                  <w:pPr>
                    <w:pStyle w:val="Compact"/>
                    <w:jc w:val="left"/>
                    <w:jc w:val="center"/>
                  </w:pPr>
                  <w:r>
                    <w:t xml:space="preserve">A family expenditure</w:t>
                  </w:r>
                  <w:r>
                    <w:t xml:space="preserve"> </w:t>
                  </w:r>
                  <w:r>
                    <w:t xml:space="preserve">perspective on</w:t>
                  </w:r>
                  <w:r>
                    <w:t xml:space="preserve"> </w:t>
                  </w:r>
                  <w:r>
                    <w:t xml:space="preserve">transport planning:</w:t>
                  </w:r>
                  <w:r>
                    <w:t xml:space="preserve"> </w:t>
                  </w:r>
                  <w:r>
                    <w:t xml:space="preserve">Australian evidence</w:t>
                  </w:r>
                  <w:r>
                    <w:t xml:space="preserve"> </w:t>
                  </w:r>
                  <w:r>
                    <w:t xml:space="preserve">in context</w:t>
                  </w:r>
                </w:p>
              </w:tc>
              <w:tc>
                <w:tcPr/>
                <w:p>
                  <w:pPr>
                    <w:pStyle w:val="Compact"/>
                    <w:jc w:val="left"/>
                    <w:jc w:val="center"/>
                  </w:pPr>
                  <w:r>
                    <w:t xml:space="preserve">Morris and Wigan (1979)</w:t>
                  </w:r>
                </w:p>
              </w:tc>
              <w:tc>
                <w:tcPr/>
                <w:p>
                  <w:pPr>
                    <w:pStyle w:val="Compact"/>
                    <w:jc w:val="left"/>
                    <w:jc w:val="center"/>
                  </w:pPr>
                  <w:r>
                    <w:t xml:space="preserve">Australian</w:t>
                  </w:r>
                  <w:r>
                    <w:t xml:space="preserve"> </w:t>
                  </w:r>
                  <w:r>
                    <w:t xml:space="preserve">Expenditure</w:t>
                  </w:r>
                  <w:r>
                    <w:t xml:space="preserve"> </w:t>
                  </w:r>
                  <w:r>
                    <w:t xml:space="preserve">Survey</w:t>
                  </w:r>
                </w:p>
              </w:tc>
              <w:tc>
                <w:tcPr/>
                <w:p>
                  <w:pPr>
                    <w:pStyle w:val="Compact"/>
                    <w:jc w:val="left"/>
                    <w:jc w:val="center"/>
                  </w:pPr>
                  <w:r>
                    <w:t xml:space="preserve">transport takes about o17 percent of</w:t>
                  </w:r>
                  <w:r>
                    <w:t xml:space="preserve"> </w:t>
                  </w:r>
                  <w:r>
                    <w:t xml:space="preserve">expenditures, at least part of the</w:t>
                  </w:r>
                  <w:r>
                    <w:t xml:space="preserve"> </w:t>
                  </w:r>
                  <w:r>
                    <w:t xml:space="preserve">consumption expenditure by low income</w:t>
                  </w:r>
                  <w:r>
                    <w:t xml:space="preserve"> </w:t>
                  </w:r>
                  <w:r>
                    <w:t xml:space="preserve">families is financed from savings,</w:t>
                  </w:r>
                  <w:r>
                    <w:t xml:space="preserve"> </w:t>
                  </w:r>
                  <w:r>
                    <w:t xml:space="preserve">loans or other sourCEX besides</w:t>
                  </w:r>
                  <w:r>
                    <w:t xml:space="preserve"> </w:t>
                  </w:r>
                  <w:r>
                    <w:t xml:space="preserve">“income”</w:t>
                  </w:r>
                  <w:r>
                    <w:t xml:space="preserve">.</w:t>
                  </w:r>
                </w:p>
              </w:tc>
            </w:tr>
            <w:tr>
              <w:tc>
                <w:tcPr/>
                <w:p>
                  <w:pPr>
                    <w:pStyle w:val="Compact"/>
                    <w:jc w:val="left"/>
                    <w:jc w:val="center"/>
                  </w:pPr>
                  <w:r>
                    <w:t xml:space="preserve">Variable Lifespan</w:t>
                  </w:r>
                  <w:r>
                    <w:t xml:space="preserve"> </w:t>
                  </w:r>
                  <w:r>
                    <w:t xml:space="preserve">and the</w:t>
                  </w:r>
                  <w:r>
                    <w:t xml:space="preserve"> </w:t>
                  </w:r>
                  <w:r>
                    <w:t xml:space="preserve">Intertemporal</w:t>
                  </w:r>
                  <w:r>
                    <w:t xml:space="preserve"> </w:t>
                  </w:r>
                  <w:r>
                    <w:t xml:space="preserve">Elasticity of</w:t>
                  </w:r>
                  <w:r>
                    <w:t xml:space="preserve"> </w:t>
                  </w:r>
                  <w:r>
                    <w:t xml:space="preserve">Consumption</w:t>
                  </w:r>
                </w:p>
              </w:tc>
              <w:tc>
                <w:tcPr/>
                <w:p>
                  <w:pPr>
                    <w:pStyle w:val="Compact"/>
                    <w:jc w:val="left"/>
                    <w:jc w:val="center"/>
                  </w:pPr>
                  <w:r>
                    <w:t xml:space="preserve">Skinner (1985)</w:t>
                  </w:r>
                </w:p>
              </w:tc>
              <w:tc>
                <w:tcPr/>
                <w:p>
                  <w:pPr>
                    <w:pStyle w:val="Compact"/>
                    <w:jc w:val="left"/>
                    <w:jc w:val="center"/>
                  </w:pPr>
                  <w:r>
                    <w:t xml:space="preserve">CEX</w:t>
                  </w:r>
                </w:p>
              </w:tc>
              <w:tc>
                <w:tcPr/>
                <w:p>
                  <w:pPr>
                    <w:pStyle w:val="Compact"/>
                    <w:jc w:val="left"/>
                    <w:jc w:val="center"/>
                  </w:pPr>
                  <w:r>
                    <w:t xml:space="preserve">Changes in inflation will prompt</w:t>
                  </w:r>
                  <w:r>
                    <w:t xml:space="preserve"> </w:t>
                  </w:r>
                  <w:r>
                    <w:t xml:space="preserve">changes in consumer expenditures</w:t>
                  </w:r>
                </w:p>
              </w:tc>
            </w:tr>
            <w:tr>
              <w:tc>
                <w:tcPr/>
                <w:p>
                  <w:pPr>
                    <w:pStyle w:val="Compact"/>
                    <w:jc w:val="left"/>
                    <w:jc w:val="center"/>
                  </w:pPr>
                  <w:r>
                    <w:t xml:space="preserve">A sample selection</w:t>
                  </w:r>
                  <w:r>
                    <w:t xml:space="preserve"> </w:t>
                  </w:r>
                  <w:r>
                    <w:t xml:space="preserve">model for prepared</w:t>
                  </w:r>
                  <w:r>
                    <w:t xml:space="preserve"> </w:t>
                  </w:r>
                  <w:r>
                    <w:t xml:space="preserve">food expenditures</w:t>
                  </w:r>
                </w:p>
              </w:tc>
              <w:tc>
                <w:tcPr/>
                <w:p>
                  <w:pPr>
                    <w:pStyle w:val="Compact"/>
                    <w:jc w:val="left"/>
                    <w:jc w:val="center"/>
                  </w:pPr>
                  <w:r>
                    <w:t xml:space="preserve">Nayga (1998)</w:t>
                  </w:r>
                </w:p>
              </w:tc>
              <w:tc>
                <w:tcPr/>
                <w:p>
                  <w:pPr>
                    <w:pStyle w:val="Compact"/>
                    <w:jc w:val="left"/>
                    <w:jc w:val="center"/>
                  </w:pPr>
                  <w:r>
                    <w:t xml:space="preserve">CEX</w:t>
                  </w:r>
                </w:p>
              </w:tc>
              <w:tc>
                <w:tcPr/>
                <w:p>
                  <w:pPr>
                    <w:pStyle w:val="Compact"/>
                    <w:jc w:val="left"/>
                    <w:jc w:val="center"/>
                  </w:pPr>
                  <w:r>
                    <w:t xml:space="preserve">Most of the variables analysed</w:t>
                  </w:r>
                  <w:r>
                    <w:t xml:space="preserve"> </w:t>
                  </w:r>
                  <w:r>
                    <w:t xml:space="preserve">significantly affect prepared food</w:t>
                  </w:r>
                  <w:r>
                    <w:t xml:space="preserve"> </w:t>
                  </w:r>
                  <w:r>
                    <w:t xml:space="preserve">expenditures. For example, results</w:t>
                  </w:r>
                  <w:r>
                    <w:t xml:space="preserve"> </w:t>
                  </w:r>
                  <w:r>
                    <w:t xml:space="preserve">suggest that frozen meals</w:t>
                  </w:r>
                  <w:r>
                    <w:t xml:space="preserve"> </w:t>
                  </w:r>
                  <w:r>
                    <w:t xml:space="preserve">expenditures are higher for</w:t>
                  </w:r>
                  <w:r>
                    <w:t xml:space="preserve"> </w:t>
                  </w:r>
                  <w:r>
                    <w:t xml:space="preserve">households without children, for</w:t>
                  </w:r>
                  <w:r>
                    <w:t xml:space="preserve"> </w:t>
                  </w:r>
                  <w:r>
                    <w:t xml:space="preserve">smaller households, and for</w:t>
                  </w:r>
                  <w:r>
                    <w:t xml:space="preserve"> </w:t>
                  </w:r>
                  <w:r>
                    <w:t xml:space="preserve">households headed by a non-white</w:t>
                  </w:r>
                  <w:r>
                    <w:t xml:space="preserve"> </w:t>
                  </w:r>
                  <w:r>
                    <w:t xml:space="preserve">individual</w:t>
                  </w:r>
                </w:p>
              </w:tc>
            </w:tr>
            <w:tr>
              <w:tc>
                <w:tcPr/>
                <w:p>
                  <w:pPr>
                    <w:pStyle w:val="Compact"/>
                    <w:jc w:val="left"/>
                    <w:jc w:val="center"/>
                  </w:pPr>
                  <w:r>
                    <w:t xml:space="preserve">Transportation Costs</w:t>
                  </w:r>
                  <w:r>
                    <w:t xml:space="preserve"> </w:t>
                  </w:r>
                  <w:r>
                    <w:t xml:space="preserve">and Economic</w:t>
                  </w:r>
                  <w:r>
                    <w:t xml:space="preserve"> </w:t>
                  </w:r>
                  <w:r>
                    <w:t xml:space="preserve">Opportunity Among</w:t>
                  </w:r>
                  <w:r>
                    <w:t xml:space="preserve"> </w:t>
                  </w:r>
                  <w:r>
                    <w:t xml:space="preserve">the Poor</w:t>
                  </w:r>
                </w:p>
              </w:tc>
              <w:tc>
                <w:tcPr/>
                <w:p>
                  <w:pPr>
                    <w:pStyle w:val="Compact"/>
                    <w:jc w:val="left"/>
                    <w:jc w:val="center"/>
                  </w:pPr>
                  <w:r>
                    <w:t xml:space="preserve">Blumenberg (2003)</w:t>
                  </w:r>
                </w:p>
              </w:tc>
              <w:tc>
                <w:tcPr/>
                <w:p>
                  <w:pPr>
                    <w:pStyle w:val="Compact"/>
                    <w:jc w:val="left"/>
                    <w:jc w:val="center"/>
                  </w:pPr>
                  <w:r>
                    <w:t xml:space="preserve">CEX</w:t>
                  </w:r>
                </w:p>
              </w:tc>
              <w:tc>
                <w:tcPr/>
                <w:p>
                  <w:pPr>
                    <w:pStyle w:val="Compact"/>
                    <w:jc w:val="left"/>
                    <w:jc w:val="center"/>
                  </w:pPr>
                  <w:r>
                    <w:t xml:space="preserve">Cost comparisons fall short of</w:t>
                  </w:r>
                  <w:r>
                    <w:t xml:space="preserve"> </w:t>
                  </w:r>
                  <w:r>
                    <w:t xml:space="preserve">finding if transportation costs are a</w:t>
                  </w:r>
                  <w:r>
                    <w:t xml:space="preserve"> </w:t>
                  </w:r>
                  <w:r>
                    <w:t xml:space="preserve">barrier for economic opportunity</w:t>
                  </w:r>
                  <w:r>
                    <w:t xml:space="preserve"> </w:t>
                  </w:r>
                  <w:r>
                    <w:t xml:space="preserve">among the poor</w:t>
                  </w:r>
                </w:p>
              </w:tc>
            </w:tr>
            <w:tr>
              <w:tc>
                <w:tcPr/>
                <w:p>
                  <w:pPr>
                    <w:pStyle w:val="Compact"/>
                    <w:jc w:val="left"/>
                    <w:jc w:val="center"/>
                  </w:pPr>
                  <w:r>
                    <w:t xml:space="preserve">Analysis of</w:t>
                  </w:r>
                  <w:r>
                    <w:t xml:space="preserve"> </w:t>
                  </w:r>
                  <w:r>
                    <w:t xml:space="preserve">Variations in</w:t>
                  </w:r>
                  <w:r>
                    <w:t xml:space="preserve"> </w:t>
                  </w:r>
                  <w:r>
                    <w:t xml:space="preserve">Vehicle Ownership</w:t>
                  </w:r>
                  <w:r>
                    <w:t xml:space="preserve"> </w:t>
                  </w:r>
                  <w:r>
                    <w:t xml:space="preserve">Expenditures</w:t>
                  </w:r>
                </w:p>
              </w:tc>
              <w:tc>
                <w:tcPr/>
                <w:p>
                  <w:pPr>
                    <w:pStyle w:val="Compact"/>
                    <w:jc w:val="left"/>
                    <w:jc w:val="center"/>
                  </w:pPr>
                  <w:r>
                    <w:t xml:space="preserve">Thakuriah and Liao (2005)</w:t>
                  </w:r>
                </w:p>
              </w:tc>
              <w:tc>
                <w:tcPr/>
                <w:p>
                  <w:pPr>
                    <w:pStyle w:val="Compact"/>
                    <w:jc w:val="left"/>
                    <w:jc w:val="center"/>
                  </w:pPr>
                  <w:r>
                    <w:t xml:space="preserve">CEX</w:t>
                  </w:r>
                </w:p>
              </w:tc>
              <w:tc>
                <w:tcPr/>
                <w:p>
                  <w:pPr>
                    <w:pStyle w:val="Compact"/>
                    <w:jc w:val="left"/>
                    <w:jc w:val="center"/>
                  </w:pPr>
                  <w:r>
                    <w:t xml:space="preserve">For vehicle-owning households, of</w:t>
                  </w:r>
                  <w:r>
                    <w:t xml:space="preserve"> </w:t>
                  </w:r>
                  <w:r>
                    <w:t xml:space="preserve">every additional dollar that</w:t>
                  </w:r>
                  <w:r>
                    <w:t xml:space="preserve"> </w:t>
                  </w:r>
                  <w:r>
                    <w:t xml:space="preserve">households spend, 18 cents is spent</w:t>
                  </w:r>
                  <w:r>
                    <w:t xml:space="preserve"> </w:t>
                  </w:r>
                  <w:r>
                    <w:t xml:space="preserve">on vehicles after controlling for</w:t>
                  </w:r>
                  <w:r>
                    <w:t xml:space="preserve"> </w:t>
                  </w:r>
                  <w:r>
                    <w:t xml:space="preserve">socioeconomic, demographic, life</w:t>
                  </w:r>
                  <w:r>
                    <w:t xml:space="preserve"> </w:t>
                  </w:r>
                  <w:r>
                    <w:t xml:space="preserve">cycle, and other factors relating to</w:t>
                  </w:r>
                  <w:r>
                    <w:t xml:space="preserve"> </w:t>
                  </w:r>
                  <w:r>
                    <w:t xml:space="preserve">households.</w:t>
                  </w:r>
                </w:p>
              </w:tc>
            </w:tr>
            <w:tr>
              <w:tc>
                <w:tcPr/>
                <w:p>
                  <w:pPr>
                    <w:pStyle w:val="Compact"/>
                    <w:jc w:val="left"/>
                    <w:jc w:val="center"/>
                  </w:pPr>
                  <w:r>
                    <w:t xml:space="preserve">Leisure Travel</w:t>
                  </w:r>
                  <w:r>
                    <w:t xml:space="preserve"> </w:t>
                  </w:r>
                  <w:r>
                    <w:t xml:space="preserve">Expenditure Patterns</w:t>
                  </w:r>
                  <w:r>
                    <w:t xml:space="preserve"> </w:t>
                  </w:r>
                  <w:r>
                    <w:t xml:space="preserve">by Family Life Cycle</w:t>
                  </w:r>
                  <w:r>
                    <w:t xml:space="preserve"> </w:t>
                  </w:r>
                  <w:r>
                    <w:t xml:space="preserve">Stages</w:t>
                  </w:r>
                </w:p>
              </w:tc>
              <w:tc>
                <w:tcPr/>
                <w:p>
                  <w:pPr>
                    <w:pStyle w:val="Compact"/>
                    <w:jc w:val="left"/>
                    <w:jc w:val="center"/>
                  </w:pPr>
                  <w:r>
                    <w:t xml:space="preserve">Hong et al. (2005)</w:t>
                  </w:r>
                </w:p>
              </w:tc>
              <w:tc>
                <w:tcPr/>
                <w:p>
                  <w:pPr>
                    <w:pStyle w:val="Compact"/>
                    <w:jc w:val="left"/>
                    <w:jc w:val="center"/>
                  </w:pPr>
                  <w:r>
                    <w:t xml:space="preserve">CEX</w:t>
                  </w:r>
                </w:p>
              </w:tc>
              <w:tc>
                <w:tcPr/>
                <w:p>
                  <w:pPr>
                    <w:pStyle w:val="Compact"/>
                    <w:jc w:val="left"/>
                    <w:jc w:val="center"/>
                  </w:pPr>
                  <w:r>
                    <w:t xml:space="preserve">Marrieds without children are more</w:t>
                  </w:r>
                  <w:r>
                    <w:t xml:space="preserve"> </w:t>
                  </w:r>
                  <w:r>
                    <w:t xml:space="preserve">likely to spend on leisure travel</w:t>
                  </w:r>
                  <w:r>
                    <w:t xml:space="preserve"> </w:t>
                  </w:r>
                  <w:r>
                    <w:t xml:space="preserve">than singles, whereas single parents</w:t>
                  </w:r>
                  <w:r>
                    <w:t xml:space="preserve"> </w:t>
                  </w:r>
                  <w:r>
                    <w:t xml:space="preserve">and solitary survivors are less</w:t>
                  </w:r>
                  <w:r>
                    <w:t xml:space="preserve"> </w:t>
                  </w:r>
                  <w:r>
                    <w:t xml:space="preserve">likely to spend on leisure travel</w:t>
                  </w:r>
                  <w:r>
                    <w:t xml:space="preserve"> </w:t>
                  </w:r>
                  <w:r>
                    <w:t xml:space="preserve">than singles.</w:t>
                  </w:r>
                </w:p>
              </w:tc>
            </w:tr>
            <w:tr>
              <w:tc>
                <w:tcPr/>
                <w:p>
                  <w:pPr>
                    <w:pStyle w:val="Compact"/>
                    <w:jc w:val="left"/>
                    <w:jc w:val="center"/>
                  </w:pPr>
                  <w:r>
                    <w:t xml:space="preserve">Transportation</w:t>
                  </w:r>
                  <w:r>
                    <w:t xml:space="preserve"> </w:t>
                  </w:r>
                  <w:r>
                    <w:t xml:space="preserve">Expenditures and</w:t>
                  </w:r>
                  <w:r>
                    <w:t xml:space="preserve"> </w:t>
                  </w:r>
                  <w:r>
                    <w:t xml:space="preserve">Ability to Pay:</w:t>
                  </w:r>
                  <w:r>
                    <w:t xml:space="preserve"> </w:t>
                  </w:r>
                  <w:r>
                    <w:t xml:space="preserve">Evidence from</w:t>
                  </w:r>
                  <w:r>
                    <w:t xml:space="preserve"> </w:t>
                  </w:r>
                  <w:r>
                    <w:t xml:space="preserve">Consumer Expenditure</w:t>
                  </w:r>
                  <w:r>
                    <w:t xml:space="preserve"> </w:t>
                  </w:r>
                  <w:r>
                    <w:t xml:space="preserve">Survey</w:t>
                  </w:r>
                </w:p>
              </w:tc>
              <w:tc>
                <w:tcPr/>
                <w:p>
                  <w:pPr>
                    <w:pStyle w:val="Compact"/>
                    <w:jc w:val="left"/>
                    <w:jc w:val="center"/>
                  </w:pPr>
                  <w:r>
                    <w:t xml:space="preserve">Thakuriah (Vonu) and Liao (2006)</w:t>
                  </w:r>
                </w:p>
              </w:tc>
              <w:tc>
                <w:tcPr/>
                <w:p>
                  <w:pPr>
                    <w:pStyle w:val="Compact"/>
                    <w:jc w:val="left"/>
                    <w:jc w:val="center"/>
                  </w:pPr>
                  <w:r>
                    <w:t xml:space="preserve">CEX</w:t>
                  </w:r>
                </w:p>
              </w:tc>
              <w:tc>
                <w:tcPr/>
                <w:p>
                  <w:pPr>
                    <w:pStyle w:val="Compact"/>
                    <w:jc w:val="left"/>
                    <w:jc w:val="center"/>
                  </w:pPr>
                  <w:r>
                    <w:t xml:space="preserve">Transportation expenditures made by</w:t>
                  </w:r>
                  <w:r>
                    <w:t xml:space="preserve"> </w:t>
                  </w:r>
                  <w:r>
                    <w:t xml:space="preserve">households are better explained by</w:t>
                  </w:r>
                  <w:r>
                    <w:t xml:space="preserve"> </w:t>
                  </w:r>
                  <w:r>
                    <w:t xml:space="preserve">permanent income levels of households</w:t>
                  </w:r>
                  <w:r>
                    <w:t xml:space="preserve"> </w:t>
                  </w:r>
                  <w:r>
                    <w:t xml:space="preserve">than by annual incomes.</w:t>
                  </w:r>
                </w:p>
              </w:tc>
            </w:tr>
            <w:tr>
              <w:tc>
                <w:tcPr/>
                <w:p>
                  <w:pPr>
                    <w:pStyle w:val="Compact"/>
                    <w:jc w:val="left"/>
                    <w:jc w:val="center"/>
                  </w:pPr>
                  <w:r>
                    <w:t xml:space="preserve">The Effects of</w:t>
                  </w:r>
                  <w:r>
                    <w:t xml:space="preserve"> </w:t>
                  </w:r>
                  <w:r>
                    <w:t xml:space="preserve">Ethnic Identity on</w:t>
                  </w:r>
                  <w:r>
                    <w:t xml:space="preserve"> </w:t>
                  </w:r>
                  <w:r>
                    <w:t xml:space="preserve">Household Budget</w:t>
                  </w:r>
                  <w:r>
                    <w:t xml:space="preserve"> </w:t>
                  </w:r>
                  <w:r>
                    <w:t xml:space="preserve">Allocation to Status</w:t>
                  </w:r>
                  <w:r>
                    <w:t xml:space="preserve"> </w:t>
                  </w:r>
                  <w:r>
                    <w:t xml:space="preserve">Conveying Goods</w:t>
                  </w:r>
                </w:p>
              </w:tc>
              <w:tc>
                <w:tcPr/>
                <w:p>
                  <w:pPr>
                    <w:pStyle w:val="Compact"/>
                    <w:jc w:val="left"/>
                    <w:jc w:val="center"/>
                  </w:pPr>
                  <w:r>
                    <w:t xml:space="preserve">Fontes and Fan (2006)</w:t>
                  </w:r>
                </w:p>
              </w:tc>
              <w:tc>
                <w:tcPr/>
                <w:p>
                  <w:pPr>
                    <w:pStyle w:val="Compact"/>
                    <w:jc w:val="left"/>
                    <w:jc w:val="center"/>
                  </w:pPr>
                  <w:r>
                    <w:t xml:space="preserve">CEX</w:t>
                  </w:r>
                </w:p>
              </w:tc>
              <w:tc>
                <w:tcPr/>
                <w:p>
                  <w:pPr>
                    <w:pStyle w:val="Compact"/>
                    <w:jc w:val="left"/>
                    <w:jc w:val="center"/>
                  </w:pPr>
                  <w:r>
                    <w:t xml:space="preserve">Asian Americans allocate more of</w:t>
                  </w:r>
                  <w:r>
                    <w:t xml:space="preserve"> </w:t>
                  </w:r>
                  <w:r>
                    <w:t xml:space="preserve">their budget to housing, African</w:t>
                  </w:r>
                  <w:r>
                    <w:t xml:space="preserve"> </w:t>
                  </w:r>
                  <w:r>
                    <w:t xml:space="preserve">Americans allocate more of their</w:t>
                  </w:r>
                  <w:r>
                    <w:t xml:space="preserve"> </w:t>
                  </w:r>
                  <w:r>
                    <w:t xml:space="preserve">budget to apparel, and Hispanics</w:t>
                  </w:r>
                  <w:r>
                    <w:t xml:space="preserve"> </w:t>
                  </w:r>
                  <w:r>
                    <w:t xml:space="preserve">allocate more of their budget to both</w:t>
                  </w:r>
                  <w:r>
                    <w:t xml:space="preserve"> </w:t>
                  </w:r>
                  <w:r>
                    <w:t xml:space="preserve">housing and apparel, but to a lesser</w:t>
                  </w:r>
                  <w:r>
                    <w:t xml:space="preserve"> </w:t>
                  </w:r>
                  <w:r>
                    <w:t xml:space="preserve">extent than Asian Americans with</w:t>
                  </w:r>
                  <w:r>
                    <w:t xml:space="preserve"> </w:t>
                  </w:r>
                  <w:r>
                    <w:t xml:space="preserve">respect to housing and African</w:t>
                  </w:r>
                  <w:r>
                    <w:t xml:space="preserve"> </w:t>
                  </w:r>
                  <w:r>
                    <w:t xml:space="preserve">Americans with respect to apparel.</w:t>
                  </w:r>
                </w:p>
              </w:tc>
            </w:tr>
            <w:tr>
              <w:tc>
                <w:tcPr/>
                <w:p>
                  <w:pPr>
                    <w:pStyle w:val="Compact"/>
                    <w:jc w:val="left"/>
                    <w:jc w:val="center"/>
                  </w:pPr>
                  <w:r>
                    <w:t xml:space="preserve">Do Transportation</w:t>
                  </w:r>
                  <w:r>
                    <w:t xml:space="preserve"> </w:t>
                  </w:r>
                  <w:r>
                    <w:t xml:space="preserve">and Communications</w:t>
                  </w:r>
                  <w:r>
                    <w:t xml:space="preserve"> </w:t>
                  </w:r>
                  <w:r>
                    <w:t xml:space="preserve">Tend to be</w:t>
                  </w:r>
                  <w:r>
                    <w:t xml:space="preserve"> </w:t>
                  </w:r>
                  <w:r>
                    <w:t xml:space="preserve">Substitutes,</w:t>
                  </w:r>
                  <w:r>
                    <w:t xml:space="preserve"> </w:t>
                  </w:r>
                  <w:r>
                    <w:t xml:space="preserve">Complements, or</w:t>
                  </w:r>
                  <w:r>
                    <w:t xml:space="preserve"> </w:t>
                  </w:r>
                  <w:r>
                    <w:t xml:space="preserve">Neither?: U.S.</w:t>
                  </w:r>
                  <w:r>
                    <w:t xml:space="preserve"> </w:t>
                  </w:r>
                  <w:r>
                    <w:t xml:space="preserve">Consumer</w:t>
                  </w:r>
                  <w:r>
                    <w:t xml:space="preserve"> </w:t>
                  </w:r>
                  <w:r>
                    <w:t xml:space="preserve">Expenditures</w:t>
                  </w:r>
                  <w:r>
                    <w:t xml:space="preserve"> </w:t>
                  </w:r>
                  <w:r>
                    <w:t xml:space="preserve">Perspective,</w:t>
                  </w:r>
                  <w:r>
                    <w:t xml:space="preserve"> </w:t>
                  </w:r>
                  <w:r>
                    <w:t xml:space="preserve">1984–2002</w:t>
                  </w:r>
                </w:p>
              </w:tc>
              <w:tc>
                <w:tcPr/>
                <w:p>
                  <w:pPr>
                    <w:pStyle w:val="Compact"/>
                    <w:jc w:val="left"/>
                    <w:jc w:val="center"/>
                  </w:pPr>
                  <w:r>
                    <w:t xml:space="preserve">Choo, Lee, and Mokhtarian (2007)</w:t>
                  </w:r>
                </w:p>
              </w:tc>
              <w:tc>
                <w:tcPr/>
                <w:p>
                  <w:pPr>
                    <w:pStyle w:val="Compact"/>
                    <w:jc w:val="left"/>
                    <w:jc w:val="center"/>
                  </w:pPr>
                  <w:r>
                    <w:t xml:space="preserve">CEX</w:t>
                  </w:r>
                </w:p>
              </w:tc>
              <w:tc>
                <w:tcPr/>
                <w:p>
                  <w:pPr>
                    <w:pStyle w:val="Compact"/>
                    <w:jc w:val="left"/>
                    <w:jc w:val="center"/>
                  </w:pPr>
                  <w:r>
                    <w:t xml:space="preserve">New tech doesn’t substitue Personal</w:t>
                  </w:r>
                  <w:r>
                    <w:t xml:space="preserve"> </w:t>
                  </w:r>
                  <w:r>
                    <w:t xml:space="preserve">Vehicle travel probably</w:t>
                  </w:r>
                </w:p>
              </w:tc>
            </w:tr>
            <w:tr>
              <w:tc>
                <w:tcPr/>
                <w:p>
                  <w:pPr>
                    <w:pStyle w:val="Compact"/>
                    <w:jc w:val="left"/>
                    <w:jc w:val="center"/>
                  </w:pPr>
                  <w:r>
                    <w:t xml:space="preserve">An analysis of the</w:t>
                  </w:r>
                  <w:r>
                    <w:t xml:space="preserve"> </w:t>
                  </w:r>
                  <w:r>
                    <w:t xml:space="preserve">determinants of</w:t>
                  </w:r>
                  <w:r>
                    <w:t xml:space="preserve"> </w:t>
                  </w:r>
                  <w:r>
                    <w:t xml:space="preserve">children’s weekend</w:t>
                  </w:r>
                  <w:r>
                    <w:t xml:space="preserve"> </w:t>
                  </w:r>
                  <w:r>
                    <w:t xml:space="preserve">physical activity</w:t>
                  </w:r>
                  <w:r>
                    <w:t xml:space="preserve"> </w:t>
                  </w:r>
                  <w:r>
                    <w:t xml:space="preserve">participation</w:t>
                  </w:r>
                </w:p>
              </w:tc>
              <w:tc>
                <w:tcPr/>
                <w:p>
                  <w:pPr>
                    <w:pStyle w:val="Compact"/>
                    <w:jc w:val="left"/>
                    <w:jc w:val="center"/>
                  </w:pPr>
                  <w:r>
                    <w:t xml:space="preserve">Rachel B. Copperman and Bhat (2007a)</w:t>
                  </w:r>
                </w:p>
              </w:tc>
              <w:tc>
                <w:tcPr/>
                <w:p>
                  <w:pPr>
                    <w:pStyle w:val="Compact"/>
                    <w:jc w:val="left"/>
                    <w:jc w:val="center"/>
                  </w:pPr>
                  <w:r>
                    <w:t xml:space="preserve">San Francisco</w:t>
                  </w:r>
                  <w:r>
                    <w:t xml:space="preserve"> </w:t>
                  </w:r>
                  <w:r>
                    <w:t xml:space="preserve">Bay Area</w:t>
                  </w:r>
                  <w:r>
                    <w:t xml:space="preserve"> </w:t>
                  </w:r>
                  <w:r>
                    <w:t xml:space="preserve">Travel Survey</w:t>
                  </w:r>
                </w:p>
              </w:tc>
              <w:tc>
                <w:tcPr/>
                <w:p>
                  <w:pPr>
                    <w:pStyle w:val="Compact"/>
                    <w:jc w:val="left"/>
                    <w:jc w:val="center"/>
                  </w:pPr>
                  <w:r>
                    <w:t xml:space="preserve">The</w:t>
                  </w:r>
                  <w:r>
                    <w:t xml:space="preserve"> </w:t>
                  </w:r>
                  <w:r>
                    <w:t xml:space="preserve">“number of children”</w:t>
                  </w:r>
                  <w:r>
                    <w:t xml:space="preserve"> </w:t>
                  </w:r>
                  <w:r>
                    <w:t xml:space="preserve">variable</w:t>
                  </w:r>
                  <w:r>
                    <w:t xml:space="preserve"> </w:t>
                  </w:r>
                  <w:r>
                    <w:t xml:space="preserve">suggests an overall higher likelihood</w:t>
                  </w:r>
                  <w:r>
                    <w:t xml:space="preserve"> </w:t>
                  </w:r>
                  <w:r>
                    <w:t xml:space="preserve">of participation in utilitarian</w:t>
                  </w:r>
                  <w:r>
                    <w:t xml:space="preserve"> </w:t>
                  </w:r>
                  <w:r>
                    <w:t xml:space="preserve">active travel among households with</w:t>
                  </w:r>
                  <w:r>
                    <w:t xml:space="preserve"> </w:t>
                  </w:r>
                  <w:r>
                    <w:t xml:space="preserve">many children relative to households</w:t>
                  </w:r>
                  <w:r>
                    <w:t xml:space="preserve"> </w:t>
                  </w:r>
                  <w:r>
                    <w:t xml:space="preserve">with few children</w:t>
                  </w:r>
                </w:p>
              </w:tc>
            </w:tr>
            <w:tr>
              <w:tc>
                <w:tcPr/>
                <w:p>
                  <w:pPr>
                    <w:pStyle w:val="Compact"/>
                    <w:jc w:val="left"/>
                    <w:jc w:val="center"/>
                  </w:pPr>
                  <w:r>
                    <w:t xml:space="preserve">An analysis of the</w:t>
                  </w:r>
                  <w:r>
                    <w:t xml:space="preserve"> </w:t>
                  </w:r>
                  <w:r>
                    <w:t xml:space="preserve">social context of</w:t>
                  </w:r>
                  <w:r>
                    <w:t xml:space="preserve"> </w:t>
                  </w:r>
                  <w:r>
                    <w:t xml:space="preserve">children’s weekend</w:t>
                  </w:r>
                  <w:r>
                    <w:t xml:space="preserve"> </w:t>
                  </w:r>
                  <w:r>
                    <w:t xml:space="preserve">discretionary</w:t>
                  </w:r>
                  <w:r>
                    <w:t xml:space="preserve"> </w:t>
                  </w:r>
                  <w:r>
                    <w:t xml:space="preserve">activity</w:t>
                  </w:r>
                  <w:r>
                    <w:t xml:space="preserve"> </w:t>
                  </w:r>
                  <w:r>
                    <w:t xml:space="preserve">participation</w:t>
                  </w:r>
                </w:p>
              </w:tc>
              <w:tc>
                <w:tcPr/>
                <w:p>
                  <w:pPr>
                    <w:pStyle w:val="Compact"/>
                    <w:jc w:val="left"/>
                    <w:jc w:val="center"/>
                  </w:pPr>
                  <w:r>
                    <w:t xml:space="preserve">Sener and Bhat (2007)</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male children more likely to</w:t>
                  </w:r>
                  <w:r>
                    <w:t xml:space="preserve"> </w:t>
                  </w:r>
                  <w:r>
                    <w:t xml:space="preserve">participate with their fathers than</w:t>
                  </w:r>
                  <w:r>
                    <w:t xml:space="preserve"> </w:t>
                  </w:r>
                  <w:r>
                    <w:t xml:space="preserve">female children, African-American</w:t>
                  </w:r>
                  <w:r>
                    <w:t xml:space="preserve"> </w:t>
                  </w:r>
                  <w:r>
                    <w:t xml:space="preserve">children less likely to participate</w:t>
                  </w:r>
                  <w:r>
                    <w:t xml:space="preserve"> </w:t>
                  </w:r>
                  <w:r>
                    <w:t xml:space="preserve">in health-enhancing active recreation</w:t>
                  </w:r>
                  <w:r>
                    <w:t xml:space="preserve"> </w:t>
                  </w:r>
                  <w:r>
                    <w:t xml:space="preserve">pursuits</w:t>
                  </w:r>
                </w:p>
              </w:tc>
            </w:tr>
            <w:tr>
              <w:tc>
                <w:tcPr/>
                <w:p>
                  <w:pPr>
                    <w:pStyle w:val="Compact"/>
                    <w:jc w:val="left"/>
                    <w:jc w:val="center"/>
                  </w:pPr>
                  <w:r>
                    <w:t xml:space="preserve">An Exploratory</w:t>
                  </w:r>
                  <w:r>
                    <w:t xml:space="preserve"> </w:t>
                  </w:r>
                  <w:r>
                    <w:t xml:space="preserve">Analysis of</w:t>
                  </w:r>
                  <w:r>
                    <w:t xml:space="preserve"> </w:t>
                  </w:r>
                  <w:r>
                    <w:t xml:space="preserve">Children’s Daily</w:t>
                  </w:r>
                  <w:r>
                    <w:t xml:space="preserve"> </w:t>
                  </w:r>
                  <w:r>
                    <w:t xml:space="preserve">Time-Use and</w:t>
                  </w:r>
                  <w:r>
                    <w:t xml:space="preserve"> </w:t>
                  </w:r>
                  <w:r>
                    <w:t xml:space="preserve">Activity Patterns</w:t>
                  </w:r>
                  <w:r>
                    <w:t xml:space="preserve"> </w:t>
                  </w:r>
                  <w:r>
                    <w:t xml:space="preserve">Using the Child</w:t>
                  </w:r>
                  <w:r>
                    <w:t xml:space="preserve"> </w:t>
                  </w:r>
                  <w:r>
                    <w:t xml:space="preserve">Development</w:t>
                  </w:r>
                  <w:r>
                    <w:t xml:space="preserve"> </w:t>
                  </w:r>
                  <w:r>
                    <w:t xml:space="preserve">Supplement (CDS) to</w:t>
                  </w:r>
                  <w:r>
                    <w:t xml:space="preserve"> </w:t>
                  </w:r>
                  <w:r>
                    <w:t xml:space="preserve">the US Panel Study</w:t>
                  </w:r>
                  <w:r>
                    <w:t xml:space="preserve"> </w:t>
                  </w:r>
                  <w:r>
                    <w:t xml:space="preserve">of Income Dynamics</w:t>
                  </w:r>
                  <w:r>
                    <w:t xml:space="preserve"> </w:t>
                  </w:r>
                  <w:r>
                    <w:t xml:space="preserve">(PSID)</w:t>
                  </w:r>
                </w:p>
              </w:tc>
              <w:tc>
                <w:tcPr/>
                <w:p>
                  <w:pPr>
                    <w:pStyle w:val="Compact"/>
                    <w:jc w:val="left"/>
                    <w:jc w:val="center"/>
                  </w:pPr>
                  <w:r>
                    <w:t xml:space="preserve">Rachel B. Copperman and Bhat (2007b)</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age of childrend has an effect on</w:t>
                  </w:r>
                  <w:r>
                    <w:t xml:space="preserve"> </w:t>
                  </w:r>
                  <w:r>
                    <w:t xml:space="preserve">the types of activities they pursue</w:t>
                  </w:r>
                </w:p>
              </w:tc>
            </w:tr>
            <w:tr>
              <w:tc>
                <w:tcPr/>
                <w:p>
                  <w:pPr>
                    <w:pStyle w:val="Compact"/>
                    <w:jc w:val="left"/>
                    <w:jc w:val="center"/>
                  </w:pPr>
                  <w:r>
                    <w:t xml:space="preserve">Estimating</w:t>
                  </w:r>
                  <w:r>
                    <w:t xml:space="preserve"> </w:t>
                  </w:r>
                  <w:r>
                    <w:t xml:space="preserve">Transportation Costs</w:t>
                  </w:r>
                  <w:r>
                    <w:t xml:space="preserve"> </w:t>
                  </w:r>
                  <w:r>
                    <w:t xml:space="preserve">by Characteristics</w:t>
                  </w:r>
                  <w:r>
                    <w:t xml:space="preserve"> </w:t>
                  </w:r>
                  <w:r>
                    <w:t xml:space="preserve">of Neighborhood and</w:t>
                  </w:r>
                  <w:r>
                    <w:t xml:space="preserve"> </w:t>
                  </w:r>
                  <w:r>
                    <w:t xml:space="preserve">Household</w:t>
                  </w:r>
                </w:p>
              </w:tc>
              <w:tc>
                <w:tcPr/>
                <w:p>
                  <w:pPr>
                    <w:pStyle w:val="Compact"/>
                    <w:jc w:val="left"/>
                    <w:jc w:val="center"/>
                  </w:pPr>
                  <w:r>
                    <w:t xml:space="preserve">Haas et al. (2008)</w:t>
                  </w:r>
                </w:p>
              </w:tc>
              <w:tc>
                <w:tcPr/>
                <w:p>
                  <w:pPr>
                    <w:pStyle w:val="Compact"/>
                    <w:jc w:val="left"/>
                    <w:jc w:val="center"/>
                  </w:pPr>
                  <w:r>
                    <w:t xml:space="preserve">CEX and others</w:t>
                  </w:r>
                </w:p>
              </w:tc>
              <w:tc>
                <w:tcPr/>
                <w:p>
                  <w:pPr>
                    <w:pStyle w:val="Compact"/>
                    <w:jc w:val="left"/>
                    <w:jc w:val="center"/>
                  </w:pPr>
                  <w:r>
                    <w:t xml:space="preserve">Their model can help in travel demand</w:t>
                  </w:r>
                  <w:r>
                    <w:t xml:space="preserve"> </w:t>
                  </w:r>
                  <w:r>
                    <w:t xml:space="preserve">modeling</w:t>
                  </w:r>
                </w:p>
              </w:tc>
            </w:tr>
            <w:tr>
              <w:tc>
                <w:tcPr/>
                <w:p>
                  <w:pPr>
                    <w:pStyle w:val="Compact"/>
                    <w:jc w:val="left"/>
                    <w:jc w:val="center"/>
                  </w:pPr>
                  <w:r>
                    <w:t xml:space="preserve">An analysis of</w:t>
                  </w:r>
                  <w:r>
                    <w:t xml:space="preserve"> </w:t>
                  </w:r>
                  <w:r>
                    <w:t xml:space="preserve">children’s leisure</w:t>
                  </w:r>
                  <w:r>
                    <w:t xml:space="preserve"> </w:t>
                  </w:r>
                  <w:r>
                    <w:t xml:space="preserve">activity engagement:</w:t>
                  </w:r>
                  <w:r>
                    <w:t xml:space="preserve"> </w:t>
                  </w:r>
                  <w:r>
                    <w:t xml:space="preserve">Examining the day of</w:t>
                  </w:r>
                  <w:r>
                    <w:t xml:space="preserve"> </w:t>
                  </w:r>
                  <w:r>
                    <w:t xml:space="preserve">week, location,</w:t>
                  </w:r>
                  <w:r>
                    <w:t xml:space="preserve"> </w:t>
                  </w:r>
                  <w:r>
                    <w:t xml:space="preserve">physical activity</w:t>
                  </w:r>
                  <w:r>
                    <w:t xml:space="preserve"> </w:t>
                  </w:r>
                  <w:r>
                    <w:t xml:space="preserve">level, and fixity</w:t>
                  </w:r>
                  <w:r>
                    <w:t xml:space="preserve"> </w:t>
                  </w:r>
                  <w:r>
                    <w:t xml:space="preserve">dimensions</w:t>
                  </w:r>
                </w:p>
              </w:tc>
              <w:tc>
                <w:tcPr/>
                <w:p>
                  <w:pPr>
                    <w:pStyle w:val="Compact"/>
                    <w:jc w:val="left"/>
                    <w:jc w:val="center"/>
                  </w:pPr>
                  <w:r>
                    <w:t xml:space="preserve">Sener et al. (2008)</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Children in households with parents</w:t>
                  </w:r>
                  <w:r>
                    <w:t xml:space="preserve"> </w:t>
                  </w:r>
                  <w:r>
                    <w:t xml:space="preserve">who are employed, higher income, or</w:t>
                  </w:r>
                  <w:r>
                    <w:t xml:space="preserve"> </w:t>
                  </w:r>
                  <w:r>
                    <w:t xml:space="preserve">higher education were found to</w:t>
                  </w:r>
                  <w:r>
                    <w:t xml:space="preserve"> </w:t>
                  </w:r>
                  <w:r>
                    <w:t xml:space="preserve">participate in structured outdoor</w:t>
                  </w:r>
                  <w:r>
                    <w:t xml:space="preserve"> </w:t>
                  </w:r>
                  <w:r>
                    <w:t xml:space="preserve">activities at higher rates.</w:t>
                  </w:r>
                </w:p>
              </w:tc>
            </w:tr>
            <w:tr>
              <w:tc>
                <w:tcPr/>
                <w:p>
                  <w:pPr>
                    <w:pStyle w:val="Compact"/>
                    <w:jc w:val="left"/>
                    <w:jc w:val="center"/>
                  </w:pPr>
                  <w:r>
                    <w:t xml:space="preserve">A comprehensive</w:t>
                  </w:r>
                  <w:r>
                    <w:t xml:space="preserve"> </w:t>
                  </w:r>
                  <w:r>
                    <w:t xml:space="preserve">analysis of</w:t>
                  </w:r>
                  <w:r>
                    <w:t xml:space="preserve"> </w:t>
                  </w:r>
                  <w:r>
                    <w:t xml:space="preserve">household</w:t>
                  </w:r>
                  <w:r>
                    <w:t xml:space="preserve"> </w:t>
                  </w:r>
                  <w:r>
                    <w:t xml:space="preserve">transportation</w:t>
                  </w:r>
                  <w:r>
                    <w:t xml:space="preserve"> </w:t>
                  </w:r>
                  <w:r>
                    <w:t xml:space="preserve">expenditures</w:t>
                  </w:r>
                  <w:r>
                    <w:t xml:space="preserve"> </w:t>
                  </w:r>
                  <w:r>
                    <w:t xml:space="preserve">relative to other</w:t>
                  </w:r>
                  <w:r>
                    <w:t xml:space="preserve"> </w:t>
                  </w:r>
                  <w:r>
                    <w:t xml:space="preserve">goods and serviCEX:</w:t>
                  </w:r>
                  <w:r>
                    <w:t xml:space="preserve"> </w:t>
                  </w:r>
                  <w:r>
                    <w:t xml:space="preserve">An application to</w:t>
                  </w:r>
                  <w:r>
                    <w:t xml:space="preserve"> </w:t>
                  </w:r>
                  <w:r>
                    <w:t xml:space="preserve">United States</w:t>
                  </w:r>
                  <w:r>
                    <w:t xml:space="preserve"> </w:t>
                  </w:r>
                  <w:r>
                    <w:t xml:space="preserve">consumer expenditure</w:t>
                  </w:r>
                  <w:r>
                    <w:t xml:space="preserve"> </w:t>
                  </w:r>
                  <w:r>
                    <w:t xml:space="preserve">data</w:t>
                  </w:r>
                </w:p>
              </w:tc>
              <w:tc>
                <w:tcPr/>
                <w:p>
                  <w:pPr>
                    <w:pStyle w:val="Compact"/>
                    <w:jc w:val="left"/>
                    <w:jc w:val="center"/>
                  </w:pPr>
                  <w:r>
                    <w:t xml:space="preserve">Ferdous et al. (2010)</w:t>
                  </w:r>
                </w:p>
              </w:tc>
              <w:tc>
                <w:tcPr/>
                <w:p>
                  <w:pPr>
                    <w:pStyle w:val="Compact"/>
                    <w:jc w:val="left"/>
                    <w:jc w:val="center"/>
                  </w:pPr>
                  <w:r>
                    <w:t xml:space="preserve">CEX</w:t>
                  </w:r>
                </w:p>
              </w:tc>
              <w:tc>
                <w:tcPr/>
                <w:p>
                  <w:pPr>
                    <w:pStyle w:val="Compact"/>
                    <w:jc w:val="left"/>
                    <w:jc w:val="center"/>
                  </w:pPr>
                  <w:r>
                    <w:t xml:space="preserve">Adjustments are made with increased</w:t>
                  </w:r>
                  <w:r>
                    <w:t xml:space="preserve"> </w:t>
                  </w:r>
                  <w:r>
                    <w:t xml:space="preserve">fuel priCEX</w:t>
                  </w:r>
                </w:p>
              </w:tc>
            </w:tr>
            <w:tr>
              <w:tc>
                <w:tcPr/>
                <w:p>
                  <w:pPr>
                    <w:pStyle w:val="Compact"/>
                    <w:jc w:val="left"/>
                    <w:jc w:val="center"/>
                  </w:pPr>
                  <w:r>
                    <w:t xml:space="preserve">Measuring the</w:t>
                  </w:r>
                  <w:r>
                    <w:t xml:space="preserve"> </w:t>
                  </w:r>
                  <w:r>
                    <w:t xml:space="preserve">Structureal</w:t>
                  </w:r>
                  <w:r>
                    <w:t xml:space="preserve"> </w:t>
                  </w:r>
                  <w:r>
                    <w:t xml:space="preserve">Determinants of</w:t>
                  </w:r>
                  <w:r>
                    <w:t xml:space="preserve"> </w:t>
                  </w:r>
                  <w:r>
                    <w:t xml:space="preserve">Urban Travel Demand</w:t>
                  </w:r>
                </w:p>
              </w:tc>
              <w:tc>
                <w:tcPr/>
                <w:p>
                  <w:pPr>
                    <w:pStyle w:val="Compact"/>
                    <w:jc w:val="left"/>
                    <w:jc w:val="center"/>
                  </w:pPr>
                  <w:r>
                    <w:t xml:space="preserve">Souche (2010)</w:t>
                  </w:r>
                </w:p>
              </w:tc>
              <w:tc>
                <w:tcPr/>
                <w:p>
                  <w:pPr>
                    <w:pStyle w:val="Compact"/>
                    <w:jc w:val="left"/>
                    <w:jc w:val="center"/>
                  </w:pPr>
                  <w:r>
                    <w:t xml:space="preserve">IUTP database</w:t>
                  </w:r>
                </w:p>
              </w:tc>
              <w:tc>
                <w:tcPr/>
                <w:p>
                  <w:pPr>
                    <w:pStyle w:val="Compact"/>
                    <w:jc w:val="left"/>
                    <w:jc w:val="center"/>
                  </w:pPr>
                  <w:r>
                    <w:t xml:space="preserve">urban density and cost of transport</w:t>
                  </w:r>
                  <w:r>
                    <w:t xml:space="preserve"> </w:t>
                  </w:r>
                  <w:r>
                    <w:t xml:space="preserve">mode were statisticalliy significan</w:t>
                  </w:r>
                  <w:r>
                    <w:t xml:space="preserve"> </w:t>
                  </w:r>
                  <w:r>
                    <w:t xml:space="preserve">in their model</w:t>
                  </w:r>
                </w:p>
              </w:tc>
            </w:tr>
            <w:tr>
              <w:tc>
                <w:tcPr/>
                <w:p>
                  <w:pPr>
                    <w:pStyle w:val="Compact"/>
                    <w:jc w:val="left"/>
                    <w:jc w:val="center"/>
                  </w:pPr>
                  <w:r>
                    <w:t xml:space="preserve">An empirical</w:t>
                  </w:r>
                  <w:r>
                    <w:t xml:space="preserve"> </w:t>
                  </w:r>
                  <w:r>
                    <w:t xml:space="preserve">analysis of</w:t>
                  </w:r>
                  <w:r>
                    <w:t xml:space="preserve"> </w:t>
                  </w:r>
                  <w:r>
                    <w:t xml:space="preserve">children’s after</w:t>
                  </w:r>
                  <w:r>
                    <w:t xml:space="preserve"> </w:t>
                  </w:r>
                  <w:r>
                    <w:t xml:space="preserve">school out-of-home</w:t>
                  </w:r>
                  <w:r>
                    <w:t xml:space="preserve"> </w:t>
                  </w:r>
                  <w:r>
                    <w:t xml:space="preserve">activity-location</w:t>
                  </w:r>
                  <w:r>
                    <w:t xml:space="preserve"> </w:t>
                  </w:r>
                  <w:r>
                    <w:t xml:space="preserve">engagement patterns</w:t>
                  </w:r>
                  <w:r>
                    <w:t xml:space="preserve"> </w:t>
                  </w:r>
                  <w:r>
                    <w:t xml:space="preserve">and time allocation</w:t>
                  </w:r>
                </w:p>
              </w:tc>
              <w:tc>
                <w:tcPr/>
                <w:p>
                  <w:pPr>
                    <w:pStyle w:val="Compact"/>
                    <w:jc w:val="left"/>
                    <w:jc w:val="center"/>
                  </w:pPr>
                  <w:r>
                    <w:t xml:space="preserve">Paleti, Copperman, and Bhat (2011)</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results show that a wide variety</w:t>
                  </w:r>
                  <w:r>
                    <w:t xml:space="preserve"> </w:t>
                  </w:r>
                  <w:r>
                    <w:t xml:space="preserve">of demographic, attitudinal,</w:t>
                  </w:r>
                  <w:r>
                    <w:t xml:space="preserve"> </w:t>
                  </w:r>
                  <w:r>
                    <w:t xml:space="preserve">environmental, and others’</w:t>
                  </w:r>
                  <w:r>
                    <w:t xml:space="preserve"> </w:t>
                  </w:r>
                  <w:r>
                    <w:t xml:space="preserve">activity-travel pattern</w:t>
                  </w:r>
                  <w:r>
                    <w:t xml:space="preserve"> </w:t>
                  </w:r>
                  <w:r>
                    <w:t xml:space="preserve">characteristics impact children’s</w:t>
                  </w:r>
                  <w:r>
                    <w:t xml:space="preserve"> </w:t>
                  </w:r>
                  <w:r>
                    <w:t xml:space="preserve">after school activity engagement</w:t>
                  </w:r>
                  <w:r>
                    <w:t xml:space="preserve"> </w:t>
                  </w:r>
                  <w:r>
                    <w:t xml:space="preserve">patterns.</w:t>
                  </w:r>
                </w:p>
              </w:tc>
            </w:tr>
            <w:tr>
              <w:tc>
                <w:tcPr/>
                <w:p>
                  <w:pPr>
                    <w:pStyle w:val="Compact"/>
                    <w:jc w:val="left"/>
                    <w:jc w:val="center"/>
                  </w:pPr>
                  <w:r>
                    <w:t xml:space="preserve">Is the Consumer</w:t>
                  </w:r>
                  <w:r>
                    <w:t xml:space="preserve"> </w:t>
                  </w:r>
                  <w:r>
                    <w:t xml:space="preserve">Expenditure Survey</w:t>
                  </w:r>
                  <w:r>
                    <w:t xml:space="preserve"> </w:t>
                  </w:r>
                  <w:r>
                    <w:t xml:space="preserve">Representative by</w:t>
                  </w:r>
                  <w:r>
                    <w:t xml:space="preserve"> </w:t>
                  </w:r>
                  <w:r>
                    <w:t xml:space="preserve">Income?</w:t>
                  </w:r>
                </w:p>
              </w:tc>
              <w:tc>
                <w:tcPr/>
                <w:p>
                  <w:pPr>
                    <w:pStyle w:val="Compact"/>
                    <w:jc w:val="left"/>
                    <w:jc w:val="center"/>
                  </w:pPr>
                  <w:r>
                    <w:t xml:space="preserve">Sabelhaus et al. (2013)</w:t>
                  </w:r>
                </w:p>
              </w:tc>
              <w:tc>
                <w:tcPr/>
                <w:p>
                  <w:pPr>
                    <w:pStyle w:val="Compact"/>
                    <w:jc w:val="left"/>
                    <w:jc w:val="center"/>
                  </w:pPr>
                  <w:r>
                    <w:t xml:space="preserve">CEX</w:t>
                  </w:r>
                </w:p>
              </w:tc>
              <w:tc>
                <w:tcPr/>
                <w:p>
                  <w:pPr>
                    <w:pStyle w:val="Compact"/>
                    <w:jc w:val="left"/>
                    <w:jc w:val="center"/>
                  </w:pPr>
                  <w:r>
                    <w:t xml:space="preserve">the highest income thresholds are</w:t>
                  </w:r>
                  <w:r>
                    <w:t xml:space="preserve"> </w:t>
                  </w:r>
                  <w:r>
                    <w:t xml:space="preserve">underrepresented in the survey</w:t>
                  </w:r>
                </w:p>
              </w:tc>
            </w:tr>
            <w:tr>
              <w:tc>
                <w:tcPr/>
                <w:p>
                  <w:pPr>
                    <w:pStyle w:val="Compact"/>
                    <w:jc w:val="left"/>
                    <w:jc w:val="center"/>
                  </w:pPr>
                  <w:r>
                    <w:t xml:space="preserve">Relationship between</w:t>
                  </w:r>
                  <w:r>
                    <w:t xml:space="preserve"> </w:t>
                  </w:r>
                  <w:r>
                    <w:t xml:space="preserve">Households’ Housing</w:t>
                  </w:r>
                  <w:r>
                    <w:t xml:space="preserve"> </w:t>
                  </w:r>
                  <w:r>
                    <w:t xml:space="preserve">and Transportation</w:t>
                  </w:r>
                  <w:r>
                    <w:t xml:space="preserve"> </w:t>
                  </w:r>
                  <w:r>
                    <w:t xml:space="preserve">Expenditures:</w:t>
                  </w:r>
                  <w:r>
                    <w:t xml:space="preserve"> </w:t>
                  </w:r>
                  <w:r>
                    <w:t xml:space="preserve">Examination from</w:t>
                  </w:r>
                  <w:r>
                    <w:t xml:space="preserve"> </w:t>
                  </w:r>
                  <w:r>
                    <w:t xml:space="preserve">Lifestyle</w:t>
                  </w:r>
                  <w:r>
                    <w:t xml:space="preserve"> </w:t>
                  </w:r>
                  <w:r>
                    <w:t xml:space="preserve">Perspective</w:t>
                  </w:r>
                </w:p>
              </w:tc>
              <w:tc>
                <w:tcPr/>
                <w:p>
                  <w:pPr>
                    <w:pStyle w:val="Compact"/>
                    <w:jc w:val="left"/>
                    <w:jc w:val="center"/>
                  </w:pPr>
                  <w:r>
                    <w:t xml:space="preserve">Deka (2015)</w:t>
                  </w:r>
                </w:p>
              </w:tc>
              <w:tc>
                <w:tcPr/>
                <w:p>
                  <w:pPr>
                    <w:pStyle w:val="Compact"/>
                    <w:jc w:val="left"/>
                    <w:jc w:val="center"/>
                  </w:pPr>
                  <w:r>
                    <w:t xml:space="preserve">CEX</w:t>
                  </w:r>
                </w:p>
              </w:tc>
              <w:tc>
                <w:tcPr/>
                <w:p>
                  <w:pPr>
                    <w:pStyle w:val="Compact"/>
                    <w:jc w:val="left"/>
                    <w:jc w:val="center"/>
                  </w:pPr>
                  <w:r>
                    <w:t xml:space="preserve">More housing costs = more</w:t>
                  </w:r>
                  <w:r>
                    <w:t xml:space="preserve"> </w:t>
                  </w:r>
                  <w:r>
                    <w:t xml:space="preserve">transportation costs, people the take</w:t>
                  </w:r>
                  <w:r>
                    <w:t xml:space="preserve"> </w:t>
                  </w:r>
                  <w:r>
                    <w:t xml:space="preserve">transit spend less on transportation</w:t>
                  </w:r>
                </w:p>
              </w:tc>
            </w:tr>
            <w:tr>
              <w:tc>
                <w:tcPr/>
                <w:p>
                  <w:pPr>
                    <w:pStyle w:val="Compact"/>
                    <w:jc w:val="left"/>
                    <w:jc w:val="center"/>
                  </w:pPr>
                  <w:r>
                    <w:t xml:space="preserve">An empirical</w:t>
                  </w:r>
                  <w:r>
                    <w:t xml:space="preserve"> </w:t>
                  </w:r>
                  <w:r>
                    <w:t xml:space="preserve">investigation into</w:t>
                  </w:r>
                  <w:r>
                    <w:t xml:space="preserve"> </w:t>
                  </w:r>
                  <w:r>
                    <w:t xml:space="preserve">the time-use and</w:t>
                  </w:r>
                  <w:r>
                    <w:t xml:space="preserve"> </w:t>
                  </w:r>
                  <w:r>
                    <w:t xml:space="preserve">activity patterns of</w:t>
                  </w:r>
                  <w:r>
                    <w:t xml:space="preserve"> </w:t>
                  </w:r>
                  <w:r>
                    <w:t xml:space="preserve">dual-earner couples</w:t>
                  </w:r>
                  <w:r>
                    <w:t xml:space="preserve"> </w:t>
                  </w:r>
                  <w:r>
                    <w:t xml:space="preserve">with and without</w:t>
                  </w:r>
                  <w:r>
                    <w:t xml:space="preserve"> </w:t>
                  </w:r>
                  <w:r>
                    <w:t xml:space="preserve">young children</w:t>
                  </w:r>
                </w:p>
              </w:tc>
              <w:tc>
                <w:tcPr/>
                <w:p>
                  <w:pPr>
                    <w:pStyle w:val="Compact"/>
                    <w:jc w:val="left"/>
                    <w:jc w:val="center"/>
                  </w:pPr>
                  <w:r>
                    <w:t xml:space="preserve">Bernardo et al. (2015)</w:t>
                  </w:r>
                </w:p>
              </w:tc>
              <w:tc>
                <w:tcPr/>
                <w:p>
                  <w:pPr>
                    <w:pStyle w:val="Compact"/>
                    <w:jc w:val="left"/>
                    <w:jc w:val="center"/>
                  </w:pPr>
                  <w:r>
                    <w:t xml:space="preserve">ATUS</w:t>
                  </w:r>
                </w:p>
              </w:tc>
              <w:tc>
                <w:tcPr/>
                <w:p>
                  <w:pPr>
                    <w:pStyle w:val="Compact"/>
                    <w:jc w:val="left"/>
                    <w:jc w:val="center"/>
                  </w:pPr>
                  <w:r>
                    <w:t xml:space="preserve">the presence of a child in</w:t>
                  </w:r>
                  <w:r>
                    <w:t xml:space="preserve"> </w:t>
                  </w:r>
                  <w:r>
                    <w:t xml:space="preserve">dual-earner households not only leads</w:t>
                  </w:r>
                  <w:r>
                    <w:t xml:space="preserve"> </w:t>
                  </w:r>
                  <w:r>
                    <w:t xml:space="preserve">to a reduction in in-home non-work</w:t>
                  </w:r>
                  <w:r>
                    <w:t xml:space="preserve"> </w:t>
                  </w:r>
                  <w:r>
                    <w:t xml:space="preserve">activity participation (excluding</w:t>
                  </w:r>
                  <w:r>
                    <w:t xml:space="preserve"> </w:t>
                  </w:r>
                  <w:r>
                    <w:t xml:space="preserve">child care activities) but also a</w:t>
                  </w:r>
                  <w:r>
                    <w:t xml:space="preserve"> </w:t>
                  </w:r>
                  <w:r>
                    <w:t xml:space="preserve">substantially larger decrease in</w:t>
                  </w:r>
                  <w:r>
                    <w:t xml:space="preserve"> </w:t>
                  </w:r>
                  <w:r>
                    <w:t xml:space="preserve">out-of-home non-work activity</w:t>
                  </w:r>
                  <w:r>
                    <w:t xml:space="preserve"> </w:t>
                  </w:r>
                  <w:r>
                    <w:t xml:space="preserve">participation (excluding child care</w:t>
                  </w:r>
                  <w:r>
                    <w:t xml:space="preserve"> </w:t>
                  </w:r>
                  <w:r>
                    <w:t xml:space="preserve">and shopping activities),</w:t>
                  </w:r>
                </w:p>
              </w:tc>
            </w:tr>
            <w:tr>
              <w:tc>
                <w:tcPr/>
                <w:p>
                  <w:pPr>
                    <w:pStyle w:val="Compact"/>
                    <w:jc w:val="left"/>
                    <w:jc w:val="center"/>
                  </w:pPr>
                  <w:r>
                    <w:t xml:space="preserve">Expenditures on</w:t>
                  </w:r>
                  <w:r>
                    <w:t xml:space="preserve"> </w:t>
                  </w:r>
                  <w:r>
                    <w:t xml:space="preserve">Children by</w:t>
                  </w:r>
                  <w:r>
                    <w:t xml:space="preserve"> </w:t>
                  </w:r>
                  <w:r>
                    <w:t xml:space="preserve">Families, 2015</w:t>
                  </w:r>
                </w:p>
              </w:tc>
              <w:tc>
                <w:tcPr/>
                <w:p>
                  <w:pPr>
                    <w:pStyle w:val="Compact"/>
                    <w:jc w:val="left"/>
                    <w:jc w:val="center"/>
                  </w:pPr>
                  <w:r>
                    <w:t xml:space="preserve">Lino et al. (2017)</w:t>
                  </w:r>
                </w:p>
              </w:tc>
              <w:tc>
                <w:tcPr/>
                <w:p>
                  <w:pPr>
                    <w:pStyle w:val="Compact"/>
                    <w:jc w:val="left"/>
                    <w:jc w:val="center"/>
                  </w:pPr>
                  <w:r>
                    <w:t xml:space="preserve">CEX</w:t>
                  </w:r>
                </w:p>
              </w:tc>
              <w:tc>
                <w:tcPr/>
                <w:p>
                  <w:pPr>
                    <w:pStyle w:val="Compact"/>
                    <w:jc w:val="left"/>
                    <w:jc w:val="center"/>
                  </w:pPr>
                  <w:r>
                    <w:t xml:space="preserve">Many observations on the expenditures</w:t>
                  </w:r>
                  <w:r>
                    <w:t xml:space="preserve"> </w:t>
                  </w:r>
                  <w:r>
                    <w:t xml:space="preserve">of children</w:t>
                  </w:r>
                </w:p>
              </w:tc>
            </w:tr>
            <w:tr>
              <w:tc>
                <w:tcPr/>
                <w:p>
                  <w:pPr>
                    <w:pStyle w:val="Compact"/>
                    <w:jc w:val="left"/>
                    <w:jc w:val="center"/>
                  </w:pPr>
                  <w:r>
                    <w:t xml:space="preserve">Factors influencing</w:t>
                  </w:r>
                  <w:r>
                    <w:t xml:space="preserve"> </w:t>
                  </w:r>
                  <w:r>
                    <w:t xml:space="preserve">travel mode choice</w:t>
                  </w:r>
                  <w:r>
                    <w:t xml:space="preserve"> </w:t>
                  </w:r>
                  <w:r>
                    <w:t xml:space="preserve">among families with</w:t>
                  </w:r>
                  <w:r>
                    <w:t xml:space="preserve"> </w:t>
                  </w:r>
                  <w:r>
                    <w:t xml:space="preserve">young children (aged</w:t>
                  </w:r>
                  <w:r>
                    <w:t xml:space="preserve"> </w:t>
                  </w:r>
                  <w:r>
                    <w:t xml:space="preserve">0–4): A review of</w:t>
                  </w:r>
                  <w:r>
                    <w:t xml:space="preserve"> </w:t>
                  </w:r>
                  <w:r>
                    <w:t xml:space="preserve">the literature</w:t>
                  </w:r>
                </w:p>
              </w:tc>
              <w:tc>
                <w:tcPr/>
                <w:p>
                  <w:pPr>
                    <w:pStyle w:val="Compact"/>
                    <w:jc w:val="left"/>
                    <w:jc w:val="center"/>
                  </w:pPr>
                  <w:r>
                    <w:t xml:space="preserve">McCarthy et al. (2017)</w:t>
                  </w:r>
                </w:p>
              </w:tc>
              <w:tc>
                <w:tcPr/>
                <w:p>
                  <w:pPr>
                    <w:pStyle w:val="Compact"/>
                    <w:jc w:val="left"/>
                    <w:jc w:val="center"/>
                  </w:pPr>
                  <w:r>
                    <w:t xml:space="preserve">Lit Review</w:t>
                  </w:r>
                </w:p>
              </w:tc>
              <w:tc>
                <w:tcPr/>
                <w:p>
                  <w:pPr>
                    <w:pStyle w:val="Compact"/>
                    <w:jc w:val="left"/>
                    <w:jc w:val="center"/>
                  </w:pPr>
                  <w:r>
                    <w:t xml:space="preserve">many factores influence decisions</w:t>
                  </w:r>
                  <w:r>
                    <w:t xml:space="preserve"> </w:t>
                  </w:r>
                  <w:r>
                    <w:t xml:space="preserve">about mode choice when traveling with</w:t>
                  </w:r>
                  <w:r>
                    <w:t xml:space="preserve"> </w:t>
                  </w:r>
                  <w:r>
                    <w:t xml:space="preserve">young children.</w:t>
                  </w:r>
                </w:p>
              </w:tc>
            </w:tr>
            <w:tr>
              <w:tc>
                <w:tcPr/>
                <w:p>
                  <w:pPr>
                    <w:pStyle w:val="Compact"/>
                    <w:jc w:val="left"/>
                    <w:jc w:val="center"/>
                  </w:pPr>
                  <w:r>
                    <w:t xml:space="preserve">Relationships</w:t>
                  </w:r>
                  <w:r>
                    <w:t xml:space="preserve"> </w:t>
                  </w:r>
                  <w:r>
                    <w:t xml:space="preserve">between Land Use,</w:t>
                  </w:r>
                  <w:r>
                    <w:t xml:space="preserve"> </w:t>
                  </w:r>
                  <w:r>
                    <w:t xml:space="preserve">Transportation,</w:t>
                  </w:r>
                  <w:r>
                    <w:t xml:space="preserve"> </w:t>
                  </w:r>
                  <w:r>
                    <w:t xml:space="preserve">Household</w:t>
                  </w:r>
                  <w:r>
                    <w:t xml:space="preserve"> </w:t>
                  </w:r>
                  <w:r>
                    <w:t xml:space="preserve">Expenditures, and</w:t>
                  </w:r>
                  <w:r>
                    <w:t xml:space="preserve"> </w:t>
                  </w:r>
                  <w:r>
                    <w:t xml:space="preserve">Municipal Spending</w:t>
                  </w:r>
                  <w:r>
                    <w:t xml:space="preserve"> </w:t>
                  </w:r>
                  <w:r>
                    <w:t xml:space="preserve">in Small Urban Areas</w:t>
                  </w:r>
                </w:p>
              </w:tc>
              <w:tc>
                <w:tcPr/>
                <w:p>
                  <w:pPr>
                    <w:pStyle w:val="Compact"/>
                    <w:jc w:val="left"/>
                    <w:jc w:val="center"/>
                  </w:pPr>
                  <w:r>
                    <w:t xml:space="preserve">Mattson and Peterson (2019)</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denser areas are more likely to use</w:t>
                  </w:r>
                  <w:r>
                    <w:t xml:space="preserve"> </w:t>
                  </w:r>
                  <w:r>
                    <w:t xml:space="preserve">transit to commute. People in</w:t>
                  </w:r>
                  <w:r>
                    <w:t xml:space="preserve"> </w:t>
                  </w:r>
                  <w:r>
                    <w:t xml:space="preserve">single-family homes tend to spend</w:t>
                  </w:r>
                  <w:r>
                    <w:t xml:space="preserve"> </w:t>
                  </w:r>
                  <w:r>
                    <w:t xml:space="preserve">more money on transportation</w:t>
                  </w:r>
                </w:p>
              </w:tc>
            </w:tr>
            <w:tr>
              <w:tc>
                <w:tcPr/>
                <w:p>
                  <w:pPr>
                    <w:pStyle w:val="Compact"/>
                    <w:jc w:val="left"/>
                    <w:jc w:val="center"/>
                  </w:pPr>
                  <w:r>
                    <w:t xml:space="preserve">An</w:t>
                  </w:r>
                  <w:r>
                    <w:t xml:space="preserve"> </w:t>
                  </w:r>
                  <w:r>
                    <w:t xml:space="preserve">environment-people</w:t>
                  </w:r>
                  <w:r>
                    <w:t xml:space="preserve"> </w:t>
                  </w:r>
                  <w:r>
                    <w:t xml:space="preserve">interactions</w:t>
                  </w:r>
                  <w:r>
                    <w:t xml:space="preserve"> </w:t>
                  </w:r>
                  <w:r>
                    <w:t xml:space="preserve">framework for</w:t>
                  </w:r>
                  <w:r>
                    <w:t xml:space="preserve"> </w:t>
                  </w:r>
                  <w:r>
                    <w:t xml:space="preserve">analysing children’s</w:t>
                  </w:r>
                  <w:r>
                    <w:t xml:space="preserve"> </w:t>
                  </w:r>
                  <w:r>
                    <w:t xml:space="preserve">extra-curricular</w:t>
                  </w:r>
                  <w:r>
                    <w:t xml:space="preserve"> </w:t>
                  </w:r>
                  <w:r>
                    <w:t xml:space="preserve">activities and</w:t>
                  </w:r>
                  <w:r>
                    <w:t xml:space="preserve"> </w:t>
                  </w:r>
                  <w:r>
                    <w:t xml:space="preserve">active transport</w:t>
                  </w:r>
                </w:p>
              </w:tc>
              <w:tc>
                <w:tcPr/>
                <w:p>
                  <w:pPr>
                    <w:pStyle w:val="Compact"/>
                    <w:jc w:val="left"/>
                    <w:jc w:val="center"/>
                  </w:pPr>
                  <w:r>
                    <w:t xml:space="preserve">Leung et al. (2019)</w:t>
                  </w:r>
                </w:p>
              </w:tc>
              <w:tc>
                <w:tcPr/>
                <w:p>
                  <w:pPr>
                    <w:pStyle w:val="Compact"/>
                    <w:jc w:val="left"/>
                    <w:jc w:val="center"/>
                  </w:pPr>
                  <w:r>
                    <w:t xml:space="preserve">Survey in Hong</w:t>
                  </w:r>
                  <w:r>
                    <w:t xml:space="preserve"> </w:t>
                  </w:r>
                  <w:r>
                    <w:t xml:space="preserve">Kong Schools</w:t>
                  </w:r>
                </w:p>
              </w:tc>
              <w:tc>
                <w:tcPr/>
                <w:p>
                  <w:pPr>
                    <w:pStyle w:val="Compact"/>
                    <w:jc w:val="left"/>
                    <w:jc w:val="center"/>
                  </w:pPr>
                  <w:r>
                    <w:t xml:space="preserve">childrens activities can differ a lot</w:t>
                  </w:r>
                  <w:r>
                    <w:t xml:space="preserve"> </w:t>
                  </w:r>
                  <w:r>
                    <w:t xml:space="preserve">based on neighborhood enfironment and</w:t>
                  </w:r>
                  <w:r>
                    <w:t xml:space="preserve"> </w:t>
                  </w:r>
                  <w:r>
                    <w:t xml:space="preserve">family sociodemographic background.</w:t>
                  </w:r>
                </w:p>
              </w:tc>
            </w:tr>
            <w:tr>
              <w:tc>
                <w:tcPr/>
                <w:p>
                  <w:pPr>
                    <w:pStyle w:val="Compact"/>
                    <w:jc w:val="left"/>
                    <w:jc w:val="center"/>
                  </w:pPr>
                  <w:r>
                    <w:t xml:space="preserve">Relationships</w:t>
                  </w:r>
                  <w:r>
                    <w:t xml:space="preserve"> </w:t>
                  </w:r>
                  <w:r>
                    <w:t xml:space="preserve">between density,</w:t>
                  </w:r>
                  <w:r>
                    <w:t xml:space="preserve"> </w:t>
                  </w:r>
                  <w:r>
                    <w:t xml:space="preserve">transit, and</w:t>
                  </w:r>
                  <w:r>
                    <w:t xml:space="preserve"> </w:t>
                  </w:r>
                  <w:r>
                    <w:t xml:space="preserve">household</w:t>
                  </w:r>
                  <w:r>
                    <w:t xml:space="preserve"> </w:t>
                  </w:r>
                  <w:r>
                    <w:t xml:space="preserve">expenditures in</w:t>
                  </w:r>
                  <w:r>
                    <w:t xml:space="preserve"> </w:t>
                  </w:r>
                  <w:r>
                    <w:t xml:space="preserve">small urban areas</w:t>
                  </w:r>
                </w:p>
              </w:tc>
              <w:tc>
                <w:tcPr/>
                <w:p>
                  <w:pPr>
                    <w:pStyle w:val="Compact"/>
                    <w:jc w:val="left"/>
                    <w:jc w:val="center"/>
                  </w:pPr>
                  <w:r>
                    <w:t xml:space="preserve">Mattson (2020)</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single family homes spend more on</w:t>
                  </w:r>
                  <w:r>
                    <w:t xml:space="preserve"> </w:t>
                  </w:r>
                  <w:r>
                    <w:t xml:space="preserve">transportation, higher income is</w:t>
                  </w:r>
                  <w:r>
                    <w:t xml:space="preserve"> </w:t>
                  </w:r>
                  <w:r>
                    <w:t xml:space="preserve">correlated with higher tranportation</w:t>
                  </w:r>
                  <w:r>
                    <w:t xml:space="preserve"> </w:t>
                  </w:r>
                  <w:r>
                    <w:t xml:space="preserve">costs.</w:t>
                  </w:r>
                </w:p>
              </w:tc>
            </w:tr>
            <w:tr>
              <w:tc>
                <w:tcPr/>
                <w:p>
                  <w:pPr>
                    <w:pStyle w:val="Compact"/>
                    <w:jc w:val="left"/>
                    <w:jc w:val="center"/>
                  </w:pPr>
                  <w:r>
                    <w:t xml:space="preserve">An Updated</w:t>
                  </w:r>
                  <w:r>
                    <w:t xml:space="preserve"> </w:t>
                  </w:r>
                  <w:r>
                    <w:t xml:space="preserve">Estimation Model of</w:t>
                  </w:r>
                  <w:r>
                    <w:t xml:space="preserve"> </w:t>
                  </w:r>
                  <w:r>
                    <w:t xml:space="preserve">the Cost of Raising</w:t>
                  </w:r>
                  <w:r>
                    <w:t xml:space="preserve"> </w:t>
                  </w:r>
                  <w:r>
                    <w:t xml:space="preserve">Children in Texas</w:t>
                  </w:r>
                </w:p>
              </w:tc>
              <w:tc>
                <w:tcPr/>
                <w:p>
                  <w:pPr>
                    <w:pStyle w:val="Compact"/>
                    <w:jc w:val="left"/>
                    <w:jc w:val="center"/>
                  </w:pPr>
                  <w:r>
                    <w:t xml:space="preserve">Osborne, Wu, and Benson (2021)</w:t>
                  </w:r>
                </w:p>
              </w:tc>
              <w:tc>
                <w:tcPr/>
                <w:p>
                  <w:pPr>
                    <w:pStyle w:val="Compact"/>
                    <w:jc w:val="left"/>
                    <w:jc w:val="center"/>
                  </w:pPr>
                  <w:r>
                    <w:t xml:space="preserve">NHTS, CEX</w:t>
                  </w:r>
                </w:p>
              </w:tc>
              <w:tc>
                <w:tcPr/>
                <w:p>
                  <w:pPr>
                    <w:pStyle w:val="Compact"/>
                    <w:jc w:val="left"/>
                    <w:jc w:val="center"/>
                  </w:pPr>
                  <w:r>
                    <w:t xml:space="preserve">Regardless of the method of</w:t>
                  </w:r>
                  <w:r>
                    <w:t xml:space="preserve"> </w:t>
                  </w:r>
                  <w:r>
                    <w:t xml:space="preserve">calculation, we find that it is</w:t>
                  </w:r>
                  <w:r>
                    <w:t xml:space="preserve"> </w:t>
                  </w:r>
                  <w:r>
                    <w:t xml:space="preserve">nearly impossible for two minimum</w:t>
                  </w:r>
                  <w:r>
                    <w:t xml:space="preserve"> </w:t>
                  </w:r>
                  <w:r>
                    <w:t xml:space="preserve">wage earners to meet the basic costs</w:t>
                  </w:r>
                  <w:r>
                    <w:t xml:space="preserve"> </w:t>
                  </w:r>
                  <w:r>
                    <w:t xml:space="preserve">of raising children in Texas,</w:t>
                  </w:r>
                  <w:r>
                    <w:t xml:space="preserve"> </w:t>
                  </w:r>
                  <w:r>
                    <w:t xml:space="preserve">especially when child care is</w:t>
                  </w:r>
                  <w:r>
                    <w:t xml:space="preserve"> </w:t>
                  </w:r>
                  <w:r>
                    <w:t xml:space="preserve">included</w:t>
                  </w:r>
                </w:p>
              </w:tc>
            </w:tr>
            <w:tr>
              <w:tc>
                <w:tcPr/>
                <w:p>
                  <w:pPr>
                    <w:pStyle w:val="Compact"/>
                    <w:jc w:val="left"/>
                    <w:jc w:val="center"/>
                  </w:pPr>
                  <w:r>
                    <w:t xml:space="preserve">Parental Investments</w:t>
                  </w:r>
                  <w:r>
                    <w:t xml:space="preserve"> </w:t>
                  </w:r>
                  <w:r>
                    <w:t xml:space="preserve">of Money for White,</w:t>
                  </w:r>
                  <w:r>
                    <w:t xml:space="preserve"> </w:t>
                  </w:r>
                  <w:r>
                    <w:t xml:space="preserve">Black, and Hispanic</w:t>
                  </w:r>
                  <w:r>
                    <w:t xml:space="preserve"> </w:t>
                  </w:r>
                  <w:r>
                    <w:t xml:space="preserve">Children in the</w:t>
                  </w:r>
                  <w:r>
                    <w:t xml:space="preserve"> </w:t>
                  </w:r>
                  <w:r>
                    <w:t xml:space="preserve">United States</w:t>
                  </w:r>
                </w:p>
              </w:tc>
              <w:tc>
                <w:tcPr/>
                <w:p>
                  <w:pPr>
                    <w:pStyle w:val="Compact"/>
                    <w:jc w:val="left"/>
                    <w:jc w:val="center"/>
                  </w:pPr>
                  <w:r>
                    <w:t xml:space="preserve">Hastings (2022)</w:t>
                  </w:r>
                </w:p>
              </w:tc>
              <w:tc>
                <w:tcPr/>
                <w:p>
                  <w:pPr>
                    <w:pStyle w:val="Compact"/>
                    <w:jc w:val="left"/>
                    <w:jc w:val="center"/>
                  </w:pPr>
                  <w:r>
                    <w:t xml:space="preserve">CEX</w:t>
                  </w:r>
                </w:p>
              </w:tc>
              <w:tc>
                <w:tcPr/>
                <w:p>
                  <w:pPr>
                    <w:pStyle w:val="Compact"/>
                    <w:jc w:val="left"/>
                    <w:jc w:val="center"/>
                  </w:pPr>
                  <w:r>
                    <w:t xml:space="preserve">. Both sociodemographic and economic</w:t>
                  </w:r>
                  <w:r>
                    <w:t xml:space="preserve"> </w:t>
                  </w:r>
                  <w:r>
                    <w:t xml:space="preserve">factors play a substantial role in</w:t>
                  </w:r>
                  <w:r>
                    <w:t xml:space="preserve"> </w:t>
                  </w:r>
                  <w:r>
                    <w:t xml:space="preserve">these differenCEX, and the racial and</w:t>
                  </w:r>
                  <w:r>
                    <w:t xml:space="preserve"> </w:t>
                  </w:r>
                  <w:r>
                    <w:t xml:space="preserve">ethnic gaps in parental investments</w:t>
                  </w:r>
                  <w:r>
                    <w:t xml:space="preserve"> </w:t>
                  </w:r>
                  <w:r>
                    <w:t xml:space="preserve">of money are nearly eliminated when</w:t>
                  </w:r>
                  <w:r>
                    <w:t xml:space="preserve"> </w:t>
                  </w:r>
                  <w:r>
                    <w:t xml:space="preserve">both are accounted for</w:t>
                  </w:r>
                </w:p>
              </w:tc>
            </w:tr>
            <w:tr>
              <w:tc>
                <w:tcPr/>
                <w:p>
                  <w:pPr>
                    <w:pStyle w:val="Compact"/>
                    <w:jc w:val="left"/>
                    <w:jc w:val="center"/>
                  </w:pPr>
                  <w:r>
                    <w:t xml:space="preserve">The role of</w:t>
                  </w:r>
                  <w:r>
                    <w:t xml:space="preserve"> </w:t>
                  </w:r>
                  <w:r>
                    <w:t xml:space="preserve">household modality</w:t>
                  </w:r>
                  <w:r>
                    <w:t xml:space="preserve"> </w:t>
                  </w:r>
                  <w:r>
                    <w:t xml:space="preserve">style in first and</w:t>
                  </w:r>
                  <w:r>
                    <w:t xml:space="preserve"> </w:t>
                  </w:r>
                  <w:r>
                    <w:t xml:space="preserve">last mile travel</w:t>
                  </w:r>
                  <w:r>
                    <w:t xml:space="preserve"> </w:t>
                  </w:r>
                  <w:r>
                    <w:t xml:space="preserve">mode choice</w:t>
                  </w:r>
                </w:p>
              </w:tc>
              <w:tc>
                <w:tcPr/>
                <w:p>
                  <w:pPr>
                    <w:pStyle w:val="Compact"/>
                    <w:jc w:val="left"/>
                    <w:jc w:val="center"/>
                  </w:pPr>
                  <w:r>
                    <w:t xml:space="preserve">Lu et al. (2022)</w:t>
                  </w:r>
                </w:p>
              </w:tc>
              <w:tc>
                <w:tcPr/>
                <w:p>
                  <w:pPr>
                    <w:pStyle w:val="Compact"/>
                    <w:jc w:val="left"/>
                    <w:jc w:val="center"/>
                  </w:pPr>
                  <w:r>
                    <w:t xml:space="preserve">Southeast</w:t>
                  </w:r>
                  <w:r>
                    <w:t xml:space="preserve"> </w:t>
                  </w:r>
                  <w:r>
                    <w:t xml:space="preserve">Queensland</w:t>
                  </w:r>
                  <w:r>
                    <w:t xml:space="preserve"> </w:t>
                  </w:r>
                  <w:r>
                    <w:t xml:space="preserve">Travel Survey</w:t>
                  </w:r>
                  <w:r>
                    <w:t xml:space="preserve"> </w:t>
                  </w:r>
                  <w:r>
                    <w:t xml:space="preserve">(SEQTS)</w:t>
                  </w:r>
                </w:p>
              </w:tc>
              <w:tc>
                <w:tcPr/>
                <w:p>
                  <w:pPr>
                    <w:pStyle w:val="Compact"/>
                    <w:jc w:val="left"/>
                    <w:jc w:val="center"/>
                  </w:pPr>
                  <w:r>
                    <w:t xml:space="preserve">joint travel contributes least to</w:t>
                  </w:r>
                  <w:r>
                    <w:t xml:space="preserve"> </w:t>
                  </w:r>
                  <w:r>
                    <w:t xml:space="preserve">modal shift from car to active</w:t>
                  </w:r>
                  <w:r>
                    <w:t xml:space="preserve"> </w:t>
                  </w:r>
                  <w:r>
                    <w:t xml:space="preserve">transport when there is improved</w:t>
                  </w:r>
                  <w:r>
                    <w:t xml:space="preserve"> </w:t>
                  </w:r>
                  <w:r>
                    <w:t xml:space="preserve">infrastructure of trains and things</w:t>
                  </w:r>
                </w:p>
              </w:tc>
            </w:tr>
            <w:tr>
              <w:tc>
                <w:tcPr/>
                <w:p>
                  <w:pPr>
                    <w:pStyle w:val="Compact"/>
                    <w:jc w:val="left"/>
                    <w:jc w:val="center"/>
                  </w:pPr>
                  <w:r>
                    <w:t xml:space="preserve">A review of the</w:t>
                  </w:r>
                  <w:r>
                    <w:t xml:space="preserve"> </w:t>
                  </w:r>
                  <w:r>
                    <w:t xml:space="preserve">socio-demographic</w:t>
                  </w:r>
                  <w:r>
                    <w:t xml:space="preserve"> </w:t>
                  </w:r>
                  <w:r>
                    <w:t xml:space="preserve">characteristics</w:t>
                  </w:r>
                  <w:r>
                    <w:t xml:space="preserve"> </w:t>
                  </w:r>
                  <w:r>
                    <w:t xml:space="preserve">affecting the demand</w:t>
                  </w:r>
                  <w:r>
                    <w:t xml:space="preserve"> </w:t>
                  </w:r>
                  <w:r>
                    <w:t xml:space="preserve">for different</w:t>
                  </w:r>
                  <w:r>
                    <w:t xml:space="preserve"> </w:t>
                  </w:r>
                  <w:r>
                    <w:t xml:space="preserve">car-sharing</w:t>
                  </w:r>
                  <w:r>
                    <w:t xml:space="preserve"> </w:t>
                  </w:r>
                  <w:r>
                    <w:t xml:space="preserve">operational schemes</w:t>
                  </w:r>
                </w:p>
              </w:tc>
              <w:tc>
                <w:tcPr/>
                <w:p>
                  <w:pPr>
                    <w:pStyle w:val="Compact"/>
                    <w:jc w:val="left"/>
                    <w:jc w:val="center"/>
                  </w:pPr>
                  <w:r>
                    <w:t xml:space="preserve">Amirnazmiafshar and Diana (2022)</w:t>
                  </w:r>
                </w:p>
              </w:tc>
              <w:tc>
                <w:tcPr/>
                <w:p>
                  <w:pPr>
                    <w:pStyle w:val="Compact"/>
                    <w:jc w:val="left"/>
                    <w:jc w:val="center"/>
                  </w:pPr>
                  <w:r>
                    <w:t xml:space="preserve">NA</w:t>
                  </w:r>
                </w:p>
              </w:tc>
              <w:tc>
                <w:tcPr/>
                <w:p>
                  <w:pPr>
                    <w:pStyle w:val="Compact"/>
                    <w:jc w:val="left"/>
                    <w:jc w:val="center"/>
                  </w:pPr>
                  <w:r>
                    <w:t xml:space="preserve">There are lots of factors that might</w:t>
                  </w:r>
                  <w:r>
                    <w:t xml:space="preserve"> </w:t>
                  </w:r>
                  <w:r>
                    <w:t xml:space="preserve">affect people’s willingness to use</w:t>
                  </w:r>
                  <w:r>
                    <w:t xml:space="preserve"> </w:t>
                  </w:r>
                  <w:r>
                    <w:t xml:space="preserve">car sharing</w:t>
                  </w:r>
                </w:p>
              </w:tc>
            </w:tr>
            <w:tr>
              <w:tc>
                <w:tcPr/>
                <w:p>
                  <w:pPr>
                    <w:pStyle w:val="Compact"/>
                    <w:jc w:val="left"/>
                    <w:jc w:val="center"/>
                  </w:pPr>
                  <w:r>
                    <w:t xml:space="preserve">Estimating</w:t>
                  </w:r>
                  <w:r>
                    <w:t xml:space="preserve"> </w:t>
                  </w:r>
                  <w:r>
                    <w:t xml:space="preserve">Expenditures on</w:t>
                  </w:r>
                  <w:r>
                    <w:t xml:space="preserve"> </w:t>
                  </w:r>
                  <w:r>
                    <w:t xml:space="preserve">Children by Families</w:t>
                  </w:r>
                  <w:r>
                    <w:t xml:space="preserve"> </w:t>
                  </w:r>
                  <w:r>
                    <w:t xml:space="preserve">in Canada, 2014 to</w:t>
                  </w:r>
                  <w:r>
                    <w:t xml:space="preserve"> </w:t>
                  </w:r>
                  <w:r>
                    <w:t xml:space="preserve">2017</w:t>
                  </w:r>
                </w:p>
              </w:tc>
              <w:tc>
                <w:tcPr/>
                <w:p>
                  <w:pPr>
                    <w:pStyle w:val="Compact"/>
                    <w:jc w:val="left"/>
                    <w:jc w:val="center"/>
                  </w:pPr>
                  <w:r>
                    <w:t xml:space="preserve">Duncan, Frank, and Guèvremont (2023)</w:t>
                  </w:r>
                </w:p>
              </w:tc>
              <w:tc>
                <w:tcPr/>
                <w:p>
                  <w:pPr>
                    <w:pStyle w:val="Compact"/>
                    <w:jc w:val="left"/>
                    <w:jc w:val="center"/>
                  </w:pPr>
                  <w:r>
                    <w:t xml:space="preserve">Survey of</w:t>
                  </w:r>
                  <w:r>
                    <w:t xml:space="preserve"> </w:t>
                  </w:r>
                  <w:r>
                    <w:t xml:space="preserve">Household</w:t>
                  </w:r>
                  <w:r>
                    <w:t xml:space="preserve"> </w:t>
                  </w:r>
                  <w:r>
                    <w:t xml:space="preserve">Spending (SHS)</w:t>
                  </w:r>
                </w:p>
              </w:tc>
              <w:tc>
                <w:tcPr/>
                <w:p>
                  <w:pPr>
                    <w:pStyle w:val="Compact"/>
                    <w:jc w:val="left"/>
                    <w:jc w:val="center"/>
                  </w:pPr>
                  <w:r>
                    <w:t xml:space="preserve">The more income, the more spending on</w:t>
                  </w:r>
                  <w:r>
                    <w:t xml:space="preserve"> </w:t>
                  </w:r>
                  <w:r>
                    <w:t xml:space="preserve">kids.</w:t>
                  </w:r>
                </w:p>
              </w:tc>
            </w:tr>
            <w:tr>
              <w:tc>
                <w:tcPr/>
                <w:p>
                  <w:pPr>
                    <w:pStyle w:val="Compact"/>
                    <w:jc w:val="left"/>
                    <w:jc w:val="center"/>
                  </w:pPr>
                  <w:r>
                    <w:t xml:space="preserve">A New Approach to</w:t>
                  </w:r>
                  <w:r>
                    <w:t xml:space="preserve"> </w:t>
                  </w:r>
                  <w:r>
                    <w:t xml:space="preserve">Understanding the</w:t>
                  </w:r>
                  <w:r>
                    <w:t xml:space="preserve"> </w:t>
                  </w:r>
                  <w:r>
                    <w:t xml:space="preserve">Impact of Automobile</w:t>
                  </w:r>
                  <w:r>
                    <w:t xml:space="preserve"> </w:t>
                  </w:r>
                  <w:r>
                    <w:t xml:space="preserve">Ownership on</w:t>
                  </w:r>
                  <w:r>
                    <w:t xml:space="preserve"> </w:t>
                  </w:r>
                  <w:r>
                    <w:t xml:space="preserve">Transportation</w:t>
                  </w:r>
                  <w:r>
                    <w:t xml:space="preserve"> </w:t>
                  </w:r>
                  <w:r>
                    <w:t xml:space="preserve">Equity</w:t>
                  </w:r>
                </w:p>
              </w:tc>
              <w:tc>
                <w:tcPr/>
                <w:p>
                  <w:pPr>
                    <w:pStyle w:val="Compact"/>
                    <w:jc w:val="left"/>
                    <w:jc w:val="center"/>
                  </w:pPr>
                  <w:r>
                    <w:t xml:space="preserve">Molloy, Garrick, and Atkinson-Palombo (2024)</w:t>
                  </w:r>
                </w:p>
              </w:tc>
              <w:tc>
                <w:tcPr/>
                <w:p>
                  <w:pPr>
                    <w:pStyle w:val="Compact"/>
                    <w:jc w:val="left"/>
                    <w:jc w:val="center"/>
                  </w:pPr>
                  <w:r>
                    <w:t xml:space="preserve">CEX</w:t>
                  </w:r>
                </w:p>
              </w:tc>
              <w:tc>
                <w:tcPr/>
                <w:p>
                  <w:pPr>
                    <w:pStyle w:val="Compact"/>
                    <w:jc w:val="left"/>
                    <w:jc w:val="center"/>
                  </w:pPr>
                  <w:r>
                    <w:t xml:space="preserve">“Captive Riders”</w:t>
                  </w:r>
                  <w:r>
                    <w:t xml:space="preserve"> </w:t>
                  </w:r>
                  <w:r>
                    <w:t xml:space="preserve">have less spending</w:t>
                  </w:r>
                  <w:r>
                    <w:t xml:space="preserve"> </w:t>
                  </w:r>
                  <w:r>
                    <w:t xml:space="preserve">allocated to transportation than</w:t>
                  </w:r>
                  <w:r>
                    <w:t xml:space="preserve"> </w:t>
                  </w:r>
                  <w:r>
                    <w:t xml:space="preserve">captive drivers.</w:t>
                  </w:r>
                </w:p>
              </w:tc>
            </w:tr>
            <w:tr>
              <w:tc>
                <w:tcPr/>
                <w:p>
                  <w:pPr>
                    <w:pStyle w:val="Compact"/>
                    <w:jc w:val="left"/>
                    <w:jc w:val="center"/>
                  </w:pPr>
                  <w:r>
                    <w:t xml:space="preserve">Transportation</w:t>
                  </w:r>
                  <w:r>
                    <w:t xml:space="preserve"> </w:t>
                  </w:r>
                  <w:r>
                    <w:t xml:space="preserve">Statistics Annual</w:t>
                  </w:r>
                  <w:r>
                    <w:t xml:space="preserve"> </w:t>
                  </w:r>
                  <w:r>
                    <w:t xml:space="preserve">Report 2024</w:t>
                  </w:r>
                </w:p>
              </w:tc>
              <w:tc>
                <w:tcPr/>
                <w:p>
                  <w:pPr>
                    <w:pStyle w:val="Compact"/>
                    <w:jc w:val="left"/>
                    <w:jc w:val="center"/>
                  </w:pPr>
                  <w:r>
                    <w:t xml:space="preserve">Bureau of Transportation Statistics (2024)</w:t>
                  </w:r>
                </w:p>
              </w:tc>
              <w:tc>
                <w:tcPr/>
                <w:p>
                  <w:pPr>
                    <w:pStyle w:val="Compact"/>
                    <w:jc w:val="left"/>
                    <w:jc w:val="center"/>
                  </w:pPr>
                  <w:r>
                    <w:t xml:space="preserve">CEX and others</w:t>
                  </w:r>
                </w:p>
              </w:tc>
              <w:tc>
                <w:tcPr/>
                <w:p>
                  <w:pPr>
                    <w:pStyle w:val="Compact"/>
                    <w:jc w:val="left"/>
                    <w:jc w:val="center"/>
                  </w:pPr>
                  <w:r>
                    <w:t xml:space="preserve">Lots of summaries</w:t>
                  </w:r>
                </w:p>
              </w:tc>
            </w:tr>
            <w:tr>
              <w:tc>
                <w:tcPr/>
                <w:p>
                  <w:pPr>
                    <w:pStyle w:val="Compact"/>
                    <w:jc w:val="left"/>
                    <w:jc w:val="center"/>
                  </w:pPr>
                  <w:r>
                    <w:t xml:space="preserve">A STUDY OF SPENDING,</w:t>
                  </w:r>
                  <w:r>
                    <w:t xml:space="preserve"> </w:t>
                  </w:r>
                  <w:r>
                    <w:t xml:space="preserve">SAVING AND</w:t>
                  </w:r>
                  <w:r>
                    <w:t xml:space="preserve"> </w:t>
                  </w:r>
                  <w:r>
                    <w:t xml:space="preserve">INVESTMENT PATTERNS</w:t>
                  </w:r>
                  <w:r>
                    <w:t xml:space="preserve"> </w:t>
                  </w:r>
                  <w:r>
                    <w:t xml:space="preserve">OF MARRIED COUPLES</w:t>
                  </w:r>
                  <w:r>
                    <w:t xml:space="preserve"> </w:t>
                  </w:r>
                  <w:r>
                    <w:t xml:space="preserve">WITH</w:t>
                  </w:r>
                  <w:r>
                    <w:t xml:space="preserve"> </w:t>
                  </w:r>
                  <w:r>
                    <w:t xml:space="preserve">CHILDREN(NON-DINK)</w:t>
                  </w:r>
                  <w:r>
                    <w:t xml:space="preserve"> </w:t>
                  </w:r>
                  <w:r>
                    <w:t xml:space="preserve">IN MUMBAI</w:t>
                  </w:r>
                </w:p>
              </w:tc>
              <w:tc>
                <w:tcPr/>
                <w:p>
                  <w:pPr>
                    <w:pStyle w:val="Compact"/>
                    <w:jc w:val="left"/>
                    <w:jc w:val="center"/>
                  </w:pPr>
                  <w:r>
                    <w:t xml:space="preserve">Hargunani, Vernekar, and Vernekar (2024)</w:t>
                  </w:r>
                </w:p>
              </w:tc>
              <w:tc>
                <w:tcPr/>
                <w:p>
                  <w:pPr>
                    <w:pStyle w:val="Compact"/>
                    <w:jc w:val="left"/>
                    <w:jc w:val="center"/>
                  </w:pPr>
                  <w:r>
                    <w:t xml:space="preserve">Data from</w:t>
                  </w:r>
                  <w:r>
                    <w:t xml:space="preserve"> </w:t>
                  </w:r>
                  <w:r>
                    <w:t xml:space="preserve">Mumbai</w:t>
                  </w:r>
                </w:p>
              </w:tc>
              <w:tc>
                <w:tcPr/>
                <w:p>
                  <w:pPr>
                    <w:pStyle w:val="Compact"/>
                    <w:jc w:val="left"/>
                    <w:jc w:val="center"/>
                  </w:pPr>
                  <w:r>
                    <w:t xml:space="preserve">The data analysis reveals distinct</w:t>
                  </w:r>
                  <w:r>
                    <w:t xml:space="preserve"> </w:t>
                  </w:r>
                  <w:r>
                    <w:t xml:space="preserve">spending, saving, and investment</w:t>
                  </w:r>
                  <w:r>
                    <w:t xml:space="preserve"> </w:t>
                  </w:r>
                  <w:r>
                    <w:t xml:space="preserve">patterns among married couples, with</w:t>
                  </w:r>
                  <w:r>
                    <w:t xml:space="preserve"> </w:t>
                  </w:r>
                  <w:r>
                    <w:t xml:space="preserve">a clear prioritization towards</w:t>
                  </w:r>
                  <w:r>
                    <w:t xml:space="preserve"> </w:t>
                  </w:r>
                  <w:r>
                    <w:t xml:space="preserve">ensuring the well-being and future</w:t>
                  </w:r>
                  <w:r>
                    <w:t xml:space="preserve"> </w:t>
                  </w:r>
                  <w:r>
                    <w:t xml:space="preserve">security of their families.”</w:t>
                  </w:r>
                </w:p>
              </w:tc>
            </w:tr>
            <w:tr>
              <w:tc>
                <w:tcPr/>
                <w:p>
                  <w:pPr>
                    <w:pStyle w:val="Compact"/>
                    <w:jc w:val="left"/>
                    <w:jc w:val="center"/>
                  </w:pPr>
                  <w:r>
                    <w:t xml:space="preserve">Subsidizing Car</w:t>
                  </w:r>
                  <w:r>
                    <w:t xml:space="preserve"> </w:t>
                  </w:r>
                  <w:r>
                    <w:t xml:space="preserve">Ownership for</w:t>
                  </w:r>
                  <w:r>
                    <w:t xml:space="preserve"> </w:t>
                  </w:r>
                  <w:r>
                    <w:t xml:space="preserve">Low-Income</w:t>
                  </w:r>
                  <w:r>
                    <w:t xml:space="preserve"> </w:t>
                  </w:r>
                  <w:r>
                    <w:t xml:space="preserve">Individuals and</w:t>
                  </w:r>
                  <w:r>
                    <w:t xml:space="preserve"> </w:t>
                  </w:r>
                  <w:r>
                    <w:t xml:space="preserve">Households</w:t>
                  </w:r>
                </w:p>
              </w:tc>
              <w:tc>
                <w:tcPr/>
                <w:p>
                  <w:pPr>
                    <w:pStyle w:val="Compact"/>
                    <w:jc w:val="left"/>
                    <w:jc w:val="center"/>
                  </w:pPr>
                  <w:r>
                    <w:t xml:space="preserve">Klein (2024)</w:t>
                  </w:r>
                </w:p>
              </w:tc>
              <w:tc>
                <w:tcPr/>
                <w:p>
                  <w:pPr>
                    <w:pStyle w:val="Compact"/>
                    <w:jc w:val="left"/>
                    <w:jc w:val="center"/>
                  </w:pPr>
                  <w:r>
                    <w:t xml:space="preserve">Personal</w:t>
                  </w:r>
                  <w:r>
                    <w:t xml:space="preserve"> </w:t>
                  </w:r>
                  <w:r>
                    <w:t xml:space="preserve">Survey Created</w:t>
                  </w:r>
                  <w:r>
                    <w:t xml:space="preserve"> </w:t>
                  </w:r>
                  <w:r>
                    <w:t xml:space="preserve">by Dr. Klein</w:t>
                  </w:r>
                </w:p>
              </w:tc>
              <w:tc>
                <w:tcPr/>
                <w:p>
                  <w:pPr>
                    <w:pStyle w:val="Compact"/>
                    <w:jc w:val="left"/>
                    <w:jc w:val="center"/>
                  </w:pPr>
                  <w:r>
                    <w:t xml:space="preserve">Having a car gave people more</w:t>
                  </w:r>
                  <w:r>
                    <w:t xml:space="preserve"> </w:t>
                  </w:r>
                  <w:r>
                    <w:t xml:space="preserve">opportunities than before, and they</w:t>
                  </w:r>
                  <w:r>
                    <w:t xml:space="preserve"> </w:t>
                  </w:r>
                  <w:r>
                    <w:t xml:space="preserve">usually had more time to spend with</w:t>
                  </w:r>
                  <w:r>
                    <w:t xml:space="preserve"> </w:t>
                  </w:r>
                  <w:r>
                    <w:t xml:space="preserve">the family. At the beginning and end</w:t>
                  </w:r>
                  <w:r>
                    <w:t xml:space="preserve"> </w:t>
                  </w:r>
                  <w:r>
                    <w:t xml:space="preserve">of the day.</w:t>
                  </w:r>
                </w:p>
              </w:tc>
            </w:tr>
            <w:tr>
              <w:tc>
                <w:tcPr/>
                <w:p>
                  <w:pPr>
                    <w:pStyle w:val="Compact"/>
                    <w:jc w:val="left"/>
                    <w:jc w:val="center"/>
                  </w:pPr>
                  <w:r>
                    <w:t xml:space="preserve">Investigating the</w:t>
                  </w:r>
                  <w:r>
                    <w:t xml:space="preserve"> </w:t>
                  </w:r>
                  <w:r>
                    <w:t xml:space="preserve">effects of</w:t>
                  </w:r>
                  <w:r>
                    <w:t xml:space="preserve"> </w:t>
                  </w:r>
                  <w:r>
                    <w:t xml:space="preserve">ridesourcing on the</w:t>
                  </w:r>
                  <w:r>
                    <w:t xml:space="preserve"> </w:t>
                  </w:r>
                  <w:r>
                    <w:t xml:space="preserve">dynamics of</w:t>
                  </w:r>
                  <w:r>
                    <w:t xml:space="preserve"> </w:t>
                  </w:r>
                  <w:r>
                    <w:t xml:space="preserve">household car</w:t>
                  </w:r>
                  <w:r>
                    <w:t xml:space="preserve"> </w:t>
                  </w:r>
                  <w:r>
                    <w:t xml:space="preserve">ownership</w:t>
                  </w:r>
                </w:p>
              </w:tc>
              <w:tc>
                <w:tcPr/>
                <w:p>
                  <w:pPr>
                    <w:pStyle w:val="Compact"/>
                    <w:jc w:val="left"/>
                    <w:jc w:val="center"/>
                  </w:pPr>
                  <w:r>
                    <w:t xml:space="preserve">Bilgin et al. (2025)</w:t>
                  </w:r>
                </w:p>
              </w:tc>
              <w:tc>
                <w:tcPr/>
                <w:p>
                  <w:pPr>
                    <w:pStyle w:val="Compact"/>
                    <w:jc w:val="left"/>
                    <w:jc w:val="center"/>
                  </w:pPr>
                  <w:r>
                    <w:t xml:space="preserve">United Kingdom</w:t>
                  </w:r>
                  <w:r>
                    <w:t xml:space="preserve"> </w:t>
                  </w:r>
                  <w:r>
                    <w:t xml:space="preserve">Household</w:t>
                  </w:r>
                  <w:r>
                    <w:t xml:space="preserve"> </w:t>
                  </w:r>
                  <w:r>
                    <w:t xml:space="preserve">Longitudinal</w:t>
                  </w:r>
                  <w:r>
                    <w:t xml:space="preserve"> </w:t>
                  </w:r>
                  <w:r>
                    <w:t xml:space="preserve">Study</w:t>
                  </w:r>
                </w:p>
              </w:tc>
              <w:tc>
                <w:tcPr/>
                <w:p>
                  <w:pPr>
                    <w:pStyle w:val="Compact"/>
                    <w:jc w:val="left"/>
                    <w:jc w:val="center"/>
                  </w:pPr>
                  <w:r>
                    <w:t xml:space="preserve">Suggests that households are less</w:t>
                  </w:r>
                  <w:r>
                    <w:t xml:space="preserve"> </w:t>
                  </w:r>
                  <w:r>
                    <w:t xml:space="preserve">likely to qcquire a car in the</w:t>
                  </w:r>
                  <w:r>
                    <w:t xml:space="preserve"> </w:t>
                  </w:r>
                  <w:r>
                    <w:t xml:space="preserve">presence of ridesourcing, but car</w:t>
                  </w:r>
                  <w:r>
                    <w:t xml:space="preserve"> </w:t>
                  </w:r>
                  <w:r>
                    <w:t xml:space="preserve">disposal is mainly driven by</w:t>
                  </w:r>
                  <w:r>
                    <w:t xml:space="preserve"> </w:t>
                  </w:r>
                  <w:r>
                    <w:t xml:space="preserve">household compositions and</w:t>
                  </w:r>
                  <w:r>
                    <w:t xml:space="preserve"> </w:t>
                  </w:r>
                  <w:r>
                    <w:t xml:space="preserve">residential relocation factors.</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Lit Review Table</w:t>
        </w:r>
      </w:hyperlink>
    </w:p>
    <w:p>
      <w:pPr>
        <w:pStyle w:val="BodyText"/>
      </w:pPr>
      <w:r>
        <w:t xml:space="preserve">The literature relating to this study has been classified into four groups: (1) Family Choices and Activity Patterns, (2) Family Transportation Choices, (3) Family Spending and Budgets, and (4) Family Transportation Budgets. The following sections describe the relevant findings from literature in each of these groups.</w:t>
      </w:r>
    </w:p>
    <w:bookmarkStart w:id="24"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Copperman, and Bhat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24"/>
    <w:bookmarkStart w:id="25"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25"/>
    <w:bookmarkStart w:id="26"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Garrick, and Atkinson-Palombo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Garrick, and Atkinson-Palombo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p>
      <w:pPr>
        <w:pStyle w:val="BodyText"/>
      </w:pPr>
      <w:r>
        <w:t xml:space="preserve">Bureau of Transportation Statistics (2024)</w:t>
      </w:r>
      <w:r>
        <w:t xml:space="preserve"> </w:t>
      </w:r>
      <w:r>
        <w:t xml:space="preserve">- Chapter 2 has a whole section where they analyze household expenditures gettting much of their data from the CEX.</w:t>
      </w:r>
    </w:p>
    <w:bookmarkEnd w:id="26"/>
    <w:bookmarkStart w:id="27" w:name="the-current-study"/>
    <w:p>
      <w:pPr>
        <w:pStyle w:val="Heading3"/>
      </w:pPr>
      <w:r>
        <w:t xml:space="preserve">2.4 The Current Study</w:t>
      </w:r>
    </w:p>
    <w:p>
      <w:pPr>
        <w:pStyle w:val="FirstParagraph"/>
      </w:pPr>
      <w:r>
        <w:t xml:space="preserve">This study has never been done and will add to the current literature in the following ways.</w:t>
      </w:r>
    </w:p>
    <w:p>
      <w:pPr>
        <w:numPr>
          <w:ilvl w:val="0"/>
          <w:numId w:val="1004"/>
        </w:numPr>
      </w:pPr>
      <w:r>
        <w:t xml:space="preserve">Data: Many studies on household transportation patterns focus on time diaries and other things. This study uses consumer expenditure data to understand patterns in household transportation budgets.</w:t>
      </w:r>
    </w:p>
    <w:p>
      <w:pPr>
        <w:numPr>
          <w:ilvl w:val="0"/>
          <w:numId w:val="1004"/>
        </w:numPr>
      </w:pPr>
      <w:r>
        <w:t xml:space="preserve">Methodology: LCA to find groupings that organize households using different transportation expense patterns. What variables do we want to look at, and how is that different from other studies?</w:t>
      </w:r>
    </w:p>
    <w:p>
      <w:pPr>
        <w:numPr>
          <w:ilvl w:val="0"/>
          <w:numId w:val="1004"/>
        </w:numPr>
      </w:pPr>
      <w:r>
        <w:t xml:space="preserve">Purpose: Have there been any studies that share a similar end goal as our study? If so, is ours unique?</w:t>
      </w:r>
    </w:p>
    <w:bookmarkEnd w:id="27"/>
    <w:bookmarkEnd w:id="28"/>
    <w:bookmarkStart w:id="29" w:name="data"/>
    <w:p>
      <w:pPr>
        <w:pStyle w:val="Heading2"/>
      </w:pPr>
      <w:r>
        <w:t xml:space="preserve">3 Data</w:t>
      </w:r>
    </w:p>
    <w:p>
      <w:pPr>
        <w:pStyle w:val="FirstParagraph"/>
      </w:pPr>
      <w:r>
        <w:t xml:space="preserve">Data for the following analysis were attained from the 2024 Consumer Expenditure Survey (CEX) Public Use Microdata (PUMD). The CEX is deployed continuously by the Bureau of Labor Statistics (BLS). The data are organized by quarter and published each year. The CEX consists of two surveys as described below.</w:t>
      </w:r>
    </w:p>
    <w:p>
      <w:pPr>
        <w:numPr>
          <w:ilvl w:val="0"/>
          <w:numId w:val="1005"/>
        </w:numPr>
      </w:pPr>
      <w:r>
        <w:rPr>
          <w:b/>
          <w:bCs/>
        </w:rPr>
        <w:t xml:space="preserve">The Interview Survey</w:t>
      </w:r>
      <w:r>
        <w:t xml:space="preserve"> </w:t>
      </w:r>
      <w:r>
        <w:t xml:space="preserve">tracks a household’s major and recurring expenditures by reviewing their expenses from the past three months. Approximatedly 6000 usable interviews are collected each quarter. After interviewing a household for 4 consecutive quarters, they are removed from the sample and replaced by a new household.</w:t>
      </w:r>
    </w:p>
    <w:p>
      <w:pPr>
        <w:numPr>
          <w:ilvl w:val="0"/>
          <w:numId w:val="1005"/>
        </w:numPr>
      </w:pPr>
      <w:r>
        <w:rPr>
          <w:b/>
          <w:bCs/>
        </w:rPr>
        <w:t xml:space="preserve">The Diary Survey</w:t>
      </w:r>
      <w:r>
        <w:t xml:space="preserve"> </w:t>
      </w:r>
      <w:r>
        <w:t xml:space="preserve">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w:t>
      </w:r>
    </w:p>
    <w:p>
      <w:pPr>
        <w:pStyle w:val="FirstParagraph"/>
      </w:pPr>
      <w:r>
        <w:t xml:space="preserve">This study uses data from the Diary Survey.</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grouped the 397 different types of expenditures found in the data into the following 24 categories: Air Travel, Alcohol, At -Home Entertainment, Bike or Scooter or other Single Rider Travel, Bus Travel, Car Fuel, Car Maintenance, Car Other, Car Payment, Car Purchase, Clothing Related, Education, Family Spending, Food Related, House Related, Hygiene, Medical, Motorcycle Travel, no category specified, Recreational Related, School Supplies, Ship Travel, Taxi or Limo Travel, Train Travel</w:t>
      </w:r>
    </w:p>
    <w:bookmarkEnd w:id="29"/>
    <w:bookmarkStart w:id="98" w:name="references"/>
    <w:p>
      <w:pPr>
        <w:pStyle w:val="Heading2"/>
      </w:pPr>
      <w:r>
        <w:t xml:space="preserve">4 References</w:t>
      </w:r>
    </w:p>
    <w:bookmarkStart w:id="97" w:name="refs"/>
    <w:bookmarkStart w:id="31"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30">
        <w:r>
          <w:rPr>
            <w:rStyle w:val="Hyperlink"/>
          </w:rPr>
          <w:t xml:space="preserve">https://doi.org/10.1016/j.trip.2022.100616</w:t>
        </w:r>
      </w:hyperlink>
      <w:r>
        <w:t xml:space="preserve">.</w:t>
      </w:r>
    </w:p>
    <w:bookmarkEnd w:id="31"/>
    <w:bookmarkStart w:id="33"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2">
        <w:r>
          <w:rPr>
            <w:rStyle w:val="Hyperlink"/>
          </w:rPr>
          <w:t xml:space="preserve">https://doi.org/10.1016/j.tra.2014.12.006</w:t>
        </w:r>
      </w:hyperlink>
      <w:r>
        <w:t xml:space="preserve">.</w:t>
      </w:r>
    </w:p>
    <w:bookmarkEnd w:id="33"/>
    <w:bookmarkStart w:id="35"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4">
        <w:r>
          <w:rPr>
            <w:rStyle w:val="Hyperlink"/>
          </w:rPr>
          <w:t xml:space="preserve">https://doi.org/10.1016/j.trd.2025.104886</w:t>
        </w:r>
      </w:hyperlink>
      <w:r>
        <w:t xml:space="preserve">.</w:t>
      </w:r>
    </w:p>
    <w:bookmarkEnd w:id="35"/>
    <w:bookmarkStart w:id="36"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6"/>
    <w:bookmarkStart w:id="38"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7">
        <w:r>
          <w:rPr>
            <w:rStyle w:val="Hyperlink"/>
          </w:rPr>
          <w:t xml:space="preserve">https://doi.org/10.21949/E0KQ-GF72</w:t>
        </w:r>
      </w:hyperlink>
      <w:r>
        <w:t xml:space="preserve">.</w:t>
      </w:r>
    </w:p>
    <w:bookmarkEnd w:id="38"/>
    <w:bookmarkStart w:id="40"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9">
        <w:r>
          <w:rPr>
            <w:rStyle w:val="Hyperlink"/>
          </w:rPr>
          <w:t xml:space="preserve">https://doi.org/10.3141/2010-14</w:t>
        </w:r>
      </w:hyperlink>
      <w:r>
        <w:t xml:space="preserve">.</w:t>
      </w:r>
    </w:p>
    <w:bookmarkEnd w:id="40"/>
    <w:bookmarkStart w:id="42"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41">
        <w:r>
          <w:rPr>
            <w:rStyle w:val="Hyperlink"/>
          </w:rPr>
          <w:t xml:space="preserve">https://doi.org/10.1007/s11116-006-0005-5</w:t>
        </w:r>
      </w:hyperlink>
      <w:r>
        <w:t xml:space="preserve">.</w:t>
      </w:r>
    </w:p>
    <w:bookmarkEnd w:id="42"/>
    <w:bookmarkStart w:id="43"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3"/>
    <w:bookmarkStart w:id="45"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4">
        <w:r>
          <w:rPr>
            <w:rStyle w:val="Hyperlink"/>
          </w:rPr>
          <w:t xml:space="preserve">https://doi.org/10.3141/2531-04</w:t>
        </w:r>
      </w:hyperlink>
      <w:r>
        <w:t xml:space="preserve">.</w:t>
      </w:r>
    </w:p>
    <w:bookmarkEnd w:id="45"/>
    <w:bookmarkStart w:id="47"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6">
        <w:r>
          <w:rPr>
            <w:rStyle w:val="Hyperlink"/>
          </w:rPr>
          <w:t xml:space="preserve">https://doi.org/10.25318/11F0019M2023007-ENG</w:t>
        </w:r>
      </w:hyperlink>
      <w:r>
        <w:t xml:space="preserve">.</w:t>
      </w:r>
    </w:p>
    <w:bookmarkEnd w:id="47"/>
    <w:bookmarkStart w:id="49"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8">
        <w:r>
          <w:rPr>
            <w:rStyle w:val="Hyperlink"/>
          </w:rPr>
          <w:t xml:space="preserve">https://doi.org/10.1007/s11116-010-9264-2</w:t>
        </w:r>
      </w:hyperlink>
      <w:r>
        <w:t xml:space="preserve">.</w:t>
      </w:r>
    </w:p>
    <w:bookmarkEnd w:id="49"/>
    <w:bookmarkStart w:id="51"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50">
        <w:r>
          <w:rPr>
            <w:rStyle w:val="Hyperlink"/>
          </w:rPr>
          <w:t xml:space="preserve">https://doi.org/10.1007/s10834-006-9031-x</w:t>
        </w:r>
      </w:hyperlink>
      <w:r>
        <w:t xml:space="preserve">.</w:t>
      </w:r>
    </w:p>
    <w:bookmarkEnd w:id="51"/>
    <w:bookmarkStart w:id="53"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2">
        <w:r>
          <w:rPr>
            <w:rStyle w:val="Hyperlink"/>
          </w:rPr>
          <w:t xml:space="preserve">https://doi.org/10.3141/2077-09</w:t>
        </w:r>
      </w:hyperlink>
      <w:r>
        <w:t xml:space="preserve">.</w:t>
      </w:r>
    </w:p>
    <w:bookmarkEnd w:id="53"/>
    <w:bookmarkStart w:id="54"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4"/>
    <w:bookmarkStart w:id="56"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5">
        <w:r>
          <w:rPr>
            <w:rStyle w:val="Hyperlink"/>
          </w:rPr>
          <w:t xml:space="preserve">https://doi.org/10.1177/23780231221103054</w:t>
        </w:r>
      </w:hyperlink>
      <w:r>
        <w:t xml:space="preserve">.</w:t>
      </w:r>
    </w:p>
    <w:bookmarkEnd w:id="56"/>
    <w:bookmarkStart w:id="58"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7">
        <w:r>
          <w:rPr>
            <w:rStyle w:val="Hyperlink"/>
          </w:rPr>
          <w:t xml:space="preserve">https://doi.org/10.1300/J073v18n02_02</w:t>
        </w:r>
      </w:hyperlink>
      <w:r>
        <w:t xml:space="preserve">.</w:t>
      </w:r>
    </w:p>
    <w:bookmarkEnd w:id="58"/>
    <w:bookmarkStart w:id="60"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59">
        <w:r>
          <w:rPr>
            <w:rStyle w:val="Hyperlink"/>
          </w:rPr>
          <w:t xml:space="preserve">https://heinonline.org/HOL/P?h=hein.journals/month124&amp;i=482</w:t>
        </w:r>
      </w:hyperlink>
      <w:r>
        <w:t xml:space="preserve">.</w:t>
      </w:r>
    </w:p>
    <w:bookmarkEnd w:id="60"/>
    <w:bookmarkStart w:id="62"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61">
        <w:r>
          <w:rPr>
            <w:rStyle w:val="Hyperlink"/>
          </w:rPr>
          <w:t xml:space="preserve">https://doi.org/10.1177/0739456X20950428</w:t>
        </w:r>
      </w:hyperlink>
      <w:r>
        <w:t xml:space="preserve">.</w:t>
      </w:r>
    </w:p>
    <w:bookmarkEnd w:id="62"/>
    <w:bookmarkStart w:id="64"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63">
        <w:r>
          <w:rPr>
            <w:rStyle w:val="Hyperlink"/>
          </w:rPr>
          <w:t xml:space="preserve">https://doi.org/10.1016/j.jtrangeo.2018.12.015</w:t>
        </w:r>
      </w:hyperlink>
      <w:r>
        <w:t xml:space="preserve">.</w:t>
      </w:r>
    </w:p>
    <w:bookmarkEnd w:id="64"/>
    <w:bookmarkStart w:id="66"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5">
        <w:r>
          <w:rPr>
            <w:rStyle w:val="Hyperlink"/>
          </w:rPr>
          <w:t xml:space="preserve">https://doi.org/10.22004/ag.econ.327257</w:t>
        </w:r>
      </w:hyperlink>
      <w:r>
        <w:t xml:space="preserve">.</w:t>
      </w:r>
    </w:p>
    <w:bookmarkEnd w:id="66"/>
    <w:bookmarkStart w:id="68"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7">
        <w:r>
          <w:rPr>
            <w:rStyle w:val="Hyperlink"/>
          </w:rPr>
          <w:t xml:space="preserve">https://doi.org/10.1016/j.tra.2022.02.003</w:t>
        </w:r>
      </w:hyperlink>
      <w:r>
        <w:t xml:space="preserve">.</w:t>
      </w:r>
    </w:p>
    <w:bookmarkEnd w:id="68"/>
    <w:bookmarkStart w:id="70"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9">
        <w:r>
          <w:rPr>
            <w:rStyle w:val="Hyperlink"/>
          </w:rPr>
          <w:t xml:space="preserve">https://doi.org/10.1016/j.trip.2020.100260</w:t>
        </w:r>
      </w:hyperlink>
      <w:r>
        <w:t xml:space="preserve">.</w:t>
      </w:r>
    </w:p>
    <w:bookmarkEnd w:id="70"/>
    <w:bookmarkStart w:id="71"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71"/>
    <w:bookmarkStart w:id="73"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72">
        <w:r>
          <w:rPr>
            <w:rStyle w:val="Hyperlink"/>
          </w:rPr>
          <w:t xml:space="preserve">https://doi.org/10.1080/01441647.2017.1354942</w:t>
        </w:r>
      </w:hyperlink>
      <w:r>
        <w:t xml:space="preserve">.</w:t>
      </w:r>
    </w:p>
    <w:bookmarkEnd w:id="73"/>
    <w:bookmarkStart w:id="75"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4">
        <w:r>
          <w:rPr>
            <w:rStyle w:val="Hyperlink"/>
          </w:rPr>
          <w:t xml:space="preserve">https://doi.org/10.1177/03611981231174444</w:t>
        </w:r>
      </w:hyperlink>
      <w:r>
        <w:t xml:space="preserve">.</w:t>
      </w:r>
    </w:p>
    <w:bookmarkEnd w:id="75"/>
    <w:bookmarkStart w:id="77"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6">
        <w:r>
          <w:rPr>
            <w:rStyle w:val="Hyperlink"/>
          </w:rPr>
          <w:t xml:space="preserve">https://doi.org/10.1016/0191-2607(79)90051-7</w:t>
        </w:r>
      </w:hyperlink>
      <w:r>
        <w:t xml:space="preserve">.</w:t>
      </w:r>
    </w:p>
    <w:bookmarkEnd w:id="77"/>
    <w:bookmarkStart w:id="79"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8">
        <w:r>
          <w:rPr>
            <w:rStyle w:val="Hyperlink"/>
          </w:rPr>
          <w:t xml:space="preserve">https://doi.org/10.1080/000368498325868</w:t>
        </w:r>
      </w:hyperlink>
      <w:r>
        <w:t xml:space="preserve">.</w:t>
      </w:r>
    </w:p>
    <w:bookmarkEnd w:id="79"/>
    <w:bookmarkStart w:id="80"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80"/>
    <w:bookmarkStart w:id="82"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81">
        <w:r>
          <w:rPr>
            <w:rStyle w:val="Hyperlink"/>
          </w:rPr>
          <w:t xml:space="preserve">https://doi.org/10.1007/s11116-010-9300-2</w:t>
        </w:r>
      </w:hyperlink>
      <w:r>
        <w:t xml:space="preserve">.</w:t>
      </w:r>
    </w:p>
    <w:bookmarkEnd w:id="82"/>
    <w:bookmarkStart w:id="84"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83">
        <w:r>
          <w:rPr>
            <w:rStyle w:val="Hyperlink"/>
          </w:rPr>
          <w:t xml:space="preserve">https://doi.org/10.3386/w19589</w:t>
        </w:r>
      </w:hyperlink>
      <w:r>
        <w:t xml:space="preserve">.</w:t>
      </w:r>
    </w:p>
    <w:bookmarkEnd w:id="84"/>
    <w:bookmarkStart w:id="86"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5">
        <w:r>
          <w:rPr>
            <w:rStyle w:val="Hyperlink"/>
          </w:rPr>
          <w:t xml:space="preserve">https://doi.org/10.1007/s11116-007-9125-9</w:t>
        </w:r>
      </w:hyperlink>
      <w:r>
        <w:t xml:space="preserve">.</w:t>
      </w:r>
    </w:p>
    <w:bookmarkEnd w:id="86"/>
    <w:bookmarkStart w:id="88"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7">
        <w:r>
          <w:rPr>
            <w:rStyle w:val="Hyperlink"/>
          </w:rPr>
          <w:t xml:space="preserve">https://doi.org/10.1007/s11116-008-9173-9</w:t>
        </w:r>
      </w:hyperlink>
      <w:r>
        <w:t xml:space="preserve">.</w:t>
      </w:r>
    </w:p>
    <w:bookmarkEnd w:id="88"/>
    <w:bookmarkStart w:id="90"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9">
        <w:r>
          <w:rPr>
            <w:rStyle w:val="Hyperlink"/>
          </w:rPr>
          <w:t xml:space="preserve">https://doi.org/10.2307/1924806</w:t>
        </w:r>
      </w:hyperlink>
      <w:r>
        <w:t xml:space="preserve">.</w:t>
      </w:r>
    </w:p>
    <w:bookmarkEnd w:id="90"/>
    <w:bookmarkStart w:id="92"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91">
        <w:r>
          <w:rPr>
            <w:rStyle w:val="Hyperlink"/>
          </w:rPr>
          <w:t xml:space="preserve">https://doi.org/10.1016/j.tranpol.2009.12.003</w:t>
        </w:r>
      </w:hyperlink>
      <w:r>
        <w:t xml:space="preserve">.</w:t>
      </w:r>
    </w:p>
    <w:bookmarkEnd w:id="92"/>
    <w:bookmarkStart w:id="94"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93">
        <w:r>
          <w:rPr>
            <w:rStyle w:val="Hyperlink"/>
          </w:rPr>
          <w:t xml:space="preserve">https://doi.org/10.1177/0361198105192600101</w:t>
        </w:r>
      </w:hyperlink>
      <w:r>
        <w:t xml:space="preserve">.</w:t>
      </w:r>
    </w:p>
    <w:bookmarkEnd w:id="94"/>
    <w:bookmarkStart w:id="96"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5">
        <w:r>
          <w:rPr>
            <w:rStyle w:val="Hyperlink"/>
          </w:rPr>
          <w:t xml:space="preserve">https://doi.org/10.1177/0361198106198500128</w:t>
        </w:r>
      </w:hyperlink>
      <w:r>
        <w:t xml:space="preserve">.</w:t>
      </w:r>
    </w:p>
    <w:bookmarkEnd w:id="96"/>
    <w:bookmarkEnd w:id="97"/>
    <w:bookmarkEnd w:id="98"/>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0" Target="https://doi.org/10.1007/s10834-006-9031-x" TargetMode="External" /><Relationship Type="http://schemas.openxmlformats.org/officeDocument/2006/relationships/hyperlink" Id="rId41" Target="https://doi.org/10.1007/s11116-006-0005-5" TargetMode="External" /><Relationship Type="http://schemas.openxmlformats.org/officeDocument/2006/relationships/hyperlink" Id="rId85" Target="https://doi.org/10.1007/s11116-007-9125-9" TargetMode="External" /><Relationship Type="http://schemas.openxmlformats.org/officeDocument/2006/relationships/hyperlink" Id="rId87" Target="https://doi.org/10.1007/s11116-008-9173-9" TargetMode="External" /><Relationship Type="http://schemas.openxmlformats.org/officeDocument/2006/relationships/hyperlink" Id="rId48" Target="https://doi.org/10.1007/s11116-010-9264-2" TargetMode="External" /><Relationship Type="http://schemas.openxmlformats.org/officeDocument/2006/relationships/hyperlink" Id="rId81" Target="https://doi.org/10.1007/s11116-010-9300-2" TargetMode="External" /><Relationship Type="http://schemas.openxmlformats.org/officeDocument/2006/relationships/hyperlink" Id="rId76" Target="https://doi.org/10.1016/0191-2607(79)90051-7" TargetMode="External" /><Relationship Type="http://schemas.openxmlformats.org/officeDocument/2006/relationships/hyperlink" Id="rId63" Target="https://doi.org/10.1016/j.jtrangeo.2018.12.015" TargetMode="External" /><Relationship Type="http://schemas.openxmlformats.org/officeDocument/2006/relationships/hyperlink" Id="rId32" Target="https://doi.org/10.1016/j.tra.2014.12.006" TargetMode="External" /><Relationship Type="http://schemas.openxmlformats.org/officeDocument/2006/relationships/hyperlink" Id="rId67" Target="https://doi.org/10.1016/j.tra.2022.02.003" TargetMode="External" /><Relationship Type="http://schemas.openxmlformats.org/officeDocument/2006/relationships/hyperlink" Id="rId91" Target="https://doi.org/10.1016/j.tranpol.2009.12.003" TargetMode="External" /><Relationship Type="http://schemas.openxmlformats.org/officeDocument/2006/relationships/hyperlink" Id="rId34" Target="https://doi.org/10.1016/j.trd.2025.104886" TargetMode="External" /><Relationship Type="http://schemas.openxmlformats.org/officeDocument/2006/relationships/hyperlink" Id="rId69" Target="https://doi.org/10.1016/j.trip.2020.100260" TargetMode="External" /><Relationship Type="http://schemas.openxmlformats.org/officeDocument/2006/relationships/hyperlink" Id="rId30" Target="https://doi.org/10.1016/j.trip.2022.100616" TargetMode="External" /><Relationship Type="http://schemas.openxmlformats.org/officeDocument/2006/relationships/hyperlink" Id="rId78" Target="https://doi.org/10.1080/000368498325868" TargetMode="External" /><Relationship Type="http://schemas.openxmlformats.org/officeDocument/2006/relationships/hyperlink" Id="rId72" Target="https://doi.org/10.1080/01441647.2017.1354942" TargetMode="External" /><Relationship Type="http://schemas.openxmlformats.org/officeDocument/2006/relationships/hyperlink" Id="rId93" Target="https://doi.org/10.1177/0361198105192600101" TargetMode="External" /><Relationship Type="http://schemas.openxmlformats.org/officeDocument/2006/relationships/hyperlink" Id="rId95" Target="https://doi.org/10.1177/0361198106198500128" TargetMode="External" /><Relationship Type="http://schemas.openxmlformats.org/officeDocument/2006/relationships/hyperlink" Id="rId74" Target="https://doi.org/10.1177/03611981231174444" TargetMode="External" /><Relationship Type="http://schemas.openxmlformats.org/officeDocument/2006/relationships/hyperlink" Id="rId61" Target="https://doi.org/10.1177/0739456X20950428" TargetMode="External" /><Relationship Type="http://schemas.openxmlformats.org/officeDocument/2006/relationships/hyperlink" Id="rId55" Target="https://doi.org/10.1177/23780231221103054" TargetMode="External" /><Relationship Type="http://schemas.openxmlformats.org/officeDocument/2006/relationships/hyperlink" Id="rId57" Target="https://doi.org/10.1300/J073v18n02_02" TargetMode="External" /><Relationship Type="http://schemas.openxmlformats.org/officeDocument/2006/relationships/hyperlink" Id="rId37" Target="https://doi.org/10.21949/E0KQ-GF72" TargetMode="External" /><Relationship Type="http://schemas.openxmlformats.org/officeDocument/2006/relationships/hyperlink" Id="rId65" Target="https://doi.org/10.22004/ag.econ.327257" TargetMode="External" /><Relationship Type="http://schemas.openxmlformats.org/officeDocument/2006/relationships/hyperlink" Id="rId89" Target="https://doi.org/10.2307/1924806" TargetMode="External" /><Relationship Type="http://schemas.openxmlformats.org/officeDocument/2006/relationships/hyperlink" Id="rId46" Target="https://doi.org/10.25318/11F0019M2023007-ENG" TargetMode="External" /><Relationship Type="http://schemas.openxmlformats.org/officeDocument/2006/relationships/hyperlink" Id="rId39" Target="https://doi.org/10.3141/2010-14" TargetMode="External" /><Relationship Type="http://schemas.openxmlformats.org/officeDocument/2006/relationships/hyperlink" Id="rId52" Target="https://doi.org/10.3141/2077-09" TargetMode="External" /><Relationship Type="http://schemas.openxmlformats.org/officeDocument/2006/relationships/hyperlink" Id="rId44" Target="https://doi.org/10.3141/2531-04" TargetMode="External" /><Relationship Type="http://schemas.openxmlformats.org/officeDocument/2006/relationships/hyperlink" Id="rId83" Target="https://doi.org/10.3386/w19589" TargetMode="External" /><Relationship Type="http://schemas.openxmlformats.org/officeDocument/2006/relationships/hyperlink" Id="rId59"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20"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0" Target="https://doi.org/10.1007/s10834-006-9031-x" TargetMode="External" /><Relationship Type="http://schemas.openxmlformats.org/officeDocument/2006/relationships/hyperlink" Id="rId41" Target="https://doi.org/10.1007/s11116-006-0005-5" TargetMode="External" /><Relationship Type="http://schemas.openxmlformats.org/officeDocument/2006/relationships/hyperlink" Id="rId85" Target="https://doi.org/10.1007/s11116-007-9125-9" TargetMode="External" /><Relationship Type="http://schemas.openxmlformats.org/officeDocument/2006/relationships/hyperlink" Id="rId87" Target="https://doi.org/10.1007/s11116-008-9173-9" TargetMode="External" /><Relationship Type="http://schemas.openxmlformats.org/officeDocument/2006/relationships/hyperlink" Id="rId48" Target="https://doi.org/10.1007/s11116-010-9264-2" TargetMode="External" /><Relationship Type="http://schemas.openxmlformats.org/officeDocument/2006/relationships/hyperlink" Id="rId81" Target="https://doi.org/10.1007/s11116-010-9300-2" TargetMode="External" /><Relationship Type="http://schemas.openxmlformats.org/officeDocument/2006/relationships/hyperlink" Id="rId76" Target="https://doi.org/10.1016/0191-2607(79)90051-7" TargetMode="External" /><Relationship Type="http://schemas.openxmlformats.org/officeDocument/2006/relationships/hyperlink" Id="rId63" Target="https://doi.org/10.1016/j.jtrangeo.2018.12.015" TargetMode="External" /><Relationship Type="http://schemas.openxmlformats.org/officeDocument/2006/relationships/hyperlink" Id="rId32" Target="https://doi.org/10.1016/j.tra.2014.12.006" TargetMode="External" /><Relationship Type="http://schemas.openxmlformats.org/officeDocument/2006/relationships/hyperlink" Id="rId67" Target="https://doi.org/10.1016/j.tra.2022.02.003" TargetMode="External" /><Relationship Type="http://schemas.openxmlformats.org/officeDocument/2006/relationships/hyperlink" Id="rId91" Target="https://doi.org/10.1016/j.tranpol.2009.12.003" TargetMode="External" /><Relationship Type="http://schemas.openxmlformats.org/officeDocument/2006/relationships/hyperlink" Id="rId34" Target="https://doi.org/10.1016/j.trd.2025.104886" TargetMode="External" /><Relationship Type="http://schemas.openxmlformats.org/officeDocument/2006/relationships/hyperlink" Id="rId69" Target="https://doi.org/10.1016/j.trip.2020.100260" TargetMode="External" /><Relationship Type="http://schemas.openxmlformats.org/officeDocument/2006/relationships/hyperlink" Id="rId30" Target="https://doi.org/10.1016/j.trip.2022.100616" TargetMode="External" /><Relationship Type="http://schemas.openxmlformats.org/officeDocument/2006/relationships/hyperlink" Id="rId78" Target="https://doi.org/10.1080/000368498325868" TargetMode="External" /><Relationship Type="http://schemas.openxmlformats.org/officeDocument/2006/relationships/hyperlink" Id="rId72" Target="https://doi.org/10.1080/01441647.2017.1354942" TargetMode="External" /><Relationship Type="http://schemas.openxmlformats.org/officeDocument/2006/relationships/hyperlink" Id="rId93" Target="https://doi.org/10.1177/0361198105192600101" TargetMode="External" /><Relationship Type="http://schemas.openxmlformats.org/officeDocument/2006/relationships/hyperlink" Id="rId95" Target="https://doi.org/10.1177/0361198106198500128" TargetMode="External" /><Relationship Type="http://schemas.openxmlformats.org/officeDocument/2006/relationships/hyperlink" Id="rId74" Target="https://doi.org/10.1177/03611981231174444" TargetMode="External" /><Relationship Type="http://schemas.openxmlformats.org/officeDocument/2006/relationships/hyperlink" Id="rId61" Target="https://doi.org/10.1177/0739456X20950428" TargetMode="External" /><Relationship Type="http://schemas.openxmlformats.org/officeDocument/2006/relationships/hyperlink" Id="rId55" Target="https://doi.org/10.1177/23780231221103054" TargetMode="External" /><Relationship Type="http://schemas.openxmlformats.org/officeDocument/2006/relationships/hyperlink" Id="rId57" Target="https://doi.org/10.1300/J073v18n02_02" TargetMode="External" /><Relationship Type="http://schemas.openxmlformats.org/officeDocument/2006/relationships/hyperlink" Id="rId37" Target="https://doi.org/10.21949/E0KQ-GF72" TargetMode="External" /><Relationship Type="http://schemas.openxmlformats.org/officeDocument/2006/relationships/hyperlink" Id="rId65" Target="https://doi.org/10.22004/ag.econ.327257" TargetMode="External" /><Relationship Type="http://schemas.openxmlformats.org/officeDocument/2006/relationships/hyperlink" Id="rId89" Target="https://doi.org/10.2307/1924806" TargetMode="External" /><Relationship Type="http://schemas.openxmlformats.org/officeDocument/2006/relationships/hyperlink" Id="rId46" Target="https://doi.org/10.25318/11F0019M2023007-ENG" TargetMode="External" /><Relationship Type="http://schemas.openxmlformats.org/officeDocument/2006/relationships/hyperlink" Id="rId39" Target="https://doi.org/10.3141/2010-14" TargetMode="External" /><Relationship Type="http://schemas.openxmlformats.org/officeDocument/2006/relationships/hyperlink" Id="rId52" Target="https://doi.org/10.3141/2077-09" TargetMode="External" /><Relationship Type="http://schemas.openxmlformats.org/officeDocument/2006/relationships/hyperlink" Id="rId44" Target="https://doi.org/10.3141/2531-04" TargetMode="External" /><Relationship Type="http://schemas.openxmlformats.org/officeDocument/2006/relationships/hyperlink" Id="rId83" Target="https://doi.org/10.3386/w19589" TargetMode="External" /><Relationship Type="http://schemas.openxmlformats.org/officeDocument/2006/relationships/hyperlink" Id="rId59"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2025-12-31T19:33:36Z</dcterms:created>
  <dcterms:modified xsi:type="dcterms:W3CDTF">2025-12-31T19:33:36Z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2025-12-31</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