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2026-03-03</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891"/>
              <w:tblLayout w:type="fixed"/>
              <w:tblLook w:firstRow="1" w:lastRow="0" w:firstColumn="0" w:lastColumn="0" w:noHBand="0" w:noVBand="0" w:val="0020"/>
            </w:tblPr>
            <w:tblGrid>
              <w:gridCol w:w="5079"/>
              <w:gridCol w:w="946"/>
              <w:gridCol w:w="1721"/>
            </w:tblGrid>
            <w:tr>
              <w:trPr>
                <w:tblHeader w:val="on"/>
              </w:trPr>
              <w:tc>
                <w:tcPr/>
                <w:p>
                  <w:pPr>
                    <w:pStyle w:val="Compact"/>
                    <w:jc w:val="left"/>
                    <w:jc w:val="center"/>
                  </w:pPr>
                  <w:r>
                    <w:t xml:space="preserve">Study</w:t>
                  </w:r>
                </w:p>
              </w:tc>
              <w:tc>
                <w:tcPr/>
                <w:p>
                  <w:pPr>
                    <w:pStyle w:val="Compact"/>
                    <w:jc w:val="left"/>
                    <w:jc w:val="center"/>
                  </w:pPr>
                  <w:r>
                    <w:t xml:space="preserve">Uses CEX</w:t>
                  </w:r>
                  <w:r>
                    <w:t xml:space="preserve"> </w:t>
                  </w:r>
                  <w:r>
                    <w:t xml:space="preserve">Data</w:t>
                  </w:r>
                </w:p>
              </w:tc>
              <w:tc>
                <w:tcPr/>
                <w:p>
                  <w:pPr>
                    <w:pStyle w:val="Compact"/>
                    <w:jc w:val="left"/>
                    <w:jc w:val="center"/>
                  </w:pPr>
                  <w:r>
                    <w:t xml:space="preserve">Category</w:t>
                  </w:r>
                </w:p>
              </w:tc>
            </w:tr>
            <w:tr>
              <w:tc>
                <w:tcPr/>
                <w:p>
                  <w:pPr>
                    <w:pStyle w:val="Compact"/>
                    <w:jc w:val="left"/>
                    <w:jc w:val="center"/>
                  </w:pPr>
                  <w:r>
                    <w:t xml:space="preserve">Morris and Wigan (1979)</w:t>
                  </w:r>
                </w:p>
              </w:tc>
              <w:tc>
                <w:tcPr/>
                <w:p>
                  <w:pPr>
                    <w:pStyle w:val="Compact"/>
                    <w:jc w:val="left"/>
                    <w:jc w:val="center"/>
                  </w:pPr>
                  <w:r>
                    <w:t xml:space="preserve">FALSE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Skinner (1985)</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Nayga (1998)</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Blumenberg (2003)</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and Liao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Hong et al. (2005)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Thakuriah (Vonu) and Liao (2006)</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Fontes and Fan (2006)</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Choo et al. (2007)</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Rachel B. Copperman and Bhat (2007a)</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Sener and Bhat (2007)</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Rachel B. Copperman and Bhat (2007b)</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Haas et al. (2008)</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Sener et al. (2008)</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Ferdous et al. (2010)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Souche (2010)</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Paleti et al. (2011)</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Sabelhaus et al. (2013)</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Deka (2015)</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Bernardo et al. (2015)</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Lino et al. (2017)</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McCarthy et al. (2017)</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Mattson and Peterson (2019)</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Leung et al. (2019)</w:t>
                  </w:r>
                </w:p>
              </w:tc>
              <w:tc>
                <w:tcPr/>
                <w:p>
                  <w:pPr>
                    <w:pStyle w:val="Compact"/>
                    <w:jc w:val="left"/>
                    <w:jc w:val="center"/>
                  </w:pPr>
                  <w:r>
                    <w:t xml:space="preserve">FALSE</w:t>
                  </w:r>
                </w:p>
              </w:tc>
              <w:tc>
                <w:tcPr/>
                <w:p>
                  <w:pPr>
                    <w:pStyle w:val="Compact"/>
                    <w:jc w:val="left"/>
                    <w:jc w:val="center"/>
                  </w:pPr>
                  <w:r>
                    <w:t xml:space="preserve">Household Choices</w:t>
                  </w:r>
                </w:p>
              </w:tc>
            </w:tr>
            <w:tr>
              <w:tc>
                <w:tcPr/>
                <w:p>
                  <w:pPr>
                    <w:pStyle w:val="Compact"/>
                    <w:jc w:val="left"/>
                    <w:jc w:val="center"/>
                  </w:pPr>
                  <w:r>
                    <w:t xml:space="preserve">Mattson (2020)</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Osborne et al. (2021)</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Hastings (2022)</w:t>
                  </w:r>
                </w:p>
              </w:tc>
              <w:tc>
                <w:tcPr/>
                <w:p>
                  <w:pPr>
                    <w:pStyle w:val="Compact"/>
                    <w:jc w:val="left"/>
                    <w:jc w:val="center"/>
                  </w:pPr>
                  <w:r>
                    <w:t xml:space="preserve">TRUE</w:t>
                  </w:r>
                </w:p>
              </w:tc>
              <w:tc>
                <w:tcPr/>
                <w:p>
                  <w:pPr>
                    <w:pStyle w:val="Compact"/>
                    <w:jc w:val="left"/>
                    <w:jc w:val="center"/>
                  </w:pPr>
                  <w:r>
                    <w:t xml:space="preserve">Budgets</w:t>
                  </w:r>
                </w:p>
              </w:tc>
            </w:tr>
            <w:tr>
              <w:tc>
                <w:tcPr/>
                <w:p>
                  <w:pPr>
                    <w:pStyle w:val="Compact"/>
                    <w:jc w:val="left"/>
                    <w:jc w:val="center"/>
                  </w:pPr>
                  <w:r>
                    <w:t xml:space="preserve">Lu et al.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Amirnazmiafshar and Diana (2022)</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Duncan et al. (2023)</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Molloy et al.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Bureau of Transportation Statistics (2024)</w:t>
                  </w:r>
                </w:p>
              </w:tc>
              <w:tc>
                <w:tcPr/>
                <w:p>
                  <w:pPr>
                    <w:pStyle w:val="Compact"/>
                    <w:jc w:val="left"/>
                    <w:jc w:val="center"/>
                  </w:pPr>
                  <w:r>
                    <w:t xml:space="preserve">TRUE</w:t>
                  </w:r>
                </w:p>
              </w:tc>
              <w:tc>
                <w:tcPr/>
                <w:p>
                  <w:pPr>
                    <w:pStyle w:val="Compact"/>
                    <w:jc w:val="left"/>
                    <w:jc w:val="center"/>
                  </w:pPr>
                  <w:r>
                    <w:t xml:space="preserve">Transportation and</w:t>
                  </w:r>
                  <w:r>
                    <w:t xml:space="preserve"> </w:t>
                  </w:r>
                  <w:r>
                    <w:t xml:space="preserve">Budgets</w:t>
                  </w:r>
                </w:p>
              </w:tc>
            </w:tr>
            <w:tr>
              <w:tc>
                <w:tcPr/>
                <w:p>
                  <w:pPr>
                    <w:pStyle w:val="Compact"/>
                    <w:jc w:val="left"/>
                    <w:jc w:val="center"/>
                  </w:pPr>
                  <w:r>
                    <w:t xml:space="preserve">Hargunani et al. (2024)</w:t>
                  </w:r>
                </w:p>
              </w:tc>
              <w:tc>
                <w:tcPr/>
                <w:p>
                  <w:pPr>
                    <w:pStyle w:val="Compact"/>
                    <w:jc w:val="left"/>
                    <w:jc w:val="center"/>
                  </w:pPr>
                  <w:r>
                    <w:t xml:space="preserve">FALSE</w:t>
                  </w:r>
                </w:p>
              </w:tc>
              <w:tc>
                <w:tcPr/>
                <w:p>
                  <w:pPr>
                    <w:pStyle w:val="Compact"/>
                    <w:jc w:val="left"/>
                    <w:jc w:val="center"/>
                  </w:pPr>
                  <w:r>
                    <w:t xml:space="preserve">Budgets</w:t>
                  </w:r>
                </w:p>
              </w:tc>
            </w:tr>
            <w:tr>
              <w:tc>
                <w:tcPr/>
                <w:p>
                  <w:pPr>
                    <w:pStyle w:val="Compact"/>
                    <w:jc w:val="left"/>
                    <w:jc w:val="center"/>
                  </w:pPr>
                  <w:r>
                    <w:t xml:space="preserve">Klein (2024)</w:t>
                  </w:r>
                </w:p>
              </w:tc>
              <w:tc>
                <w:tcPr/>
                <w:p>
                  <w:pPr>
                    <w:pStyle w:val="Compact"/>
                    <w:jc w:val="left"/>
                    <w:jc w:val="center"/>
                  </w:pPr>
                  <w:r>
                    <w:t xml:space="preserve">FALSE</w:t>
                  </w:r>
                </w:p>
              </w:tc>
              <w:tc>
                <w:tcPr/>
                <w:p>
                  <w:pPr>
                    <w:pStyle w:val="Compact"/>
                    <w:jc w:val="left"/>
                    <w:jc w:val="center"/>
                  </w:pPr>
                  <w:r>
                    <w:t xml:space="preserve">Transportation</w:t>
                  </w:r>
                </w:p>
              </w:tc>
            </w:tr>
            <w:tr>
              <w:tc>
                <w:tcPr/>
                <w:p>
                  <w:pPr>
                    <w:pStyle w:val="Compact"/>
                    <w:jc w:val="left"/>
                    <w:jc w:val="center"/>
                  </w:pPr>
                  <w:r>
                    <w:t xml:space="preserve">Bilgin et al. (2025)</w:t>
                  </w:r>
                </w:p>
              </w:tc>
              <w:tc>
                <w:tcPr/>
                <w:p>
                  <w:pPr>
                    <w:pStyle w:val="Compact"/>
                    <w:jc w:val="left"/>
                    <w:jc w:val="center"/>
                  </w:pPr>
                  <w:r>
                    <w:t xml:space="preserve">FALSE</w:t>
                  </w:r>
                </w:p>
              </w:tc>
              <w:tc>
                <w:tcPr/>
                <w:p>
                  <w:pPr>
                    <w:pStyle w:val="Compact"/>
                    <w:jc w:val="left"/>
                    <w:jc w:val="center"/>
                  </w:pPr>
                  <w:r>
                    <w:t xml:space="preserve">Transportation</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22 categories: Air Travel, Alcohol, At -Home Entertainment, Bike or Scooter or other Single Rider Travel, Bus Travel, Car Fuel, Car Maintenance, Car Payment, Car Purchase, Clothing Related, Education, Family Spending, Food Related, House Related, Hygiene, Medical, no category specified, Recreational Related, School Supplies, Ship Travel, Taxi or Limo Travel, Train Travel.</w:t>
      </w:r>
    </w:p>
    <w:bookmarkEnd w:id="22"/>
    <w:bookmarkStart w:id="36" w:name="results"/>
    <w:p>
      <w:pPr>
        <w:pStyle w:val="Heading2"/>
      </w:pPr>
      <w:r>
        <w:t xml:space="preserve">4 Results</w:t>
      </w:r>
    </w:p>
    <w:p>
      <w:pPr>
        <w:pStyle w:val="FirstParagraph"/>
      </w:pPr>
      <w:r>
        <w:t xml:space="preserve">The analysis resulted in three latent classes which we named based on the household distribution of each class. The latent classes are described as follows.</w:t>
      </w:r>
    </w:p>
    <w:bookmarkStart w:id="23" w:name="class-1-car-spenders-high-ch"/>
    <w:p>
      <w:pPr>
        <w:pStyle w:val="Heading3"/>
      </w:pPr>
      <w:r>
        <w:t xml:space="preserve">4.1 Class 1: Car Spenders High (CH)</w:t>
      </w:r>
    </w:p>
    <w:p>
      <w:pPr>
        <w:pStyle w:val="FirstParagraph"/>
      </w:pPr>
      <w:r>
        <w:t xml:space="preserve">This class mostly contains households that spend higher amounts of money on car-related travel. As shown in</w:t>
      </w:r>
      <w:r>
        <w:t xml:space="preserve"> </w:t>
      </w:r>
      <w:hyperlink w:anchor="tbl-model-classes">
        <w:r>
          <w:rPr>
            <w:rStyle w:val="Hyperlink"/>
          </w:rPr>
          <w:t xml:space="preserve">Table 3</w:t>
        </w:r>
      </w:hyperlink>
      <w:r>
        <w:t xml:space="preserve">, the</w:t>
      </w:r>
      <w:r>
        <w:t xml:space="preserve"> </w:t>
      </w:r>
      <w:r>
        <w:rPr>
          <w:i/>
          <w:iCs/>
        </w:rPr>
        <w:t xml:space="preserve">CH</w:t>
      </w:r>
      <w:r>
        <w:t xml:space="preserve"> </w:t>
      </w:r>
      <w:r>
        <w:t xml:space="preserve">class has a much larger percent of households that spent over $100 on both fuel and maintenance during the survey period. In those same categories, it had the smallest percent of households spending nothing in those categories. In terms of other modes of transportation, this class hardly had any households with expenses in the other transportation categories.</w:t>
      </w:r>
    </w:p>
    <w:bookmarkEnd w:id="23"/>
    <w:bookmarkStart w:id="24" w:name="class-2-multimodal-spenders-mm"/>
    <w:p>
      <w:pPr>
        <w:pStyle w:val="Heading3"/>
      </w:pPr>
      <w:r>
        <w:t xml:space="preserve">4.2 Class 2: Multimodal Spenders (MM)</w:t>
      </w:r>
    </w:p>
    <w:p>
      <w:pPr>
        <w:pStyle w:val="FirstParagraph"/>
      </w:pPr>
      <w:r>
        <w:t xml:space="preserve">Unlike the</w:t>
      </w:r>
      <w:r>
        <w:t xml:space="preserve"> </w:t>
      </w:r>
      <w:r>
        <w:rPr>
          <w:i/>
          <w:iCs/>
        </w:rPr>
        <w:t xml:space="preserve">CH</w:t>
      </w:r>
      <w:r>
        <w:t xml:space="preserve"> </w:t>
      </w:r>
      <w:r>
        <w:t xml:space="preserve">category, the</w:t>
      </w:r>
      <w:r>
        <w:t xml:space="preserve"> </w:t>
      </w:r>
      <w:r>
        <w:rPr>
          <w:i/>
          <w:iCs/>
        </w:rPr>
        <w:t xml:space="preserve">MM</w:t>
      </w:r>
      <w:r>
        <w:t xml:space="preserve"> </w:t>
      </w:r>
      <w:r>
        <w:t xml:space="preserve">class contains a higher percentage of households that had spending in the transportation categories not involved with cars. For example, while less than 2% of households in the</w:t>
      </w:r>
      <w:r>
        <w:t xml:space="preserve"> </w:t>
      </w:r>
      <w:r>
        <w:rPr>
          <w:i/>
          <w:iCs/>
        </w:rPr>
        <w:t xml:space="preserve">CH</w:t>
      </w:r>
      <w:r>
        <w:t xml:space="preserve"> </w:t>
      </w:r>
      <w:r>
        <w:t xml:space="preserve">class spent any money on train travel, more than 50% of households in this class spend money on train travel with about 30% of households spending over $20 on train travel.</w:t>
      </w:r>
    </w:p>
    <w:bookmarkEnd w:id="24"/>
    <w:bookmarkStart w:id="29" w:name="class-3-car-spenders-low-cl"/>
    <w:p>
      <w:pPr>
        <w:pStyle w:val="Heading3"/>
      </w:pPr>
      <w:r>
        <w:t xml:space="preserve">4.3 Class 3: Car Spenders Low (CL)</w:t>
      </w:r>
    </w:p>
    <w:p>
      <w:pPr>
        <w:pStyle w:val="FirstParagraph"/>
      </w:pPr>
      <w:r>
        <w:t xml:space="preserve">Similar to the</w:t>
      </w:r>
      <w:r>
        <w:t xml:space="preserve"> </w:t>
      </w:r>
      <w:r>
        <w:rPr>
          <w:i/>
          <w:iCs/>
        </w:rPr>
        <w:t xml:space="preserve">CH</w:t>
      </w:r>
      <w:r>
        <w:t xml:space="preserve"> </w:t>
      </w:r>
      <w:r>
        <w:t xml:space="preserve">class, the</w:t>
      </w:r>
      <w:r>
        <w:t xml:space="preserve"> </w:t>
      </w:r>
      <w:r>
        <w:rPr>
          <w:i/>
          <w:iCs/>
        </w:rPr>
        <w:t xml:space="preserve">CL</w:t>
      </w:r>
      <w:r>
        <w:t xml:space="preserve"> </w:t>
      </w:r>
      <w:r>
        <w:t xml:space="preserve">class had most expenditures in the car categories. However, there was a smaller percent of households with expenses in the higher ranges. For example, the</w:t>
      </w:r>
      <w:r>
        <w:t xml:space="preserve"> </w:t>
      </w:r>
      <w:r>
        <w:rPr>
          <w:i/>
          <w:iCs/>
        </w:rPr>
        <w:t xml:space="preserve">CH</w:t>
      </w:r>
      <w:r>
        <w:t xml:space="preserve"> </w:t>
      </w:r>
      <w:r>
        <w:t xml:space="preserve">class had over 45% households that spent over $100 on fuel while the</w:t>
      </w:r>
      <w:r>
        <w:t xml:space="preserve"> </w:t>
      </w:r>
      <w:r>
        <w:rPr>
          <w:i/>
          <w:iCs/>
        </w:rPr>
        <w:t xml:space="preserve">CL</w:t>
      </w:r>
      <w:r>
        <w:t xml:space="preserve"> </w:t>
      </w:r>
      <w:r>
        <w:t xml:space="preserve">class had less than 15% exceeding $100 in fuel. Like the</w:t>
      </w:r>
      <w:r>
        <w:t xml:space="preserve"> </w:t>
      </w:r>
      <w:r>
        <w:rPr>
          <w:i/>
          <w:iCs/>
        </w:rPr>
        <w:t xml:space="preserve">CH</w:t>
      </w:r>
      <w:r>
        <w:t xml:space="preserve">, the</w:t>
      </w:r>
      <w:r>
        <w:t xml:space="preserve"> </w:t>
      </w:r>
      <w:r>
        <w:rPr>
          <w:i/>
          <w:iCs/>
        </w:rPr>
        <w:t xml:space="preserve">CL</w:t>
      </w:r>
      <w:r>
        <w:t xml:space="preserve"> </w:t>
      </w:r>
      <w:r>
        <w:t xml:space="preserve">class had very low percentages of households that spent money on modes besides cars. In fact, there were no households in this class that spent money on trains or buses.</w:t>
      </w:r>
    </w:p>
    <w:tbl>
      <w:tblPr>
        <w:tblStyle w:val="Table"/>
        <w:tblW w:type="pct" w:w="5000"/>
        <w:tblLayout w:type="fixed"/>
        <w:tblLook w:firstRow="0" w:lastRow="0" w:firstColumn="0" w:lastColumn="0" w:noHBand="0" w:noVBand="0" w:val="0000"/>
      </w:tblPr>
      <w:tblGrid>
        <w:gridCol w:w="7920"/>
      </w:tblGrid>
      <w:tr>
        <w:tc>
          <w:tcPr/>
          <w:bookmarkStart w:id="25" w:name="tbl-model-classes"/>
          <w:p>
            <w:pPr>
              <w:jc w:val="center"/>
            </w:pPr>
            <w:pPr>
              <w:jc w:val="left"/>
              <w:spacing w:before="200"/>
              <w:pStyle w:val="ImageCaption"/>
            </w:pPr>
            <w:r>
              <w:t xml:space="preserve">Table 3: Class Distribution of Model</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LCA Tables</w:t>
        </w:r>
      </w:hyperlink>
    </w:p>
    <w:p>
      <w:pPr>
        <w:pStyle w:val="BodyText"/>
      </w:pPr>
      <w:r>
        <w:t xml:space="preserve">As seen in</w:t>
      </w:r>
      <w:r>
        <w:t xml:space="preserve"> </w:t>
      </w:r>
      <w:hyperlink w:anchor="tbl-model-coeff">
        <w:r>
          <w:rPr>
            <w:rStyle w:val="Hyperlink"/>
          </w:rPr>
          <w:t xml:space="preserve">Table 4</w:t>
        </w:r>
      </w:hyperlink>
      <w:r>
        <w:t xml:space="preserve">, most of the model coefficients are statistically significant. The following sections discuss the findings in more detail.</w:t>
      </w:r>
    </w:p>
    <w:tbl>
      <w:tblPr>
        <w:tblStyle w:val="Table"/>
        <w:tblW w:type="pct" w:w="5000"/>
        <w:tblLayout w:type="fixed"/>
        <w:tblLook w:firstRow="0" w:lastRow="0" w:firstColumn="0" w:lastColumn="0" w:noHBand="0" w:noVBand="0" w:val="0000"/>
      </w:tblPr>
      <w:tblGrid>
        <w:gridCol w:w="7920"/>
      </w:tblGrid>
      <w:tr>
        <w:tc>
          <w:tcPr/>
          <w:bookmarkStart w:id="27" w:name="tbl-model-coeff"/>
          <w:p>
            <w:pPr>
              <w:jc w:val="center"/>
            </w:pPr>
            <w:pPr>
              <w:jc w:val="left"/>
              <w:spacing w:before="200"/>
              <w:pStyle w:val="ImageCaption"/>
            </w:pPr>
            <w:r>
              <w:t xml:space="preserve">Table 4: Regression Results of Model</w:t>
            </w:r>
          </w:p>
          <w:bookmarkEnd w:id="27"/>
        </w:tc>
      </w:tr>
    </w:tbl>
    <w:p>
      <w:pPr>
        <w:pStyle w:val="BodyText"/>
      </w:pPr>
      <w:r>
        <w:rPr>
          <w:vertAlign w:val="subscript"/>
        </w:rPr>
        <w:t xml:space="preserve">Source:</w:t>
      </w:r>
      <w:r>
        <w:rPr>
          <w:vertAlign w:val="subscript"/>
        </w:rPr>
        <w:t xml:space="preserve"> </w:t>
      </w:r>
      <w:hyperlink r:id="rId28">
        <w:r>
          <w:rPr>
            <w:rStyle w:val="Hyperlink"/>
            <w:vertAlign w:val="subscript"/>
          </w:rPr>
          <w:t xml:space="preserve">LCA Tables</w:t>
        </w:r>
      </w:hyperlink>
    </w:p>
    <w:bookmarkEnd w:id="29"/>
    <w:bookmarkStart w:id="30" w:name="household-make-up"/>
    <w:p>
      <w:pPr>
        <w:pStyle w:val="Heading3"/>
      </w:pPr>
      <w:r>
        <w:t xml:space="preserve">4.4 Household Make-up</w:t>
      </w:r>
    </w:p>
    <w:p>
      <w:pPr>
        <w:pStyle w:val="FirstParagraph"/>
      </w:pPr>
      <w:r>
        <w:t xml:space="preserve">We can learn a lot from the model coefficients about the transportation spending patterns of different types of household structures. Both households with children and households with a married couple are more likely to be in the CH class than in the MM class. This makes sense to see that households with more people are more likely to have their transportation expenses oriented around cars as heavier travel demands and the balance of multiple schedules increases the convenience of a car. This also aligns with studies that have shown that single people are more likely to use other modes of travel besides a car (</w:t>
      </w:r>
      <w:r>
        <w:t xml:space="preserve">(</w:t>
      </w:r>
      <w:r>
        <w:rPr>
          <w:b/>
          <w:bCs/>
        </w:rPr>
        <w:t xml:space="preserve">citation?</w:t>
      </w:r>
      <w:r>
        <w:t xml:space="preserve">)</w:t>
      </w:r>
      <w:r>
        <w:t xml:space="preserve">). Comparing the MM class to the CH class, the coefficient for</w:t>
      </w:r>
      <w:r>
        <w:t xml:space="preserve"> </w:t>
      </w:r>
      <w:r>
        <w:t xml:space="preserve">“married without kids”</w:t>
      </w:r>
      <w:r>
        <w:t xml:space="preserve"> </w:t>
      </w:r>
      <w:r>
        <w:t xml:space="preserve">households has the smallest absolute value, this shows that having children in the household has a stronger effect on being in the CH class than having a married couple in the household does. This</w:t>
      </w:r>
      <w:r>
        <w:t xml:space="preserve"> </w:t>
      </w:r>
      <w:r>
        <w:t xml:space="preserve">“married without kids”</w:t>
      </w:r>
      <w:r>
        <w:t xml:space="preserve"> </w:t>
      </w:r>
      <w:r>
        <w:t xml:space="preserve">variable is also the only one with a statistically significant coefficient when comparing the CL class to the CH class. This is saying that</w:t>
      </w:r>
      <w:r>
        <w:t xml:space="preserve"> </w:t>
      </w:r>
      <w:r>
        <w:t xml:space="preserve">“married without kids”</w:t>
      </w:r>
      <w:r>
        <w:t xml:space="preserve"> </w:t>
      </w:r>
      <w:r>
        <w:t xml:space="preserve">households are more likely to be in the CH class than the CL class compared to</w:t>
      </w:r>
      <w:r>
        <w:t xml:space="preserve"> </w:t>
      </w:r>
      <w:r>
        <w:t xml:space="preserve">“single”</w:t>
      </w:r>
      <w:r>
        <w:t xml:space="preserve"> </w:t>
      </w:r>
      <w:r>
        <w:t xml:space="preserve">households. This also makes sense because married couples will most likely have more trips than a single person, and this will equate to more transportation spending.</w:t>
      </w:r>
    </w:p>
    <w:bookmarkEnd w:id="30"/>
    <w:bookmarkStart w:id="31" w:name="location"/>
    <w:p>
      <w:pPr>
        <w:pStyle w:val="Heading3"/>
      </w:pPr>
      <w:r>
        <w:t xml:space="preserve">4.5 Location</w:t>
      </w:r>
    </w:p>
    <w:p>
      <w:pPr>
        <w:pStyle w:val="FirstParagraph"/>
      </w:pPr>
      <w:r>
        <w:t xml:space="preserve">Region:</w:t>
      </w:r>
      <w:r>
        <w:t xml:space="preserve"> </w:t>
      </w:r>
      <w:r>
        <w:t xml:space="preserve">Compared to other areas of the country, households in the northeast are more likely to be in the MM class than in in the CH class. this also makes sense because the northeast is relatively denser and has some of the longest history of transit use.</w:t>
      </w:r>
    </w:p>
    <w:p>
      <w:pPr>
        <w:pStyle w:val="BodyText"/>
      </w:pPr>
      <w:r>
        <w:t xml:space="preserve">Large Cities:</w:t>
      </w:r>
      <w:r>
        <w:t xml:space="preserve"> </w:t>
      </w:r>
      <w:r>
        <w:t xml:space="preserve">Compared to smaller cities, household in cities of more than one million people, are less likely to be in the CH class compared to the other classes. this also makes sense. There is probably a study on how the more populous areas have less car use.</w:t>
      </w:r>
    </w:p>
    <w:bookmarkEnd w:id="31"/>
    <w:bookmarkStart w:id="32" w:name="other-household-demographics"/>
    <w:p>
      <w:pPr>
        <w:pStyle w:val="Heading3"/>
      </w:pPr>
      <w:r>
        <w:t xml:space="preserve">4.6 Other Household Demographics</w:t>
      </w:r>
    </w:p>
    <w:p>
      <w:pPr>
        <w:pStyle w:val="FirstParagraph"/>
      </w:pPr>
      <w:r>
        <w:t xml:space="preserve">Age:</w:t>
      </w:r>
      <w:r>
        <w:t xml:space="preserve"> </w:t>
      </w:r>
      <w:r>
        <w:t xml:space="preserve">Compared to 55+, households with a reference person younger than 55 are more likely to be in the MM class as opposed to the CH class. Compared to 55+, households with a reference person younger than 55 are more likely to be in the CH class as apposed to the CL class. This makes sense. Older people are less likely to use things other than cars, but, compared to everyone who spends money on cars, they are more likely to be small spenders because they don’t have as many trips and thing.</w:t>
      </w:r>
    </w:p>
    <w:p>
      <w:pPr>
        <w:pStyle w:val="BodyText"/>
      </w:pPr>
      <w:r>
        <w:t xml:space="preserve">Education:</w:t>
      </w:r>
      <w:r>
        <w:t xml:space="preserve"> </w:t>
      </w:r>
      <w:r>
        <w:t xml:space="preserve">Compared with those who don’t have a college education, those with college education are more likely to be in the MM class as opposed to the CH class.</w:t>
      </w:r>
      <w:r>
        <w:t xml:space="preserve"> </w:t>
      </w:r>
      <w:r>
        <w:t xml:space="preserve">Compared with those who don’t have a college education, those with bachelors degree are more likely to be in the CH class as opposed to the CL class.</w:t>
      </w:r>
      <w:r>
        <w:t xml:space="preserve"> </w:t>
      </w:r>
      <w:r>
        <w:t xml:space="preserve">Compared with those who don’t have a college education, those with doctorate degree are more likely to be in the CL class as opposed to the CH class. Could this be because people with doctorates have more opportunities to work from home or more flexibility to live close to their work?</w:t>
      </w:r>
    </w:p>
    <w:p>
      <w:pPr>
        <w:pStyle w:val="BodyText"/>
      </w:pPr>
      <w:r>
        <w:t xml:space="preserve">Income:</w:t>
      </w:r>
      <w:r>
        <w:t xml:space="preserve"> </w:t>
      </w:r>
      <w:r>
        <w:t xml:space="preserve">Compared to those making more than $50,000 a year, those making less than $50,000 a year are less likely to be in CH as apposed to both MM and CL. This makes sense. Household with less income will most likely spend less on transportaiton. Maybe make a note that says their overall expenses will be lower, but that still might take up a higher portion of there budget compared to well-off families (</w:t>
      </w:r>
      <w:r>
        <w:t xml:space="preserve">(</w:t>
      </w:r>
      <w:r>
        <w:rPr>
          <w:b/>
          <w:bCs/>
        </w:rPr>
        <w:t xml:space="preserve">citation?</w:t>
      </w:r>
      <w:r>
        <w:t xml:space="preserve">)</w:t>
      </w:r>
      <w:r>
        <w:t xml:space="preserve">).</w:t>
      </w:r>
    </w:p>
    <w:bookmarkEnd w:id="32"/>
    <w:bookmarkStart w:id="35" w:name="household-expenditures"/>
    <w:p>
      <w:pPr>
        <w:pStyle w:val="Heading3"/>
      </w:pPr>
      <w:r>
        <w:t xml:space="preserve">4.7 Household Expenditures</w:t>
      </w:r>
    </w:p>
    <w:p>
      <w:pPr>
        <w:pStyle w:val="FirstParagraph"/>
      </w:pPr>
      <w:r>
        <w:t xml:space="preserve">Mandatory Spending:</w:t>
      </w:r>
      <w:r>
        <w:t xml:space="preserve"> </w:t>
      </w:r>
      <w:r>
        <w:t xml:space="preserve">Compared to those who spend nothing in mandatory spending, those who have mandatory expenses, are more likely to be in the CH class as opposed to the MM class.</w:t>
      </w:r>
      <w:r>
        <w:t xml:space="preserve"> </w:t>
      </w:r>
      <w:r>
        <w:t xml:space="preserve">Compared to those who spend nothing in mandatory spending, those who have mandatory expenses, are more likely to be in the CH class as opposed to the CL class. The different coefficient values show that people spending over $500 on mandatory spending are more likely to be in CH class compared to the households spending less on mandatory things.</w:t>
      </w:r>
    </w:p>
    <w:p>
      <w:pPr>
        <w:pStyle w:val="BodyText"/>
      </w:pPr>
      <w:r>
        <w:t xml:space="preserve">House Spending:</w:t>
      </w:r>
      <w:r>
        <w:t xml:space="preserve"> </w:t>
      </w:r>
      <w:r>
        <w:t xml:space="preserve">Compared with households who have no house-related expenses, households with house related expenses are more likely to be in the CH class.</w:t>
      </w:r>
      <w:r>
        <w:t xml:space="preserve"> </w:t>
      </w:r>
      <w:r>
        <w:t xml:space="preserve">Maybe this shows they are driving around more as they are paying these house-related expenses.</w:t>
      </w:r>
      <w:r>
        <w:t xml:space="preserve"> </w:t>
      </w:r>
      <w:r>
        <w:t xml:space="preserve">It also looks like, in both comparisons, that the higher people are paying on house-related expenses, the more likely they are to be in the CH class compared to those without house-related expenses.</w:t>
      </w:r>
    </w:p>
    <w:p>
      <w:pPr>
        <w:pStyle w:val="BodyText"/>
      </w:pPr>
      <w:r>
        <w:t xml:space="preserve">Leisure Spending:</w:t>
      </w:r>
      <w:r>
        <w:t xml:space="preserve"> </w:t>
      </w:r>
      <w:r>
        <w:t xml:space="preserve">compared to those households who spend less than $100 on leisure, households who spend more than $100 are more likely to be in the CH class. I think this makes sense, leisure adds more trips usually, so more car expenses.</w:t>
      </w:r>
    </w:p>
    <w:p>
      <w:pPr>
        <w:pStyle w:val="BodyText"/>
      </w:pPr>
      <w:r>
        <w:t xml:space="preserve">I am updating this.</w:t>
      </w:r>
      <w:r>
        <w:t xml:space="preserve"> </w:t>
      </w:r>
      <w:hyperlink w:anchor="tbl-model-covarpcts">
        <w:r>
          <w:rPr>
            <w:rStyle w:val="Hyperlink"/>
          </w:rPr>
          <w:t xml:space="preserve">Table 5</w:t>
        </w:r>
      </w:hyperlink>
    </w:p>
    <w:tbl>
      <w:tblPr>
        <w:tblStyle w:val="Table"/>
        <w:tblW w:type="pct" w:w="5000"/>
        <w:tblLayout w:type="fixed"/>
        <w:tblLook w:firstRow="0" w:lastRow="0" w:firstColumn="0" w:lastColumn="0" w:noHBand="0" w:noVBand="0" w:val="0000"/>
      </w:tblPr>
      <w:tblGrid>
        <w:gridCol w:w="7920"/>
      </w:tblGrid>
      <w:tr>
        <w:tc>
          <w:tcPr/>
          <w:bookmarkStart w:id="33" w:name="tbl-model-covarpcts"/>
          <w:p>
            <w:pPr>
              <w:jc w:val="center"/>
            </w:pPr>
            <w:pPr>
              <w:jc w:val="left"/>
              <w:spacing w:before="200"/>
              <w:pStyle w:val="ImageCaption"/>
            </w:pPr>
            <w:r>
              <w:t xml:space="preserve">Table 5: The table that Katie gave me the code to make.</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LCA Tables</w:t>
        </w:r>
      </w:hyperlink>
    </w:p>
    <w:bookmarkEnd w:id="35"/>
    <w:bookmarkEnd w:id="36"/>
    <w:bookmarkStart w:id="105" w:name="references"/>
    <w:p>
      <w:pPr>
        <w:pStyle w:val="Heading2"/>
      </w:pPr>
      <w:r>
        <w:t xml:space="preserve">5 References</w:t>
      </w:r>
    </w:p>
    <w:bookmarkStart w:id="104" w:name="refs"/>
    <w:bookmarkStart w:id="38"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7">
        <w:r>
          <w:rPr>
            <w:rStyle w:val="Hyperlink"/>
          </w:rPr>
          <w:t xml:space="preserve">https://doi.org/10.1016/j.trip.2022.100616</w:t>
        </w:r>
      </w:hyperlink>
      <w:r>
        <w:t xml:space="preserve">.</w:t>
      </w:r>
    </w:p>
    <w:bookmarkEnd w:id="38"/>
    <w:bookmarkStart w:id="40"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9">
        <w:r>
          <w:rPr>
            <w:rStyle w:val="Hyperlink"/>
          </w:rPr>
          <w:t xml:space="preserve">https://doi.org/10.1016/j.tra.2014.12.006</w:t>
        </w:r>
      </w:hyperlink>
      <w:r>
        <w:t xml:space="preserve">.</w:t>
      </w:r>
    </w:p>
    <w:bookmarkEnd w:id="40"/>
    <w:bookmarkStart w:id="42"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41">
        <w:r>
          <w:rPr>
            <w:rStyle w:val="Hyperlink"/>
          </w:rPr>
          <w:t xml:space="preserve">https://doi.org/10.1016/j.trd.2025.104886</w:t>
        </w:r>
      </w:hyperlink>
      <w:r>
        <w:t xml:space="preserve">.</w:t>
      </w:r>
    </w:p>
    <w:bookmarkEnd w:id="42"/>
    <w:bookmarkStart w:id="43"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43"/>
    <w:bookmarkStart w:id="45"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44">
        <w:r>
          <w:rPr>
            <w:rStyle w:val="Hyperlink"/>
          </w:rPr>
          <w:t xml:space="preserve">https://doi.org/10.21949/E0KQ-GF72</w:t>
        </w:r>
      </w:hyperlink>
      <w:r>
        <w:t xml:space="preserve">.</w:t>
      </w:r>
    </w:p>
    <w:bookmarkEnd w:id="45"/>
    <w:bookmarkStart w:id="47"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46">
        <w:r>
          <w:rPr>
            <w:rStyle w:val="Hyperlink"/>
          </w:rPr>
          <w:t xml:space="preserve">https://doi.org/10.3141/2010-14</w:t>
        </w:r>
      </w:hyperlink>
      <w:r>
        <w:t xml:space="preserve">.</w:t>
      </w:r>
    </w:p>
    <w:bookmarkEnd w:id="47"/>
    <w:bookmarkStart w:id="49"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8">
        <w:r>
          <w:rPr>
            <w:rStyle w:val="Hyperlink"/>
          </w:rPr>
          <w:t xml:space="preserve">https://doi.org/10.1007/s11116-006-0005-5</w:t>
        </w:r>
      </w:hyperlink>
      <w:r>
        <w:t xml:space="preserve">.</w:t>
      </w:r>
    </w:p>
    <w:bookmarkEnd w:id="49"/>
    <w:bookmarkStart w:id="50"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50"/>
    <w:bookmarkStart w:id="52"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51">
        <w:r>
          <w:rPr>
            <w:rStyle w:val="Hyperlink"/>
          </w:rPr>
          <w:t xml:space="preserve">https://doi.org/10.3141/2531-04</w:t>
        </w:r>
      </w:hyperlink>
      <w:r>
        <w:t xml:space="preserve">.</w:t>
      </w:r>
    </w:p>
    <w:bookmarkEnd w:id="52"/>
    <w:bookmarkStart w:id="54"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53">
        <w:r>
          <w:rPr>
            <w:rStyle w:val="Hyperlink"/>
          </w:rPr>
          <w:t xml:space="preserve">https://doi.org/10.25318/11F0019M2023007-ENG</w:t>
        </w:r>
      </w:hyperlink>
      <w:r>
        <w:t xml:space="preserve">.</w:t>
      </w:r>
    </w:p>
    <w:bookmarkEnd w:id="54"/>
    <w:bookmarkStart w:id="56"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55">
        <w:r>
          <w:rPr>
            <w:rStyle w:val="Hyperlink"/>
          </w:rPr>
          <w:t xml:space="preserve">https://doi.org/10.1007/s11116-010-9264-2</w:t>
        </w:r>
      </w:hyperlink>
      <w:r>
        <w:t xml:space="preserve">.</w:t>
      </w:r>
    </w:p>
    <w:bookmarkEnd w:id="56"/>
    <w:bookmarkStart w:id="58"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7">
        <w:r>
          <w:rPr>
            <w:rStyle w:val="Hyperlink"/>
          </w:rPr>
          <w:t xml:space="preserve">https://doi.org/10.1007/s10834-006-9031-x</w:t>
        </w:r>
      </w:hyperlink>
      <w:r>
        <w:t xml:space="preserve">.</w:t>
      </w:r>
    </w:p>
    <w:bookmarkEnd w:id="58"/>
    <w:bookmarkStart w:id="60"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9">
        <w:r>
          <w:rPr>
            <w:rStyle w:val="Hyperlink"/>
          </w:rPr>
          <w:t xml:space="preserve">https://doi.org/10.3141/2077-09</w:t>
        </w:r>
      </w:hyperlink>
      <w:r>
        <w:t xml:space="preserve">.</w:t>
      </w:r>
    </w:p>
    <w:bookmarkEnd w:id="60"/>
    <w:bookmarkStart w:id="61"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61"/>
    <w:bookmarkStart w:id="63"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62">
        <w:r>
          <w:rPr>
            <w:rStyle w:val="Hyperlink"/>
          </w:rPr>
          <w:t xml:space="preserve">https://doi.org/10.1177/23780231221103054</w:t>
        </w:r>
      </w:hyperlink>
      <w:r>
        <w:t xml:space="preserve">.</w:t>
      </w:r>
    </w:p>
    <w:bookmarkEnd w:id="63"/>
    <w:bookmarkStart w:id="65"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64">
        <w:r>
          <w:rPr>
            <w:rStyle w:val="Hyperlink"/>
          </w:rPr>
          <w:t xml:space="preserve">https://doi.org/10.1300/J073v18n02_02</w:t>
        </w:r>
      </w:hyperlink>
      <w:r>
        <w:t xml:space="preserve">.</w:t>
      </w:r>
    </w:p>
    <w:bookmarkEnd w:id="65"/>
    <w:bookmarkStart w:id="67"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66">
        <w:r>
          <w:rPr>
            <w:rStyle w:val="Hyperlink"/>
          </w:rPr>
          <w:t xml:space="preserve">https://heinonline.org/HOL/P?h=hein.journals/month124&amp;i=482</w:t>
        </w:r>
      </w:hyperlink>
      <w:r>
        <w:t xml:space="preserve">.</w:t>
      </w:r>
    </w:p>
    <w:bookmarkEnd w:id="67"/>
    <w:bookmarkStart w:id="69"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68">
        <w:r>
          <w:rPr>
            <w:rStyle w:val="Hyperlink"/>
          </w:rPr>
          <w:t xml:space="preserve">https://doi.org/10.1177/0739456X20950428</w:t>
        </w:r>
      </w:hyperlink>
      <w:r>
        <w:t xml:space="preserve">.</w:t>
      </w:r>
    </w:p>
    <w:bookmarkEnd w:id="69"/>
    <w:bookmarkStart w:id="71"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70">
        <w:r>
          <w:rPr>
            <w:rStyle w:val="Hyperlink"/>
          </w:rPr>
          <w:t xml:space="preserve">https://doi.org/10.1016/j.jtrangeo.2018.12.015</w:t>
        </w:r>
      </w:hyperlink>
      <w:r>
        <w:t xml:space="preserve">.</w:t>
      </w:r>
    </w:p>
    <w:bookmarkEnd w:id="71"/>
    <w:bookmarkStart w:id="73"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72">
        <w:r>
          <w:rPr>
            <w:rStyle w:val="Hyperlink"/>
          </w:rPr>
          <w:t xml:space="preserve">https://doi.org/10.22004/ag.econ.327257</w:t>
        </w:r>
      </w:hyperlink>
      <w:r>
        <w:t xml:space="preserve">.</w:t>
      </w:r>
    </w:p>
    <w:bookmarkEnd w:id="73"/>
    <w:bookmarkStart w:id="75"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74">
        <w:r>
          <w:rPr>
            <w:rStyle w:val="Hyperlink"/>
          </w:rPr>
          <w:t xml:space="preserve">https://doi.org/10.1016/j.tra.2022.02.003</w:t>
        </w:r>
      </w:hyperlink>
      <w:r>
        <w:t xml:space="preserve">.</w:t>
      </w:r>
    </w:p>
    <w:bookmarkEnd w:id="75"/>
    <w:bookmarkStart w:id="77"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76">
        <w:r>
          <w:rPr>
            <w:rStyle w:val="Hyperlink"/>
          </w:rPr>
          <w:t xml:space="preserve">https://doi.org/10.1016/j.trip.2020.100260</w:t>
        </w:r>
      </w:hyperlink>
      <w:r>
        <w:t xml:space="preserve">.</w:t>
      </w:r>
    </w:p>
    <w:bookmarkEnd w:id="77"/>
    <w:bookmarkStart w:id="78"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78"/>
    <w:bookmarkStart w:id="80"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9">
        <w:r>
          <w:rPr>
            <w:rStyle w:val="Hyperlink"/>
          </w:rPr>
          <w:t xml:space="preserve">https://doi.org/10.1080/01441647.2017.1354942</w:t>
        </w:r>
      </w:hyperlink>
      <w:r>
        <w:t xml:space="preserve">.</w:t>
      </w:r>
    </w:p>
    <w:bookmarkEnd w:id="80"/>
    <w:bookmarkStart w:id="82"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81">
        <w:r>
          <w:rPr>
            <w:rStyle w:val="Hyperlink"/>
          </w:rPr>
          <w:t xml:space="preserve">https://doi.org/10.1177/03611981231174444</w:t>
        </w:r>
      </w:hyperlink>
      <w:r>
        <w:t xml:space="preserve">.</w:t>
      </w:r>
    </w:p>
    <w:bookmarkEnd w:id="82"/>
    <w:bookmarkStart w:id="84"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83">
        <w:r>
          <w:rPr>
            <w:rStyle w:val="Hyperlink"/>
          </w:rPr>
          <w:t xml:space="preserve">https://doi.org/10.1016/0191-2607(79)90051-7</w:t>
        </w:r>
      </w:hyperlink>
      <w:r>
        <w:t xml:space="preserve">.</w:t>
      </w:r>
    </w:p>
    <w:bookmarkEnd w:id="84"/>
    <w:bookmarkStart w:id="86"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85">
        <w:r>
          <w:rPr>
            <w:rStyle w:val="Hyperlink"/>
          </w:rPr>
          <w:t xml:space="preserve">https://doi.org/10.1080/000368498325868</w:t>
        </w:r>
      </w:hyperlink>
      <w:r>
        <w:t xml:space="preserve">.</w:t>
      </w:r>
    </w:p>
    <w:bookmarkEnd w:id="86"/>
    <w:bookmarkStart w:id="87"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87"/>
    <w:bookmarkStart w:id="89"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88">
        <w:r>
          <w:rPr>
            <w:rStyle w:val="Hyperlink"/>
          </w:rPr>
          <w:t xml:space="preserve">https://doi.org/10.1007/s11116-010-9300-2</w:t>
        </w:r>
      </w:hyperlink>
      <w:r>
        <w:t xml:space="preserve">.</w:t>
      </w:r>
    </w:p>
    <w:bookmarkEnd w:id="89"/>
    <w:bookmarkStart w:id="91"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90">
        <w:r>
          <w:rPr>
            <w:rStyle w:val="Hyperlink"/>
          </w:rPr>
          <w:t xml:space="preserve">https://doi.org/10.3386/w19589</w:t>
        </w:r>
      </w:hyperlink>
      <w:r>
        <w:t xml:space="preserve">.</w:t>
      </w:r>
    </w:p>
    <w:bookmarkEnd w:id="91"/>
    <w:bookmarkStart w:id="93"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92">
        <w:r>
          <w:rPr>
            <w:rStyle w:val="Hyperlink"/>
          </w:rPr>
          <w:t xml:space="preserve">https://doi.org/10.1007/s11116-007-9125-9</w:t>
        </w:r>
      </w:hyperlink>
      <w:r>
        <w:t xml:space="preserve">.</w:t>
      </w:r>
    </w:p>
    <w:bookmarkEnd w:id="93"/>
    <w:bookmarkStart w:id="95"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94">
        <w:r>
          <w:rPr>
            <w:rStyle w:val="Hyperlink"/>
          </w:rPr>
          <w:t xml:space="preserve">https://doi.org/10.1007/s11116-008-9173-9</w:t>
        </w:r>
      </w:hyperlink>
      <w:r>
        <w:t xml:space="preserve">.</w:t>
      </w:r>
    </w:p>
    <w:bookmarkEnd w:id="95"/>
    <w:bookmarkStart w:id="97"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96">
        <w:r>
          <w:rPr>
            <w:rStyle w:val="Hyperlink"/>
          </w:rPr>
          <w:t xml:space="preserve">https://doi.org/10.2307/1924806</w:t>
        </w:r>
      </w:hyperlink>
      <w:r>
        <w:t xml:space="preserve">.</w:t>
      </w:r>
    </w:p>
    <w:bookmarkEnd w:id="97"/>
    <w:bookmarkStart w:id="99"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98">
        <w:r>
          <w:rPr>
            <w:rStyle w:val="Hyperlink"/>
          </w:rPr>
          <w:t xml:space="preserve">https://doi.org/10.1016/j.tranpol.2009.12.003</w:t>
        </w:r>
      </w:hyperlink>
      <w:r>
        <w:t xml:space="preserve">.</w:t>
      </w:r>
    </w:p>
    <w:bookmarkEnd w:id="99"/>
    <w:bookmarkStart w:id="101"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100">
        <w:r>
          <w:rPr>
            <w:rStyle w:val="Hyperlink"/>
          </w:rPr>
          <w:t xml:space="preserve">https://doi.org/10.1177/0361198105192600101</w:t>
        </w:r>
      </w:hyperlink>
      <w:r>
        <w:t xml:space="preserve">.</w:t>
      </w:r>
    </w:p>
    <w:bookmarkEnd w:id="101"/>
    <w:bookmarkStart w:id="103"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102">
        <w:r>
          <w:rPr>
            <w:rStyle w:val="Hyperlink"/>
          </w:rPr>
          <w:t xml:space="preserve">https://doi.org/10.1177/0361198106198500128</w:t>
        </w:r>
      </w:hyperlink>
      <w:r>
        <w:t xml:space="preserve">.</w:t>
      </w:r>
    </w:p>
    <w:bookmarkEnd w:id="103"/>
    <w:bookmarkEnd w:id="104"/>
    <w:bookmarkEnd w:id="105"/>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26" Target="https://KamrynMansfield.github.io/transpo_budget_ces/notebooks/LCA-preview.html#cell-tbl-model-classes" TargetMode="External" /><Relationship Type="http://schemas.openxmlformats.org/officeDocument/2006/relationships/hyperlink" Id="rId28" Target="https://KamrynMansfield.github.io/transpo_budget_ces/notebooks/LCA-preview.html#cell-tbl-model-coeff" TargetMode="External" /><Relationship Type="http://schemas.openxmlformats.org/officeDocument/2006/relationships/hyperlink" Id="rId34" Target="https://KamrynMansfield.github.io/transpo_budget_ces/notebooks/LCA-preview.html#cell-tbl-model-covarpcts"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57" Target="https://doi.org/10.1007/s10834-006-9031-x" TargetMode="External" /><Relationship Type="http://schemas.openxmlformats.org/officeDocument/2006/relationships/hyperlink" Id="rId48" Target="https://doi.org/10.1007/s11116-006-0005-5" TargetMode="External" /><Relationship Type="http://schemas.openxmlformats.org/officeDocument/2006/relationships/hyperlink" Id="rId92" Target="https://doi.org/10.1007/s11116-007-9125-9" TargetMode="External" /><Relationship Type="http://schemas.openxmlformats.org/officeDocument/2006/relationships/hyperlink" Id="rId94" Target="https://doi.org/10.1007/s11116-008-9173-9" TargetMode="External" /><Relationship Type="http://schemas.openxmlformats.org/officeDocument/2006/relationships/hyperlink" Id="rId55" Target="https://doi.org/10.1007/s11116-010-9264-2" TargetMode="External" /><Relationship Type="http://schemas.openxmlformats.org/officeDocument/2006/relationships/hyperlink" Id="rId88" Target="https://doi.org/10.1007/s11116-010-9300-2" TargetMode="External" /><Relationship Type="http://schemas.openxmlformats.org/officeDocument/2006/relationships/hyperlink" Id="rId83" Target="https://doi.org/10.1016/0191-2607(79)90051-7" TargetMode="External" /><Relationship Type="http://schemas.openxmlformats.org/officeDocument/2006/relationships/hyperlink" Id="rId70" Target="https://doi.org/10.1016/j.jtrangeo.2018.12.015" TargetMode="External" /><Relationship Type="http://schemas.openxmlformats.org/officeDocument/2006/relationships/hyperlink" Id="rId39" Target="https://doi.org/10.1016/j.tra.2014.12.006" TargetMode="External" /><Relationship Type="http://schemas.openxmlformats.org/officeDocument/2006/relationships/hyperlink" Id="rId74" Target="https://doi.org/10.1016/j.tra.2022.02.003" TargetMode="External" /><Relationship Type="http://schemas.openxmlformats.org/officeDocument/2006/relationships/hyperlink" Id="rId98" Target="https://doi.org/10.1016/j.tranpol.2009.12.003" TargetMode="External" /><Relationship Type="http://schemas.openxmlformats.org/officeDocument/2006/relationships/hyperlink" Id="rId41" Target="https://doi.org/10.1016/j.trd.2025.104886" TargetMode="External" /><Relationship Type="http://schemas.openxmlformats.org/officeDocument/2006/relationships/hyperlink" Id="rId76" Target="https://doi.org/10.1016/j.trip.2020.100260" TargetMode="External" /><Relationship Type="http://schemas.openxmlformats.org/officeDocument/2006/relationships/hyperlink" Id="rId37" Target="https://doi.org/10.1016/j.trip.2022.100616" TargetMode="External" /><Relationship Type="http://schemas.openxmlformats.org/officeDocument/2006/relationships/hyperlink" Id="rId85" Target="https://doi.org/10.1080/000368498325868" TargetMode="External" /><Relationship Type="http://schemas.openxmlformats.org/officeDocument/2006/relationships/hyperlink" Id="rId79" Target="https://doi.org/10.1080/01441647.2017.1354942" TargetMode="External" /><Relationship Type="http://schemas.openxmlformats.org/officeDocument/2006/relationships/hyperlink" Id="rId100" Target="https://doi.org/10.1177/0361198105192600101" TargetMode="External" /><Relationship Type="http://schemas.openxmlformats.org/officeDocument/2006/relationships/hyperlink" Id="rId102" Target="https://doi.org/10.1177/0361198106198500128" TargetMode="External" /><Relationship Type="http://schemas.openxmlformats.org/officeDocument/2006/relationships/hyperlink" Id="rId81" Target="https://doi.org/10.1177/03611981231174444" TargetMode="External" /><Relationship Type="http://schemas.openxmlformats.org/officeDocument/2006/relationships/hyperlink" Id="rId68" Target="https://doi.org/10.1177/0739456X20950428" TargetMode="External" /><Relationship Type="http://schemas.openxmlformats.org/officeDocument/2006/relationships/hyperlink" Id="rId62" Target="https://doi.org/10.1177/23780231221103054" TargetMode="External" /><Relationship Type="http://schemas.openxmlformats.org/officeDocument/2006/relationships/hyperlink" Id="rId64" Target="https://doi.org/10.1300/J073v18n02_02" TargetMode="External" /><Relationship Type="http://schemas.openxmlformats.org/officeDocument/2006/relationships/hyperlink" Id="rId44" Target="https://doi.org/10.21949/E0KQ-GF72" TargetMode="External" /><Relationship Type="http://schemas.openxmlformats.org/officeDocument/2006/relationships/hyperlink" Id="rId72" Target="https://doi.org/10.22004/ag.econ.327257" TargetMode="External" /><Relationship Type="http://schemas.openxmlformats.org/officeDocument/2006/relationships/hyperlink" Id="rId96" Target="https://doi.org/10.2307/1924806" TargetMode="External" /><Relationship Type="http://schemas.openxmlformats.org/officeDocument/2006/relationships/hyperlink" Id="rId53" Target="https://doi.org/10.25318/11F0019M2023007-ENG" TargetMode="External" /><Relationship Type="http://schemas.openxmlformats.org/officeDocument/2006/relationships/hyperlink" Id="rId46" Target="https://doi.org/10.3141/2010-14" TargetMode="External" /><Relationship Type="http://schemas.openxmlformats.org/officeDocument/2006/relationships/hyperlink" Id="rId59" Target="https://doi.org/10.3141/2077-09" TargetMode="External" /><Relationship Type="http://schemas.openxmlformats.org/officeDocument/2006/relationships/hyperlink" Id="rId51" Target="https://doi.org/10.3141/2531-04" TargetMode="External" /><Relationship Type="http://schemas.openxmlformats.org/officeDocument/2006/relationships/hyperlink" Id="rId90" Target="https://doi.org/10.3386/w19589" TargetMode="External" /><Relationship Type="http://schemas.openxmlformats.org/officeDocument/2006/relationships/hyperlink" Id="rId66"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26" Target="https://KamrynMansfield.github.io/transpo_budget_ces/notebooks/LCA-preview.html#cell-tbl-model-classes" TargetMode="External" /><Relationship Type="http://schemas.openxmlformats.org/officeDocument/2006/relationships/hyperlink" Id="rId28" Target="https://KamrynMansfield.github.io/transpo_budget_ces/notebooks/LCA-preview.html#cell-tbl-model-coeff" TargetMode="External" /><Relationship Type="http://schemas.openxmlformats.org/officeDocument/2006/relationships/hyperlink" Id="rId34" Target="https://KamrynMansfield.github.io/transpo_budget_ces/notebooks/LCA-preview.html#cell-tbl-model-covarpcts"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57" Target="https://doi.org/10.1007/s10834-006-9031-x" TargetMode="External" /><Relationship Type="http://schemas.openxmlformats.org/officeDocument/2006/relationships/hyperlink" Id="rId48" Target="https://doi.org/10.1007/s11116-006-0005-5" TargetMode="External" /><Relationship Type="http://schemas.openxmlformats.org/officeDocument/2006/relationships/hyperlink" Id="rId92" Target="https://doi.org/10.1007/s11116-007-9125-9" TargetMode="External" /><Relationship Type="http://schemas.openxmlformats.org/officeDocument/2006/relationships/hyperlink" Id="rId94" Target="https://doi.org/10.1007/s11116-008-9173-9" TargetMode="External" /><Relationship Type="http://schemas.openxmlformats.org/officeDocument/2006/relationships/hyperlink" Id="rId55" Target="https://doi.org/10.1007/s11116-010-9264-2" TargetMode="External" /><Relationship Type="http://schemas.openxmlformats.org/officeDocument/2006/relationships/hyperlink" Id="rId88" Target="https://doi.org/10.1007/s11116-010-9300-2" TargetMode="External" /><Relationship Type="http://schemas.openxmlformats.org/officeDocument/2006/relationships/hyperlink" Id="rId83" Target="https://doi.org/10.1016/0191-2607(79)90051-7" TargetMode="External" /><Relationship Type="http://schemas.openxmlformats.org/officeDocument/2006/relationships/hyperlink" Id="rId70" Target="https://doi.org/10.1016/j.jtrangeo.2018.12.015" TargetMode="External" /><Relationship Type="http://schemas.openxmlformats.org/officeDocument/2006/relationships/hyperlink" Id="rId39" Target="https://doi.org/10.1016/j.tra.2014.12.006" TargetMode="External" /><Relationship Type="http://schemas.openxmlformats.org/officeDocument/2006/relationships/hyperlink" Id="rId74" Target="https://doi.org/10.1016/j.tra.2022.02.003" TargetMode="External" /><Relationship Type="http://schemas.openxmlformats.org/officeDocument/2006/relationships/hyperlink" Id="rId98" Target="https://doi.org/10.1016/j.tranpol.2009.12.003" TargetMode="External" /><Relationship Type="http://schemas.openxmlformats.org/officeDocument/2006/relationships/hyperlink" Id="rId41" Target="https://doi.org/10.1016/j.trd.2025.104886" TargetMode="External" /><Relationship Type="http://schemas.openxmlformats.org/officeDocument/2006/relationships/hyperlink" Id="rId76" Target="https://doi.org/10.1016/j.trip.2020.100260" TargetMode="External" /><Relationship Type="http://schemas.openxmlformats.org/officeDocument/2006/relationships/hyperlink" Id="rId37" Target="https://doi.org/10.1016/j.trip.2022.100616" TargetMode="External" /><Relationship Type="http://schemas.openxmlformats.org/officeDocument/2006/relationships/hyperlink" Id="rId85" Target="https://doi.org/10.1080/000368498325868" TargetMode="External" /><Relationship Type="http://schemas.openxmlformats.org/officeDocument/2006/relationships/hyperlink" Id="rId79" Target="https://doi.org/10.1080/01441647.2017.1354942" TargetMode="External" /><Relationship Type="http://schemas.openxmlformats.org/officeDocument/2006/relationships/hyperlink" Id="rId100" Target="https://doi.org/10.1177/0361198105192600101" TargetMode="External" /><Relationship Type="http://schemas.openxmlformats.org/officeDocument/2006/relationships/hyperlink" Id="rId102" Target="https://doi.org/10.1177/0361198106198500128" TargetMode="External" /><Relationship Type="http://schemas.openxmlformats.org/officeDocument/2006/relationships/hyperlink" Id="rId81" Target="https://doi.org/10.1177/03611981231174444" TargetMode="External" /><Relationship Type="http://schemas.openxmlformats.org/officeDocument/2006/relationships/hyperlink" Id="rId68" Target="https://doi.org/10.1177/0739456X20950428" TargetMode="External" /><Relationship Type="http://schemas.openxmlformats.org/officeDocument/2006/relationships/hyperlink" Id="rId62" Target="https://doi.org/10.1177/23780231221103054" TargetMode="External" /><Relationship Type="http://schemas.openxmlformats.org/officeDocument/2006/relationships/hyperlink" Id="rId64" Target="https://doi.org/10.1300/J073v18n02_02" TargetMode="External" /><Relationship Type="http://schemas.openxmlformats.org/officeDocument/2006/relationships/hyperlink" Id="rId44" Target="https://doi.org/10.21949/E0KQ-GF72" TargetMode="External" /><Relationship Type="http://schemas.openxmlformats.org/officeDocument/2006/relationships/hyperlink" Id="rId72" Target="https://doi.org/10.22004/ag.econ.327257" TargetMode="External" /><Relationship Type="http://schemas.openxmlformats.org/officeDocument/2006/relationships/hyperlink" Id="rId96" Target="https://doi.org/10.2307/1924806" TargetMode="External" /><Relationship Type="http://schemas.openxmlformats.org/officeDocument/2006/relationships/hyperlink" Id="rId53" Target="https://doi.org/10.25318/11F0019M2023007-ENG" TargetMode="External" /><Relationship Type="http://schemas.openxmlformats.org/officeDocument/2006/relationships/hyperlink" Id="rId46" Target="https://doi.org/10.3141/2010-14" TargetMode="External" /><Relationship Type="http://schemas.openxmlformats.org/officeDocument/2006/relationships/hyperlink" Id="rId59" Target="https://doi.org/10.3141/2077-09" TargetMode="External" /><Relationship Type="http://schemas.openxmlformats.org/officeDocument/2006/relationships/hyperlink" Id="rId51" Target="https://doi.org/10.3141/2531-04" TargetMode="External" /><Relationship Type="http://schemas.openxmlformats.org/officeDocument/2006/relationships/hyperlink" Id="rId90" Target="https://doi.org/10.3386/w19589" TargetMode="External" /><Relationship Type="http://schemas.openxmlformats.org/officeDocument/2006/relationships/hyperlink" Id="rId66"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2026-03-03T04:37:39Z</dcterms:created>
  <dcterms:modified xsi:type="dcterms:W3CDTF">2026-03-03T04:37:39Z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2026-03-03</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