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2025-12-19</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Statistics I can point out</w:t>
      </w:r>
    </w:p>
    <w:p>
      <w:pPr>
        <w:numPr>
          <w:ilvl w:val="0"/>
          <w:numId w:val="1001"/>
        </w:numPr>
      </w:pPr>
      <w:r>
        <w:t xml:space="preserve">The amount of budget allocated to transportation is more than it used to be</w:t>
      </w:r>
      <w:r>
        <w:t xml:space="preserve"> </w:t>
      </w:r>
      <w:r>
        <w:t xml:space="preserve">(</w:t>
      </w:r>
      <w:r>
        <w:rPr>
          <w:b/>
          <w:bCs/>
        </w:rPr>
        <w:t xml:space="preserve">johnson_century_2001?</w:t>
      </w:r>
      <w:r>
        <w:t xml:space="preserve">)</w:t>
      </w:r>
      <w:r>
        <w:t xml:space="preserve"> </w:t>
      </w:r>
      <w:r>
        <w:t xml:space="preserve">(but in recent years it might be going down. I want to double check that)</w:t>
      </w:r>
    </w:p>
    <w:p>
      <w:pPr>
        <w:numPr>
          <w:ilvl w:val="0"/>
          <w:numId w:val="1001"/>
        </w:numPr>
      </w:pPr>
      <w:r>
        <w:t xml:space="preserve">How much does the average household spend on transportaiton? I can probably get some good data from</w:t>
      </w:r>
      <w:r>
        <w:t xml:space="preserve"> </w:t>
      </w:r>
      <w:r>
        <w:t xml:space="preserve">Bureau of Transportation Statistics (2024)</w:t>
      </w:r>
    </w:p>
    <w:p>
      <w:pPr>
        <w:numPr>
          <w:ilvl w:val="0"/>
          <w:numId w:val="1001"/>
        </w:numPr>
      </w:pPr>
      <w:r>
        <w:t xml:space="preserve">Do people with more kids spend more on transportation?</w:t>
      </w:r>
    </w:p>
    <w:p>
      <w:pPr>
        <w:numPr>
          <w:ilvl w:val="0"/>
          <w:numId w:val="1001"/>
        </w:numPr>
      </w:pPr>
      <w:r>
        <w:t xml:space="preserve">Do people with more cars spend more on transportation?</w:t>
      </w:r>
    </w:p>
    <w:p>
      <w:pPr>
        <w:numPr>
          <w:ilvl w:val="0"/>
          <w:numId w:val="1001"/>
        </w:numPr>
      </w:pPr>
      <w:r>
        <w:t xml:space="preserve">Lower income households spend m a bigger percent of their budget on transportation (transportaiton burdened)</w:t>
      </w:r>
      <w:r>
        <w:t xml:space="preserve"> </w:t>
      </w:r>
      <w:r>
        <w:t xml:space="preserve">(Molloy, Garrick, and Atkinson-Palombo 2024)</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choipces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8"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4"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Copperman, and Bhat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24"/>
    <w:bookmarkStart w:id="25"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25"/>
    <w:bookmarkStart w:id="26"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Garrick, and Atkinson-Palombo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6"/>
    <w:bookmarkStart w:id="27" w:name="the-current-study"/>
    <w:p>
      <w:pPr>
        <w:pStyle w:val="Heading3"/>
      </w:pPr>
      <w:r>
        <w:t xml:space="preserve">2.4 The Current Study</w:t>
      </w:r>
    </w:p>
    <w:p>
      <w:pPr>
        <w:pStyle w:val="FirstParagraph"/>
      </w:pPr>
      <w:r>
        <w:t xml:space="preserve">This study has never been done and will add to the current literature in the following ways.</w:t>
      </w:r>
    </w:p>
    <w:p>
      <w:pPr>
        <w:numPr>
          <w:ilvl w:val="0"/>
          <w:numId w:val="1002"/>
        </w:numPr>
      </w:pPr>
      <w:r>
        <w:t xml:space="preserve">Data: Many studies on household transportation patterns focus on time diaries and other things. This study uses consumer expenditure data to understand patterns in household transportation budgets.</w:t>
      </w:r>
    </w:p>
    <w:p>
      <w:pPr>
        <w:numPr>
          <w:ilvl w:val="0"/>
          <w:numId w:val="1002"/>
        </w:numPr>
      </w:pPr>
      <w:r>
        <w:t xml:space="preserve">Methodology: LCA to find groupings that organize households using different transportation expense patterns. What variables do we want to look at, and how is that different from other studies?</w:t>
      </w:r>
    </w:p>
    <w:p>
      <w:pPr>
        <w:numPr>
          <w:ilvl w:val="0"/>
          <w:numId w:val="1002"/>
        </w:numPr>
      </w:pPr>
      <w:r>
        <w:t xml:space="preserve">Purpose: Have there been any studies that share a similar end goal as our study? If so, is ours unique?</w:t>
      </w:r>
    </w:p>
    <w:bookmarkEnd w:id="27"/>
    <w:bookmarkEnd w:id="28"/>
    <w:bookmarkStart w:id="29" w:name="data"/>
    <w:p>
      <w:pPr>
        <w:pStyle w:val="Heading2"/>
      </w:pPr>
      <w:r>
        <w:t xml:space="preserve">3 Data</w:t>
      </w:r>
    </w:p>
    <w:p>
      <w:pPr>
        <w:pStyle w:val="FirstParagraph"/>
      </w:pPr>
      <w:r>
        <w:t xml:space="preserve">Data for the following analysis were attained from the 2024 Consumer Expenditure Survey (CEX) Public Use Microdata (PUMD). The CEX is deployed continuously by the Bureau of Labor Statistics (BLS). The data are organized by quarter published each year. The CEX consists of two surveys as described below.</w:t>
      </w:r>
    </w:p>
    <w:p>
      <w:pPr>
        <w:numPr>
          <w:ilvl w:val="0"/>
          <w:numId w:val="1003"/>
        </w:numPr>
      </w:pPr>
      <w:r>
        <w:rPr>
          <w:b/>
          <w:bCs/>
        </w:rPr>
        <w:t xml:space="preserve">The Interview Survey</w:t>
      </w:r>
      <w:r>
        <w:t xml:space="preserve"> </w:t>
      </w:r>
      <w:r>
        <w:t xml:space="preserve">tracks a household’s major and recurring expenditures by reviewing their expenses from the past three months. Approximatedly 6000 usable interviews are collected each quarter. After interviewing a household for 4 consecutive quarters, they are removed from the sample and replaced by a new household.</w:t>
      </w:r>
    </w:p>
    <w:p>
      <w:pPr>
        <w:numPr>
          <w:ilvl w:val="0"/>
          <w:numId w:val="1003"/>
        </w:numPr>
      </w:pPr>
      <w:r>
        <w:rPr>
          <w:b/>
          <w:bCs/>
        </w:rPr>
        <w:t xml:space="preserve">The Diary Survey</w:t>
      </w:r>
      <w:r>
        <w:t xml:space="preserve"> </w:t>
      </w:r>
      <w:r>
        <w:t xml:space="preserve">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w:t>
      </w:r>
    </w:p>
    <w:bookmarkEnd w:id="29"/>
    <w:bookmarkStart w:id="96" w:name="references"/>
    <w:p>
      <w:pPr>
        <w:pStyle w:val="Heading2"/>
      </w:pPr>
      <w:r>
        <w:t xml:space="preserve">4 References</w:t>
      </w:r>
    </w:p>
    <w:bookmarkStart w:id="95" w:name="refs"/>
    <w:bookmarkStart w:id="31"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0">
        <w:r>
          <w:rPr>
            <w:rStyle w:val="Hyperlink"/>
          </w:rPr>
          <w:t xml:space="preserve">https://doi.org/10.1016/j.trip.2022.100616</w:t>
        </w:r>
      </w:hyperlink>
      <w:r>
        <w:t xml:space="preserve">.</w:t>
      </w:r>
    </w:p>
    <w:bookmarkEnd w:id="31"/>
    <w:bookmarkStart w:id="33"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2">
        <w:r>
          <w:rPr>
            <w:rStyle w:val="Hyperlink"/>
          </w:rPr>
          <w:t xml:space="preserve">https://doi.org/10.1016/j.tra.2014.12.006</w:t>
        </w:r>
      </w:hyperlink>
      <w:r>
        <w:t xml:space="preserve">.</w:t>
      </w:r>
    </w:p>
    <w:bookmarkEnd w:id="33"/>
    <w:bookmarkStart w:id="35"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4">
        <w:r>
          <w:rPr>
            <w:rStyle w:val="Hyperlink"/>
          </w:rPr>
          <w:t xml:space="preserve">https://doi.org/10.1016/j.trd.2025.104886</w:t>
        </w:r>
      </w:hyperlink>
      <w:r>
        <w:t xml:space="preserve">.</w:t>
      </w:r>
    </w:p>
    <w:bookmarkEnd w:id="35"/>
    <w:bookmarkStart w:id="36"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6"/>
    <w:bookmarkStart w:id="38"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7">
        <w:r>
          <w:rPr>
            <w:rStyle w:val="Hyperlink"/>
          </w:rPr>
          <w:t xml:space="preserve">https://doi.org/10.21949/E0KQ-GF72</w:t>
        </w:r>
      </w:hyperlink>
      <w:r>
        <w:t xml:space="preserve">.</w:t>
      </w:r>
    </w:p>
    <w:bookmarkEnd w:id="38"/>
    <w:bookmarkStart w:id="40"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9">
        <w:r>
          <w:rPr>
            <w:rStyle w:val="Hyperlink"/>
          </w:rPr>
          <w:t xml:space="preserve">https://doi.org/10.3141/2010-14</w:t>
        </w:r>
      </w:hyperlink>
      <w:r>
        <w:t xml:space="preserve">.</w:t>
      </w:r>
    </w:p>
    <w:bookmarkEnd w:id="40"/>
    <w:bookmarkStart w:id="42"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1">
        <w:r>
          <w:rPr>
            <w:rStyle w:val="Hyperlink"/>
          </w:rPr>
          <w:t xml:space="preserve">https://doi.org/10.1007/s11116-006-0005-5</w:t>
        </w:r>
      </w:hyperlink>
      <w:r>
        <w:t xml:space="preserve">.</w:t>
      </w:r>
    </w:p>
    <w:bookmarkEnd w:id="42"/>
    <w:bookmarkStart w:id="43"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3"/>
    <w:bookmarkStart w:id="45"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4">
        <w:r>
          <w:rPr>
            <w:rStyle w:val="Hyperlink"/>
          </w:rPr>
          <w:t xml:space="preserve">https://doi.org/10.3141/2531-04</w:t>
        </w:r>
      </w:hyperlink>
      <w:r>
        <w:t xml:space="preserve">.</w:t>
      </w:r>
    </w:p>
    <w:bookmarkEnd w:id="45"/>
    <w:bookmarkStart w:id="47"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6">
        <w:r>
          <w:rPr>
            <w:rStyle w:val="Hyperlink"/>
          </w:rPr>
          <w:t xml:space="preserve">https://doi.org/10.25318/11F0019M2023007-ENG</w:t>
        </w:r>
      </w:hyperlink>
      <w:r>
        <w:t xml:space="preserve">.</w:t>
      </w:r>
    </w:p>
    <w:bookmarkEnd w:id="47"/>
    <w:bookmarkStart w:id="49"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8">
        <w:r>
          <w:rPr>
            <w:rStyle w:val="Hyperlink"/>
          </w:rPr>
          <w:t xml:space="preserve">https://doi.org/10.1007/s11116-010-9264-2</w:t>
        </w:r>
      </w:hyperlink>
      <w:r>
        <w:t xml:space="preserve">.</w:t>
      </w:r>
    </w:p>
    <w:bookmarkEnd w:id="49"/>
    <w:bookmarkStart w:id="51"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0">
        <w:r>
          <w:rPr>
            <w:rStyle w:val="Hyperlink"/>
          </w:rPr>
          <w:t xml:space="preserve">https://doi.org/10.1007/s10834-006-9031-x</w:t>
        </w:r>
      </w:hyperlink>
      <w:r>
        <w:t xml:space="preserve">.</w:t>
      </w:r>
    </w:p>
    <w:bookmarkEnd w:id="51"/>
    <w:bookmarkStart w:id="53"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2">
        <w:r>
          <w:rPr>
            <w:rStyle w:val="Hyperlink"/>
          </w:rPr>
          <w:t xml:space="preserve">https://doi.org/10.3141/2077-09</w:t>
        </w:r>
      </w:hyperlink>
      <w:r>
        <w:t xml:space="preserve">.</w:t>
      </w:r>
    </w:p>
    <w:bookmarkEnd w:id="53"/>
    <w:bookmarkStart w:id="54"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4"/>
    <w:bookmarkStart w:id="56"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5">
        <w:r>
          <w:rPr>
            <w:rStyle w:val="Hyperlink"/>
          </w:rPr>
          <w:t xml:space="preserve">https://doi.org/10.1177/23780231221103054</w:t>
        </w:r>
      </w:hyperlink>
      <w:r>
        <w:t xml:space="preserve">.</w:t>
      </w:r>
    </w:p>
    <w:bookmarkEnd w:id="56"/>
    <w:bookmarkStart w:id="58"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7">
        <w:r>
          <w:rPr>
            <w:rStyle w:val="Hyperlink"/>
          </w:rPr>
          <w:t xml:space="preserve">https://doi.org/10.1300/J073v18n02_02</w:t>
        </w:r>
      </w:hyperlink>
      <w:r>
        <w:t xml:space="preserve">.</w:t>
      </w:r>
    </w:p>
    <w:bookmarkEnd w:id="58"/>
    <w:bookmarkStart w:id="60"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9">
        <w:r>
          <w:rPr>
            <w:rStyle w:val="Hyperlink"/>
          </w:rPr>
          <w:t xml:space="preserve">https://doi.org/10.1177/0739456X20950428</w:t>
        </w:r>
      </w:hyperlink>
      <w:r>
        <w:t xml:space="preserve">.</w:t>
      </w:r>
    </w:p>
    <w:bookmarkEnd w:id="60"/>
    <w:bookmarkStart w:id="62"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1">
        <w:r>
          <w:rPr>
            <w:rStyle w:val="Hyperlink"/>
          </w:rPr>
          <w:t xml:space="preserve">https://doi.org/10.1016/j.jtrangeo.2018.12.015</w:t>
        </w:r>
      </w:hyperlink>
      <w:r>
        <w:t xml:space="preserve">.</w:t>
      </w:r>
    </w:p>
    <w:bookmarkEnd w:id="62"/>
    <w:bookmarkStart w:id="64"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3">
        <w:r>
          <w:rPr>
            <w:rStyle w:val="Hyperlink"/>
          </w:rPr>
          <w:t xml:space="preserve">https://doi.org/10.22004/ag.econ.327257</w:t>
        </w:r>
      </w:hyperlink>
      <w:r>
        <w:t xml:space="preserve">.</w:t>
      </w:r>
    </w:p>
    <w:bookmarkEnd w:id="64"/>
    <w:bookmarkStart w:id="66"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5">
        <w:r>
          <w:rPr>
            <w:rStyle w:val="Hyperlink"/>
          </w:rPr>
          <w:t xml:space="preserve">https://doi.org/10.1016/j.tra.2022.02.003</w:t>
        </w:r>
      </w:hyperlink>
      <w:r>
        <w:t xml:space="preserve">.</w:t>
      </w:r>
    </w:p>
    <w:bookmarkEnd w:id="66"/>
    <w:bookmarkStart w:id="68"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7">
        <w:r>
          <w:rPr>
            <w:rStyle w:val="Hyperlink"/>
          </w:rPr>
          <w:t xml:space="preserve">https://doi.org/10.1016/j.trip.2020.100260</w:t>
        </w:r>
      </w:hyperlink>
      <w:r>
        <w:t xml:space="preserve">.</w:t>
      </w:r>
    </w:p>
    <w:bookmarkEnd w:id="68"/>
    <w:bookmarkStart w:id="69"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9"/>
    <w:bookmarkStart w:id="71"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0">
        <w:r>
          <w:rPr>
            <w:rStyle w:val="Hyperlink"/>
          </w:rPr>
          <w:t xml:space="preserve">https://doi.org/10.1080/01441647.2017.1354942</w:t>
        </w:r>
      </w:hyperlink>
      <w:r>
        <w:t xml:space="preserve">.</w:t>
      </w:r>
    </w:p>
    <w:bookmarkEnd w:id="71"/>
    <w:bookmarkStart w:id="73"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2">
        <w:r>
          <w:rPr>
            <w:rStyle w:val="Hyperlink"/>
          </w:rPr>
          <w:t xml:space="preserve">https://doi.org/10.1177/03611981231174444</w:t>
        </w:r>
      </w:hyperlink>
      <w:r>
        <w:t xml:space="preserve">.</w:t>
      </w:r>
    </w:p>
    <w:bookmarkEnd w:id="73"/>
    <w:bookmarkStart w:id="75"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4">
        <w:r>
          <w:rPr>
            <w:rStyle w:val="Hyperlink"/>
          </w:rPr>
          <w:t xml:space="preserve">https://doi.org/10.1016/0191-2607(79)90051-7</w:t>
        </w:r>
      </w:hyperlink>
      <w:r>
        <w:t xml:space="preserve">.</w:t>
      </w:r>
    </w:p>
    <w:bookmarkEnd w:id="75"/>
    <w:bookmarkStart w:id="77"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6">
        <w:r>
          <w:rPr>
            <w:rStyle w:val="Hyperlink"/>
          </w:rPr>
          <w:t xml:space="preserve">https://doi.org/10.1080/000368498325868</w:t>
        </w:r>
      </w:hyperlink>
      <w:r>
        <w:t xml:space="preserve">.</w:t>
      </w:r>
    </w:p>
    <w:bookmarkEnd w:id="77"/>
    <w:bookmarkStart w:id="78"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8"/>
    <w:bookmarkStart w:id="80"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9">
        <w:r>
          <w:rPr>
            <w:rStyle w:val="Hyperlink"/>
          </w:rPr>
          <w:t xml:space="preserve">https://doi.org/10.1007/s11116-010-9300-2</w:t>
        </w:r>
      </w:hyperlink>
      <w:r>
        <w:t xml:space="preserve">.</w:t>
      </w:r>
    </w:p>
    <w:bookmarkEnd w:id="80"/>
    <w:bookmarkStart w:id="82"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1">
        <w:r>
          <w:rPr>
            <w:rStyle w:val="Hyperlink"/>
          </w:rPr>
          <w:t xml:space="preserve">https://doi.org/10.3386/w19589</w:t>
        </w:r>
      </w:hyperlink>
      <w:r>
        <w:t xml:space="preserve">.</w:t>
      </w:r>
    </w:p>
    <w:bookmarkEnd w:id="82"/>
    <w:bookmarkStart w:id="84"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3">
        <w:r>
          <w:rPr>
            <w:rStyle w:val="Hyperlink"/>
          </w:rPr>
          <w:t xml:space="preserve">https://doi.org/10.1007/s11116-007-9125-9</w:t>
        </w:r>
      </w:hyperlink>
      <w:r>
        <w:t xml:space="preserve">.</w:t>
      </w:r>
    </w:p>
    <w:bookmarkEnd w:id="84"/>
    <w:bookmarkStart w:id="86"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5">
        <w:r>
          <w:rPr>
            <w:rStyle w:val="Hyperlink"/>
          </w:rPr>
          <w:t xml:space="preserve">https://doi.org/10.1007/s11116-008-9173-9</w:t>
        </w:r>
      </w:hyperlink>
      <w:r>
        <w:t xml:space="preserve">.</w:t>
      </w:r>
    </w:p>
    <w:bookmarkEnd w:id="86"/>
    <w:bookmarkStart w:id="88"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7">
        <w:r>
          <w:rPr>
            <w:rStyle w:val="Hyperlink"/>
          </w:rPr>
          <w:t xml:space="preserve">https://doi.org/10.2307/1924806</w:t>
        </w:r>
      </w:hyperlink>
      <w:r>
        <w:t xml:space="preserve">.</w:t>
      </w:r>
    </w:p>
    <w:bookmarkEnd w:id="88"/>
    <w:bookmarkStart w:id="90"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9">
        <w:r>
          <w:rPr>
            <w:rStyle w:val="Hyperlink"/>
          </w:rPr>
          <w:t xml:space="preserve">https://doi.org/10.1016/j.tranpol.2009.12.003</w:t>
        </w:r>
      </w:hyperlink>
      <w:r>
        <w:t xml:space="preserve">.</w:t>
      </w:r>
    </w:p>
    <w:bookmarkEnd w:id="90"/>
    <w:bookmarkStart w:id="92"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1">
        <w:r>
          <w:rPr>
            <w:rStyle w:val="Hyperlink"/>
          </w:rPr>
          <w:t xml:space="preserve">https://doi.org/10.1177/0361198105192600101</w:t>
        </w:r>
      </w:hyperlink>
      <w:r>
        <w:t xml:space="preserve">.</w:t>
      </w:r>
    </w:p>
    <w:bookmarkEnd w:id="92"/>
    <w:bookmarkStart w:id="94"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3">
        <w:r>
          <w:rPr>
            <w:rStyle w:val="Hyperlink"/>
          </w:rPr>
          <w:t xml:space="preserve">https://doi.org/10.1177/0361198106198500128</w:t>
        </w:r>
      </w:hyperlink>
      <w:r>
        <w:t xml:space="preserve">.</w:t>
      </w:r>
    </w:p>
    <w:bookmarkEnd w:id="94"/>
    <w:bookmarkEnd w:id="95"/>
    <w:bookmarkEnd w:id="96"/>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2025-12-19T17:43:52Z</dcterms:created>
  <dcterms:modified xsi:type="dcterms:W3CDTF">2025-12-19T17:43:52Z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