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Unpacking Household Budgeting Strategies through a Transportation Lens</w:t>
      </w:r>
    </w:p>
    <w:p>
      <w:pPr>
        <w:pStyle w:val="Author"/>
      </w:pPr>
      <w:r>
        <w:t xml:space="preserve">Kamryn Mansfield</w:t>
      </w:r>
    </w:p>
    <w:p>
      <w:pPr>
        <w:pStyle w:val="Author"/>
      </w:pPr>
      <w:r>
        <w:t xml:space="preserve">Katie Asmussen</w:t>
      </w:r>
    </w:p>
    <w:p>
      <w:pPr>
        <w:pStyle w:val="Date"/>
      </w:pPr>
      <w:r>
        <w:t xml:space="preserve">2025-12-11</w:t>
      </w:r>
    </w:p>
    <w:p>
      <w:pPr>
        <w:pStyle w:val="AbstractTitle"/>
      </w:pPr>
      <w:r>
        <w:t xml:space="preserve">Abstract</w:t>
      </w:r>
    </w:p>
    <w:p>
      <w:pPr>
        <w:pStyle w:val="Abstract"/>
      </w:pPr>
      <w:r>
        <w:t xml:space="preserve">This is where we will put our abstract.</w:t>
      </w:r>
    </w:p>
    <w:bookmarkStart w:id="20" w:name="introduction"/>
    <w:p>
      <w:pPr>
        <w:pStyle w:val="Heading2"/>
      </w:pPr>
      <w:r>
        <w:t xml:space="preserve">1 Introduction</w:t>
      </w:r>
    </w:p>
    <w:p>
      <w:pPr>
        <w:pStyle w:val="FirstParagraph"/>
      </w:pPr>
      <w:r>
        <w:t xml:space="preserve">Households juggle how to allocate their budgets: whether to invest in a reliable car, pay for quality childcare, secure housing in a good school district, or set money aside for leisure. These everyday choices shape how families live and move, reflecting the trade-offs they make to balance competing priorities. Transportation often sits at the center of these decisions, not only because it can be a significant expense, but also because choosing to buy and maintain a car versus relying on public transit represents a long-term commitment and a broader lifestyle choice. Its relative weight compared to housing, childcare, and other spending varies widely across families. The relationship between household budgeting and mobility is shaped not only by causal direction but also by how families prioritize and weight different needs. On one hand, mobility resources such as car ownership can structure the household budget: households with no or only one vehicle may spend far less on transportation, freeing up income for other essential or discretionary categories. On the other hand, underlying family structures and preferences can drive budget allocation choices that, in turn, shape transportation behavior. Larger families may prioritize childcare or invest in higher-quality housing in areas with better schools, limiting what remains for transportation. Others may emphasize frugality across all categories or deliberately substitute toward lower-cost transit options. Understanding both the direction of influence and the weight assigned to different budget categories is critical for transportation planning and policy, as these dynamics reveal how families navigate competing priorities under varying demographic and mobility contexts.</w:t>
      </w:r>
    </w:p>
    <w:p>
      <w:pPr>
        <w:pStyle w:val="BodyText"/>
      </w:pPr>
      <w:r>
        <w:t xml:space="preserve">The purpose of this research is to explore how household budgets are structured around transportation decisions and how this impacts other spending categories. Using the Consumer Expenditure Survey (CEX), we will perform a Latent Class Analysis (LCA) to find groupings based on a household’s transportation expenses. Theses groupings can help us find groups of spenders with similar patterns to help us predict transportation expenses based on the household’s characteristics.</w:t>
      </w:r>
    </w:p>
    <w:bookmarkEnd w:id="20"/>
    <w:bookmarkStart w:id="22" w:name="literature-review"/>
    <w:p>
      <w:pPr>
        <w:pStyle w:val="Heading2"/>
      </w:pPr>
      <w:r>
        <w:t xml:space="preserve">2 Literature Review</w:t>
      </w:r>
    </w:p>
    <w:bookmarkStart w:id="21" w:name="X968401c450450e71d5e935bbd0fb2216cc29795"/>
    <w:p>
      <w:pPr>
        <w:pStyle w:val="Heading3"/>
      </w:pPr>
      <w:r>
        <w:t xml:space="preserve">2.1 Modeling decisions and behavior around family</w:t>
      </w:r>
    </w:p>
    <w:p>
      <w:pPr>
        <w:pStyle w:val="Compact"/>
        <w:numPr>
          <w:ilvl w:val="0"/>
          <w:numId w:val="1001"/>
        </w:numPr>
      </w:pPr>
      <w:r>
        <w:t xml:space="preserve">Ones related to family behavior</w:t>
      </w:r>
    </w:p>
    <w:p>
      <w:pPr>
        <w:pStyle w:val="FirstParagraph"/>
      </w:pPr>
      <w:r>
        <w:t xml:space="preserve">Sener and Bhat (2007)</w:t>
      </w:r>
      <w:r>
        <w:t xml:space="preserve"> </w:t>
      </w:r>
      <w:r>
        <w:t xml:space="preserve">- male children more likely to participate with their fathers than female children, African-American children less likely to participate in health-enhancing active recreation pursuits</w:t>
      </w:r>
    </w:p>
    <w:p>
      <w:pPr>
        <w:pStyle w:val="BodyText"/>
      </w:pPr>
      <w:r>
        <w:t xml:space="preserve">Rachel B. Copperman and Bhat (2007b)</w:t>
      </w:r>
      <w:r>
        <w:t xml:space="preserve"> </w:t>
      </w:r>
      <w:r>
        <w:t xml:space="preserve">- The age of childrend has an effect on the types of activities they pursue</w:t>
      </w:r>
    </w:p>
    <w:p>
      <w:pPr>
        <w:pStyle w:val="BodyText"/>
      </w:pPr>
      <w:r>
        <w:t xml:space="preserve">Sener et al. (2008)</w:t>
      </w:r>
      <w:r>
        <w:t xml:space="preserve"> </w:t>
      </w:r>
      <w:r>
        <w:t xml:space="preserve">- Children in households with parents who are employed, higher income, or higher education were found to participate in structured outdoor activities at higher rates.</w:t>
      </w:r>
    </w:p>
    <w:p>
      <w:pPr>
        <w:pStyle w:val="BodyText"/>
      </w:pPr>
      <w:r>
        <w:t xml:space="preserve">Paleti, Copperman, and Bhat (2011)</w:t>
      </w:r>
      <w:r>
        <w:t xml:space="preserve"> </w:t>
      </w:r>
      <w:r>
        <w:t xml:space="preserve">- The results show that a wide variety of demographic, attitudinal, environmental, and others’ activity-travel pattern characteristics impact children’s after school activity engagement patterns.</w:t>
      </w:r>
    </w:p>
    <w:p>
      <w:pPr>
        <w:pStyle w:val="BodyText"/>
      </w:pPr>
      <w:r>
        <w:t xml:space="preserve">Bernardo et al. (2015)</w:t>
      </w:r>
      <w:r>
        <w:t xml:space="preserve"> </w:t>
      </w:r>
      <w:r>
        <w:t xml:space="preserve">- the presence of a child in dual-earner households not only leads to a reduction in in-home non-work activity participation (excluding child care activities) but also a substantially larger decrease in out-of-home non-work activity participation (excluding child care and shopping activities)</w:t>
      </w:r>
    </w:p>
    <w:p>
      <w:pPr>
        <w:pStyle w:val="BodyText"/>
      </w:pPr>
      <w:r>
        <w:t xml:space="preserve">Leung et al. (2019)</w:t>
      </w:r>
      <w:r>
        <w:t xml:space="preserve"> </w:t>
      </w:r>
      <w:r>
        <w:t xml:space="preserve">-</w:t>
      </w:r>
      <w:r>
        <w:t xml:space="preserve"> </w:t>
      </w:r>
      <w:r>
        <w:t xml:space="preserve">childrens activities can differ a lot based on neighborhood enfironment and family sociodemographic background.</w:t>
      </w:r>
    </w:p>
    <w:p>
      <w:pPr>
        <w:pStyle w:val="Compact"/>
        <w:numPr>
          <w:ilvl w:val="0"/>
          <w:numId w:val="1002"/>
        </w:numPr>
      </w:pPr>
      <w:r>
        <w:t xml:space="preserve">Ones related to transportation</w:t>
      </w:r>
    </w:p>
    <w:p>
      <w:pPr>
        <w:pStyle w:val="FirstParagraph"/>
      </w:pPr>
      <w:r>
        <w:t xml:space="preserve">Rachel B. Copperman and Bhat (2007a)</w:t>
      </w:r>
      <w:r>
        <w:t xml:space="preserve"> </w:t>
      </w:r>
      <w:r>
        <w:t xml:space="preserve">- The</w:t>
      </w:r>
      <w:r>
        <w:t xml:space="preserve"> </w:t>
      </w:r>
      <w:r>
        <w:t xml:space="preserve">“number of children”</w:t>
      </w:r>
      <w:r>
        <w:t xml:space="preserve"> </w:t>
      </w:r>
      <w:r>
        <w:t xml:space="preserve">variable suggests an overall higher likelihood of participation in utilitarian active travel among households with many children relative to households with few children</w:t>
      </w:r>
    </w:p>
    <w:p>
      <w:pPr>
        <w:pStyle w:val="BodyText"/>
      </w:pPr>
      <w:r>
        <w:t xml:space="preserve">Souche (2010)</w:t>
      </w:r>
      <w:r>
        <w:t xml:space="preserve"> </w:t>
      </w:r>
      <w:r>
        <w:t xml:space="preserve">- urban density and cost of transport mode were statisticalliy significan in their model</w:t>
      </w:r>
    </w:p>
    <w:p>
      <w:pPr>
        <w:pStyle w:val="BodyText"/>
      </w:pPr>
      <w:r>
        <w:t xml:space="preserve">McCarthy et al. (2017)</w:t>
      </w:r>
      <w:r>
        <w:t xml:space="preserve"> </w:t>
      </w:r>
      <w:r>
        <w:t xml:space="preserve">- many factores influence decisions about mode choice when traveling with young children.</w:t>
      </w:r>
    </w:p>
    <w:p>
      <w:pPr>
        <w:pStyle w:val="BodyText"/>
      </w:pPr>
      <w:r>
        <w:t xml:space="preserve">Lu et al. (2022)</w:t>
      </w:r>
      <w:r>
        <w:t xml:space="preserve"> </w:t>
      </w:r>
      <w:r>
        <w:t xml:space="preserve">- joint travel contributes least to modal shift from car to active transport when there is improved infrastructure of trains and things</w:t>
      </w:r>
    </w:p>
    <w:p>
      <w:pPr>
        <w:pStyle w:val="BodyText"/>
      </w:pPr>
      <w:r>
        <w:t xml:space="preserve">Amirnazmiafshar and Diana (2022)</w:t>
      </w:r>
      <w:r>
        <w:t xml:space="preserve"> </w:t>
      </w:r>
      <w:r>
        <w:t xml:space="preserve">- There are lots of factors that might affect people’s willingness to use car sharing</w:t>
      </w:r>
    </w:p>
    <w:p>
      <w:pPr>
        <w:pStyle w:val="BodyText"/>
      </w:pPr>
      <w:r>
        <w:t xml:space="preserve">Klein (2024)</w:t>
      </w:r>
      <w:r>
        <w:t xml:space="preserve"> </w:t>
      </w:r>
      <w:r>
        <w:t xml:space="preserve">- Having a car gave people more opportunities than before, and they usually had more time to spend with the family. At the beginning and end of the day.</w:t>
      </w:r>
    </w:p>
    <w:p>
      <w:pPr>
        <w:pStyle w:val="BodyText"/>
      </w:pPr>
      <w:r>
        <w:t xml:space="preserve">Bilgin et al. (2025)</w:t>
      </w:r>
      <w:r>
        <w:t xml:space="preserve"> </w:t>
      </w:r>
      <w:r>
        <w:t xml:space="preserve">- Suggests that households are less likely to qcquire a car in the presence of ridesourcing, but car disposal is mainly driven by household compositions and residential relocation factors.</w:t>
      </w:r>
    </w:p>
    <w:p>
      <w:pPr>
        <w:pStyle w:val="Compact"/>
        <w:numPr>
          <w:ilvl w:val="0"/>
          <w:numId w:val="1003"/>
        </w:numPr>
      </w:pPr>
      <w:r>
        <w:t xml:space="preserve">Ones related to Budgets and money</w:t>
      </w:r>
    </w:p>
    <w:p>
      <w:pPr>
        <w:pStyle w:val="FirstParagraph"/>
      </w:pPr>
      <w:r>
        <w:t xml:space="preserve">Hargunani, Vernekar, and Vernekar (2024)</w:t>
      </w:r>
      <w:r>
        <w:t xml:space="preserve"> </w:t>
      </w:r>
      <w:r>
        <w:t xml:space="preserve">- The data analysis reveals distinct spending, saving, and investment patterns among married couples, with a clear prioritization towards ensuring the well-being and future security of their families.”</w:t>
      </w:r>
    </w:p>
    <w:p>
      <w:pPr>
        <w:pStyle w:val="BodyText"/>
      </w:pPr>
      <w:r>
        <w:t xml:space="preserve">Skinner (1985)</w:t>
      </w:r>
      <w:r>
        <w:t xml:space="preserve"> </w:t>
      </w:r>
      <w:r>
        <w:t xml:space="preserve">- Changes in inflation will prompt changes in consumer expenditures</w:t>
      </w:r>
    </w:p>
    <w:p>
      <w:pPr>
        <w:pStyle w:val="BodyText"/>
      </w:pPr>
      <w:r>
        <w:t xml:space="preserve">Nayga (1998)</w:t>
      </w:r>
      <w:r>
        <w:t xml:space="preserve"> </w:t>
      </w:r>
      <w:r>
        <w:t xml:space="preserve">- Most of the variables analysed significantly affect prepared food expenditures. For example, results suggest that frozen meals expenditures are higher for households without children, for smaller households, and for households headed by a non-white individual</w:t>
      </w:r>
    </w:p>
    <w:p>
      <w:pPr>
        <w:pStyle w:val="BodyText"/>
      </w:pPr>
      <w:r>
        <w:t xml:space="preserve">Fontes and Fan (2006)</w:t>
      </w:r>
      <w:r>
        <w:t xml:space="preserve"> </w:t>
      </w:r>
      <w:r>
        <w:t xml:space="preserve">- Asian Americans allocate more of their budget to housing, African Americans allocate more of their budget to apparel, and Hispanics allocate more of their budget to both housing and apparel, but to a lesser extent than Asian Americans with respect to housing and African Americans with respect to apparel.</w:t>
      </w:r>
    </w:p>
    <w:p>
      <w:pPr>
        <w:pStyle w:val="BodyText"/>
      </w:pPr>
      <w:r>
        <w:t xml:space="preserve">Sabelhaus et al. (2013)</w:t>
      </w:r>
      <w:r>
        <w:t xml:space="preserve"> </w:t>
      </w:r>
      <w:r>
        <w:t xml:space="preserve">- the highest income thresholds are underrepresented in the survey</w:t>
      </w:r>
    </w:p>
    <w:p>
      <w:pPr>
        <w:pStyle w:val="BodyText"/>
      </w:pPr>
      <w:r>
        <w:t xml:space="preserve">Hargunani, Vernekar, and Vernekar (2024)</w:t>
      </w:r>
      <w:r>
        <w:t xml:space="preserve"> </w:t>
      </w:r>
      <w:r>
        <w:t xml:space="preserve">- The data analysis reveals distinct spending, saving, and investment patterns among married couples, with a clear prioritization towards ensuring the well-being and future security of their families.”</w:t>
      </w:r>
    </w:p>
    <w:p>
      <w:pPr>
        <w:pStyle w:val="Compact"/>
        <w:numPr>
          <w:ilvl w:val="0"/>
          <w:numId w:val="1004"/>
        </w:numPr>
      </w:pPr>
      <w:r>
        <w:t xml:space="preserve">spending on kids</w:t>
      </w:r>
    </w:p>
    <w:p>
      <w:pPr>
        <w:pStyle w:val="FirstParagraph"/>
      </w:pPr>
      <w:r>
        <w:t xml:space="preserve">Lino et al. (2017)</w:t>
      </w:r>
      <w:r>
        <w:t xml:space="preserve"> </w:t>
      </w:r>
      <w:r>
        <w:t xml:space="preserve">- Many observations on the expenditures of children</w:t>
      </w:r>
    </w:p>
    <w:p>
      <w:pPr>
        <w:pStyle w:val="BodyText"/>
      </w:pPr>
      <w:r>
        <w:t xml:space="preserve">Osborne, Wu, and Benson (2021)</w:t>
      </w:r>
      <w:r>
        <w:t xml:space="preserve"> </w:t>
      </w:r>
      <w:r>
        <w:t xml:space="preserve">- Regardless of the method of calculation, we find that it is nearly impossible for two minimum wage earners to meet the basic costs of raising children in Texas, especially when child care is included</w:t>
      </w:r>
    </w:p>
    <w:p>
      <w:pPr>
        <w:pStyle w:val="BodyText"/>
      </w:pPr>
      <w:r>
        <w:t xml:space="preserve">Hastings (2022)</w:t>
      </w:r>
      <w:r>
        <w:t xml:space="preserve"> </w:t>
      </w:r>
      <w:r>
        <w:t xml:space="preserve">- Both sociodemographic and economic factors play a substantial role in these differences, and the racial and ethnic gaps in parental investments of money are nearly eliminated when both are accounted for</w:t>
      </w:r>
    </w:p>
    <w:p>
      <w:pPr>
        <w:pStyle w:val="BodyText"/>
      </w:pPr>
      <w:r>
        <w:t xml:space="preserve">Duncan, Frank, and Guèvremont (2023)</w:t>
      </w:r>
      <w:r>
        <w:t xml:space="preserve"> </w:t>
      </w:r>
      <w:r>
        <w:t xml:space="preserve">- The more income, the more spending on kids.</w:t>
      </w:r>
    </w:p>
    <w:p>
      <w:pPr>
        <w:pStyle w:val="Compact"/>
        <w:numPr>
          <w:ilvl w:val="0"/>
          <w:numId w:val="1005"/>
        </w:numPr>
      </w:pPr>
      <w:r>
        <w:t xml:space="preserve">ones related to budgets and transportation</w:t>
      </w:r>
    </w:p>
    <w:p>
      <w:pPr>
        <w:pStyle w:val="FirstParagraph"/>
      </w:pPr>
      <w:r>
        <w:t xml:space="preserve">Morris and Wigan (1979)</w:t>
      </w:r>
      <w:r>
        <w:t xml:space="preserve"> </w:t>
      </w:r>
      <w:r>
        <w:t xml:space="preserve">- transport takes about 17 percent of expenditures, at least part of the consumption expenditure by low income families is financed from savings, loans or other sources besides</w:t>
      </w:r>
      <w:r>
        <w:t xml:space="preserve"> </w:t>
      </w:r>
      <w:r>
        <w:t xml:space="preserve">“income”</w:t>
      </w:r>
      <w:r>
        <w:t xml:space="preserve">.</w:t>
      </w:r>
    </w:p>
    <w:p>
      <w:pPr>
        <w:pStyle w:val="BodyText"/>
      </w:pPr>
      <w:r>
        <w:t xml:space="preserve">Blumenberg (2003)</w:t>
      </w:r>
      <w:r>
        <w:t xml:space="preserve"> </w:t>
      </w:r>
      <w:r>
        <w:t xml:space="preserve">- Cost comparisons fall short of finding if transportation costs are a barrier for economic opportunity among the poor</w:t>
      </w:r>
    </w:p>
    <w:p>
      <w:pPr>
        <w:pStyle w:val="BodyText"/>
      </w:pPr>
      <w:r>
        <w:t xml:space="preserve">Thakuriah and Liao (2005)</w:t>
      </w:r>
      <w:r>
        <w:t xml:space="preserve"> </w:t>
      </w:r>
      <w:r>
        <w:t xml:space="preserve">- For vehicle-owning households, of every additional dollar that households spend, 18 cents is spent on vehicles after controlling for socioeconomic, demographic, life cycle, and other factors relating to households.</w:t>
      </w:r>
    </w:p>
    <w:p>
      <w:pPr>
        <w:pStyle w:val="BodyText"/>
      </w:pPr>
      <w:r>
        <w:t xml:space="preserve">Hong et al. (2005)</w:t>
      </w:r>
      <w:r>
        <w:t xml:space="preserve"> </w:t>
      </w:r>
      <w:r>
        <w:t xml:space="preserve">- Marrieds without children are more likely to spend on leisure travel than singles, whereas single parents and solitary survivors are less likely to spend on leisure travel than singles.</w:t>
      </w:r>
    </w:p>
    <w:p>
      <w:pPr>
        <w:pStyle w:val="BodyText"/>
      </w:pPr>
      <w:r>
        <w:t xml:space="preserve">Thakuriah (Vonu) and Liao (2006)</w:t>
      </w:r>
      <w:r>
        <w:t xml:space="preserve"> </w:t>
      </w:r>
      <w:r>
        <w:t xml:space="preserve">- Transportation expenditures made by households are better explained by permanent income levels of households than by annual incomes.</w:t>
      </w:r>
    </w:p>
    <w:p>
      <w:pPr>
        <w:pStyle w:val="BodyText"/>
      </w:pPr>
      <w:r>
        <w:t xml:space="preserve">Choo, Lee, and Mokhtarian (2007)</w:t>
      </w:r>
      <w:r>
        <w:t xml:space="preserve"> </w:t>
      </w:r>
      <w:r>
        <w:t xml:space="preserve">- New tech doesn’t substitue Personal Vehicle travel probably</w:t>
      </w:r>
    </w:p>
    <w:p>
      <w:pPr>
        <w:pStyle w:val="BodyText"/>
      </w:pPr>
      <w:r>
        <w:t xml:space="preserve">Haas et al. (2008)</w:t>
      </w:r>
      <w:r>
        <w:t xml:space="preserve"> </w:t>
      </w:r>
      <w:r>
        <w:t xml:space="preserve">- Their model can help in travel demand modeling</w:t>
      </w:r>
    </w:p>
    <w:p>
      <w:pPr>
        <w:pStyle w:val="BodyText"/>
      </w:pPr>
      <w:r>
        <w:t xml:space="preserve">Ferdous et al. (2010)</w:t>
      </w:r>
      <w:r>
        <w:t xml:space="preserve"> </w:t>
      </w:r>
      <w:r>
        <w:t xml:space="preserve">- Adjustments are made with increased fuel prices</w:t>
      </w:r>
    </w:p>
    <w:p>
      <w:pPr>
        <w:pStyle w:val="BodyText"/>
      </w:pPr>
      <w:r>
        <w:t xml:space="preserve">Deka (2015)</w:t>
      </w:r>
      <w:r>
        <w:t xml:space="preserve"> </w:t>
      </w:r>
      <w:r>
        <w:t xml:space="preserve">- More housing costs = more transportation costs, people the take transit spend less on transportation</w:t>
      </w:r>
    </w:p>
    <w:p>
      <w:pPr>
        <w:pStyle w:val="BodyText"/>
      </w:pPr>
      <w:r>
        <w:t xml:space="preserve">Mattson and Peterson (2019)</w:t>
      </w:r>
      <w:r>
        <w:t xml:space="preserve"> </w:t>
      </w:r>
      <w:r>
        <w:t xml:space="preserve">- denser areas are more likely to use transit to commute. People in single-family homes tend to spend more money on transportation</w:t>
      </w:r>
    </w:p>
    <w:p>
      <w:pPr>
        <w:pStyle w:val="BodyText"/>
      </w:pPr>
      <w:r>
        <w:t xml:space="preserve">Mattson (2020)</w:t>
      </w:r>
      <w:r>
        <w:t xml:space="preserve"> </w:t>
      </w:r>
      <w:r>
        <w:t xml:space="preserve">- single family homes spend more on transportation, higher income is correlated with higher tranportation costs.</w:t>
      </w:r>
    </w:p>
    <w:p>
      <w:pPr>
        <w:pStyle w:val="BodyText"/>
      </w:pPr>
      <w:r>
        <w:t xml:space="preserve">Molloy, Garrick, and Atkinson-Palombo (2024)</w:t>
      </w:r>
      <w:r>
        <w:t xml:space="preserve"> </w:t>
      </w:r>
      <w:r>
        <w:t xml:space="preserve">-</w:t>
      </w:r>
      <w:r>
        <w:t xml:space="preserve"> </w:t>
      </w:r>
      <w:r>
        <w:t xml:space="preserve">“Captive Riders”</w:t>
      </w:r>
      <w:r>
        <w:t xml:space="preserve"> </w:t>
      </w:r>
      <w:r>
        <w:t xml:space="preserve">have less spending allocated to transportation than captive drivers.</w:t>
      </w:r>
    </w:p>
    <w:p>
      <w:pPr>
        <w:pStyle w:val="BodyText"/>
      </w:pPr>
      <w:r>
        <w:t xml:space="preserve">Bureau of Transportation Statistics (2024)</w:t>
      </w:r>
      <w:r>
        <w:t xml:space="preserve"> </w:t>
      </w:r>
      <w:r>
        <w:t xml:space="preserve">- Lots of summaries</w:t>
      </w:r>
    </w:p>
    <w:bookmarkEnd w:id="21"/>
    <w:bookmarkEnd w:id="22"/>
    <w:bookmarkStart w:id="89" w:name="references"/>
    <w:p>
      <w:pPr>
        <w:pStyle w:val="Heading2"/>
      </w:pPr>
      <w:r>
        <w:t xml:space="preserve">3 References</w:t>
      </w:r>
    </w:p>
    <w:bookmarkStart w:id="88" w:name="refs"/>
    <w:bookmarkStart w:id="24" w:name="ref-amirnazmiafshar_review_2022"/>
    <w:p>
      <w:pPr>
        <w:pStyle w:val="Bibliography"/>
      </w:pPr>
      <w:r>
        <w:t xml:space="preserve">Amirnazmiafshar, Ehsan, and Marco Diana. 2022.</w:t>
      </w:r>
      <w:r>
        <w:t xml:space="preserve"> </w:t>
      </w:r>
      <w:r>
        <w:t xml:space="preserve">“A Review of the Socio-Demographic Characteristics Affecting the Demand for Different Car-Sharing Operational Schemes.”</w:t>
      </w:r>
      <w:r>
        <w:t xml:space="preserve"> </w:t>
      </w:r>
      <w:r>
        <w:rPr>
          <w:i/>
          <w:iCs/>
        </w:rPr>
        <w:t xml:space="preserve">Transportation Research Interdisciplinary Perspectives</w:t>
      </w:r>
      <w:r>
        <w:t xml:space="preserve"> </w:t>
      </w:r>
      <w:r>
        <w:t xml:space="preserve">14 (June): 100616.</w:t>
      </w:r>
      <w:r>
        <w:t xml:space="preserve"> </w:t>
      </w:r>
      <w:hyperlink r:id="rId23">
        <w:r>
          <w:rPr>
            <w:rStyle w:val="Hyperlink"/>
          </w:rPr>
          <w:t xml:space="preserve">https://doi.org/10.1016/j.trip.2022.100616</w:t>
        </w:r>
      </w:hyperlink>
      <w:r>
        <w:t xml:space="preserve">.</w:t>
      </w:r>
    </w:p>
    <w:bookmarkEnd w:id="24"/>
    <w:bookmarkStart w:id="26" w:name="ref-bernardo_empirical_2015"/>
    <w:p>
      <w:pPr>
        <w:pStyle w:val="Bibliography"/>
      </w:pPr>
      <w:r>
        <w:t xml:space="preserve">Bernardo, Christina, Rajesh Paleti, Megan Hoklas, and Chandra Bhat. 2015.</w:t>
      </w:r>
      <w:r>
        <w:t xml:space="preserve"> </w:t>
      </w:r>
      <w:r>
        <w:t xml:space="preserve">“An Empirical Investigation into the Time-Use and Activity Patterns of Dual-Earner Couples with and Without Young Children.”</w:t>
      </w:r>
      <w:r>
        <w:t xml:space="preserve"> </w:t>
      </w:r>
      <w:r>
        <w:rPr>
          <w:i/>
          <w:iCs/>
        </w:rPr>
        <w:t xml:space="preserve">Transportation Research Part A: Policy and Practice</w:t>
      </w:r>
      <w:r>
        <w:t xml:space="preserve"> </w:t>
      </w:r>
      <w:r>
        <w:t xml:space="preserve">76 (June): 71–91.</w:t>
      </w:r>
      <w:r>
        <w:t xml:space="preserve"> </w:t>
      </w:r>
      <w:hyperlink r:id="rId25">
        <w:r>
          <w:rPr>
            <w:rStyle w:val="Hyperlink"/>
          </w:rPr>
          <w:t xml:space="preserve">https://doi.org/10.1016/j.tra.2014.12.006</w:t>
        </w:r>
      </w:hyperlink>
      <w:r>
        <w:t xml:space="preserve">.</w:t>
      </w:r>
    </w:p>
    <w:bookmarkEnd w:id="26"/>
    <w:bookmarkStart w:id="28" w:name="ref-bilgin_investigating_2025"/>
    <w:p>
      <w:pPr>
        <w:pStyle w:val="Bibliography"/>
      </w:pPr>
      <w:r>
        <w:t xml:space="preserve">Bilgin, Pinar, Giulio Mattioli, Malcolm Morgan, and Zia Wadud. 2025.</w:t>
      </w:r>
      <w:r>
        <w:t xml:space="preserve"> </w:t>
      </w:r>
      <w:r>
        <w:t xml:space="preserve">“Investigating the Effects of Ridesourcing on the Dynamics of Household Car Ownership.”</w:t>
      </w:r>
      <w:r>
        <w:t xml:space="preserve"> </w:t>
      </w:r>
      <w:r>
        <w:rPr>
          <w:i/>
          <w:iCs/>
        </w:rPr>
        <w:t xml:space="preserve">Transportation Research Part D: Transport and Environment</w:t>
      </w:r>
      <w:r>
        <w:t xml:space="preserve"> </w:t>
      </w:r>
      <w:r>
        <w:t xml:space="preserve">146 (September): 104886.</w:t>
      </w:r>
      <w:r>
        <w:t xml:space="preserve"> </w:t>
      </w:r>
      <w:hyperlink r:id="rId27">
        <w:r>
          <w:rPr>
            <w:rStyle w:val="Hyperlink"/>
          </w:rPr>
          <w:t xml:space="preserve">https://doi.org/10.1016/j.trd.2025.104886</w:t>
        </w:r>
      </w:hyperlink>
      <w:r>
        <w:t xml:space="preserve">.</w:t>
      </w:r>
    </w:p>
    <w:bookmarkEnd w:id="28"/>
    <w:bookmarkStart w:id="29" w:name="ref-blumenberg_transportation_2003"/>
    <w:p>
      <w:pPr>
        <w:pStyle w:val="Bibliography"/>
      </w:pPr>
      <w:r>
        <w:t xml:space="preserve">Blumenberg, Evelyn. 2003.</w:t>
      </w:r>
      <w:r>
        <w:t xml:space="preserve"> </w:t>
      </w:r>
      <w:r>
        <w:t xml:space="preserve">“Transportation</w:t>
      </w:r>
      <w:r>
        <w:t xml:space="preserve"> </w:t>
      </w:r>
      <w:r>
        <w:t xml:space="preserve">Costs</w:t>
      </w:r>
      <w:r>
        <w:t xml:space="preserve"> </w:t>
      </w:r>
      <w:r>
        <w:t xml:space="preserve">and</w:t>
      </w:r>
      <w:r>
        <w:t xml:space="preserve"> </w:t>
      </w:r>
      <w:r>
        <w:t xml:space="preserve">Economic</w:t>
      </w:r>
      <w:r>
        <w:t xml:space="preserve"> </w:t>
      </w:r>
      <w:r>
        <w:t xml:space="preserve">Opportunity</w:t>
      </w:r>
      <w:r>
        <w:t xml:space="preserve"> </w:t>
      </w:r>
      <w:r>
        <w:t xml:space="preserve">Among</w:t>
      </w:r>
      <w:r>
        <w:t xml:space="preserve"> </w:t>
      </w:r>
      <w:r>
        <w:t xml:space="preserve">the</w:t>
      </w:r>
      <w:r>
        <w:t xml:space="preserve"> </w:t>
      </w:r>
      <w:r>
        <w:t xml:space="preserve">Poor</w:t>
      </w:r>
      <w:r>
        <w:t xml:space="preserve">,”</w:t>
      </w:r>
      <w:r>
        <w:t xml:space="preserve"> </w:t>
      </w:r>
      <w:r>
        <w:t xml:space="preserve">October.</w:t>
      </w:r>
    </w:p>
    <w:bookmarkEnd w:id="29"/>
    <w:bookmarkStart w:id="31" w:name="Xa66e51dc7d1b5a25f9f65477025553c1efad10b"/>
    <w:p>
      <w:pPr>
        <w:pStyle w:val="Bibliography"/>
      </w:pPr>
      <w:r>
        <w:t xml:space="preserve">Bureau of Transportation Statistics. 2024.</w:t>
      </w:r>
      <w:r>
        <w:t xml:space="preserve"> </w:t>
      </w:r>
      <w:r>
        <w:t xml:space="preserve">“Transportation</w:t>
      </w:r>
      <w:r>
        <w:t xml:space="preserve"> </w:t>
      </w:r>
      <w:r>
        <w:t xml:space="preserve">Statistics</w:t>
      </w:r>
      <w:r>
        <w:t xml:space="preserve"> </w:t>
      </w:r>
      <w:r>
        <w:t xml:space="preserve">Annual</w:t>
      </w:r>
      <w:r>
        <w:t xml:space="preserve"> </w:t>
      </w:r>
      <w:r>
        <w:t xml:space="preserve">Report</w:t>
      </w:r>
      <w:r>
        <w:t xml:space="preserve"> </w:t>
      </w:r>
      <w:r>
        <w:t xml:space="preserve">2024.”</w:t>
      </w:r>
      <w:r>
        <w:t xml:space="preserve"> </w:t>
      </w:r>
      <w:r>
        <w:t xml:space="preserve">Bureau of Transportation Statistics.</w:t>
      </w:r>
      <w:r>
        <w:t xml:space="preserve"> </w:t>
      </w:r>
      <w:hyperlink r:id="rId30">
        <w:r>
          <w:rPr>
            <w:rStyle w:val="Hyperlink"/>
          </w:rPr>
          <w:t xml:space="preserve">https://doi.org/10.21949/E0KQ-GF72</w:t>
        </w:r>
      </w:hyperlink>
      <w:r>
        <w:t xml:space="preserve">.</w:t>
      </w:r>
    </w:p>
    <w:bookmarkEnd w:id="31"/>
    <w:bookmarkStart w:id="33" w:name="ref-choo_transportation_2007"/>
    <w:p>
      <w:pPr>
        <w:pStyle w:val="Bibliography"/>
      </w:pPr>
      <w:r>
        <w:t xml:space="preserve">Choo, Sangho, Taihyeong Lee, and Patricia L. Mokhtarian. 2007.</w:t>
      </w:r>
      <w:r>
        <w:t xml:space="preserve"> </w:t>
      </w:r>
      <w:r>
        <w:t xml:space="preserve">“Do</w:t>
      </w:r>
      <w:r>
        <w:t xml:space="preserve"> </w:t>
      </w:r>
      <w:r>
        <w:t xml:space="preserve">Transportation</w:t>
      </w:r>
      <w:r>
        <w:t xml:space="preserve"> </w:t>
      </w:r>
      <w:r>
        <w:t xml:space="preserve">and</w:t>
      </w:r>
      <w:r>
        <w:t xml:space="preserve"> </w:t>
      </w:r>
      <w:r>
        <w:t xml:space="preserve">Communications</w:t>
      </w:r>
      <w:r>
        <w:t xml:space="preserve"> </w:t>
      </w:r>
      <w:r>
        <w:t xml:space="preserve">Tend</w:t>
      </w:r>
      <w:r>
        <w:t xml:space="preserve"> </w:t>
      </w:r>
      <w:r>
        <w:t xml:space="preserve">to Be</w:t>
      </w:r>
      <w:r>
        <w:t xml:space="preserve"> </w:t>
      </w:r>
      <w:r>
        <w:t xml:space="preserve">Substitutes</w:t>
      </w:r>
      <w:r>
        <w:t xml:space="preserve">,</w:t>
      </w:r>
      <w:r>
        <w:t xml:space="preserve"> </w:t>
      </w:r>
      <w:r>
        <w:t xml:space="preserve">Complements</w:t>
      </w:r>
      <w:r>
        <w:t xml:space="preserve">, or</w:t>
      </w:r>
      <w:r>
        <w:t xml:space="preserve"> </w:t>
      </w:r>
      <w:r>
        <w:t xml:space="preserve">Neither</w:t>
      </w:r>
      <w:r>
        <w:t xml:space="preserve">?:</w:t>
      </w:r>
      <w:r>
        <w:t xml:space="preserve"> </w:t>
      </w:r>
      <w:r>
        <w:t xml:space="preserve">U</w:t>
      </w:r>
      <w:r>
        <w:t xml:space="preserve">.</w:t>
      </w:r>
      <w:r>
        <w:t xml:space="preserve">S</w:t>
      </w:r>
      <w:r>
        <w:t xml:space="preserve">.</w:t>
      </w:r>
      <w:r>
        <w:t xml:space="preserve"> </w:t>
      </w:r>
      <w:r>
        <w:t xml:space="preserve">Consumer</w:t>
      </w:r>
      <w:r>
        <w:t xml:space="preserve"> </w:t>
      </w:r>
      <w:r>
        <w:t xml:space="preserve">Expenditures</w:t>
      </w:r>
      <w:r>
        <w:t xml:space="preserve"> </w:t>
      </w:r>
      <w:r>
        <w:t xml:space="preserve">Perspective</w:t>
      </w:r>
      <w:r>
        <w:t xml:space="preserve">, 1984–2002.”</w:t>
      </w:r>
      <w:r>
        <w:t xml:space="preserve"> </w:t>
      </w:r>
      <w:r>
        <w:rPr>
          <w:i/>
          <w:iCs/>
        </w:rPr>
        <w:t xml:space="preserve">Transportation Research Record</w:t>
      </w:r>
      <w:r>
        <w:t xml:space="preserve"> </w:t>
      </w:r>
      <w:r>
        <w:t xml:space="preserve">2010 (1): 121–32.</w:t>
      </w:r>
      <w:r>
        <w:t xml:space="preserve"> </w:t>
      </w:r>
      <w:hyperlink r:id="rId32">
        <w:r>
          <w:rPr>
            <w:rStyle w:val="Hyperlink"/>
          </w:rPr>
          <w:t xml:space="preserve">https://doi.org/10.3141/2010-14</w:t>
        </w:r>
      </w:hyperlink>
      <w:r>
        <w:t xml:space="preserve">.</w:t>
      </w:r>
    </w:p>
    <w:bookmarkEnd w:id="33"/>
    <w:bookmarkStart w:id="35" w:name="ref-copperman_analysis_2007"/>
    <w:p>
      <w:pPr>
        <w:pStyle w:val="Bibliography"/>
      </w:pPr>
      <w:r>
        <w:t xml:space="preserve">Copperman, Rachel B., and Chandra R. Bhat. 2007a.</w:t>
      </w:r>
      <w:r>
        <w:t xml:space="preserve"> </w:t>
      </w:r>
      <w:r>
        <w:t xml:space="preserve">“An Analysis of the Determinants of Children’s Weekend Physical Activity Participation.”</w:t>
      </w:r>
      <w:r>
        <w:t xml:space="preserve"> </w:t>
      </w:r>
      <w:r>
        <w:rPr>
          <w:i/>
          <w:iCs/>
        </w:rPr>
        <w:t xml:space="preserve">Transportation</w:t>
      </w:r>
      <w:r>
        <w:t xml:space="preserve"> </w:t>
      </w:r>
      <w:r>
        <w:t xml:space="preserve">34 (1): 67–87.</w:t>
      </w:r>
      <w:r>
        <w:t xml:space="preserve"> </w:t>
      </w:r>
      <w:hyperlink r:id="rId34">
        <w:r>
          <w:rPr>
            <w:rStyle w:val="Hyperlink"/>
          </w:rPr>
          <w:t xml:space="preserve">https://doi.org/10.1007/s11116-006-0005-5</w:t>
        </w:r>
      </w:hyperlink>
      <w:r>
        <w:t xml:space="preserve">.</w:t>
      </w:r>
    </w:p>
    <w:bookmarkEnd w:id="35"/>
    <w:bookmarkStart w:id="36" w:name="ref-copperman_exploratory_2007"/>
    <w:p>
      <w:pPr>
        <w:pStyle w:val="Bibliography"/>
      </w:pPr>
      <w:r>
        <w:t xml:space="preserve">Copperman, Rachel B, and Chandra R Bhat. 2007b.</w:t>
      </w:r>
      <w:r>
        <w:t xml:space="preserve"> </w:t>
      </w:r>
      <w:r>
        <w:t xml:space="preserve">“An</w:t>
      </w:r>
      <w:r>
        <w:t xml:space="preserve"> </w:t>
      </w:r>
      <w:r>
        <w:t xml:space="preserve">Exploratory</w:t>
      </w:r>
      <w:r>
        <w:t xml:space="preserve"> </w:t>
      </w:r>
      <w:r>
        <w:t xml:space="preserve">Analysis</w:t>
      </w:r>
      <w:r>
        <w:t xml:space="preserve"> </w:t>
      </w:r>
      <w:r>
        <w:t xml:space="preserve">of</w:t>
      </w:r>
      <w:r>
        <w:t xml:space="preserve"> </w:t>
      </w:r>
      <w:r>
        <w:t xml:space="preserve">Children</w:t>
      </w:r>
      <w:r>
        <w:t xml:space="preserve">’s</w:t>
      </w:r>
      <w:r>
        <w:t xml:space="preserve"> </w:t>
      </w:r>
      <w:r>
        <w:t xml:space="preserve">Daily</w:t>
      </w:r>
      <w:r>
        <w:t xml:space="preserve"> </w:t>
      </w:r>
      <w:r>
        <w:t xml:space="preserve">Time</w:t>
      </w:r>
      <w:r>
        <w:t xml:space="preserve">-</w:t>
      </w:r>
      <w:r>
        <w:t xml:space="preserve">Use</w:t>
      </w:r>
      <w:r>
        <w:t xml:space="preserve"> </w:t>
      </w:r>
      <w:r>
        <w:t xml:space="preserve">and</w:t>
      </w:r>
      <w:r>
        <w:t xml:space="preserve"> </w:t>
      </w:r>
      <w:r>
        <w:t xml:space="preserve">Activity</w:t>
      </w:r>
      <w:r>
        <w:t xml:space="preserve"> </w:t>
      </w:r>
      <w:r>
        <w:t xml:space="preserve">Patterns</w:t>
      </w:r>
      <w:r>
        <w:t xml:space="preserve"> </w:t>
      </w:r>
      <w:r>
        <w:t xml:space="preserve">Using</w:t>
      </w:r>
      <w:r>
        <w:t xml:space="preserve"> </w:t>
      </w:r>
      <w:r>
        <w:t xml:space="preserve">the</w:t>
      </w:r>
      <w:r>
        <w:t xml:space="preserve"> </w:t>
      </w:r>
      <w:r>
        <w:t xml:space="preserve">Child</w:t>
      </w:r>
      <w:r>
        <w:t xml:space="preserve"> </w:t>
      </w:r>
      <w:r>
        <w:t xml:space="preserve">Development</w:t>
      </w:r>
      <w:r>
        <w:t xml:space="preserve"> </w:t>
      </w:r>
      <w:r>
        <w:t xml:space="preserve">Supplement</w:t>
      </w:r>
      <w:r>
        <w:t xml:space="preserve"> </w:t>
      </w:r>
      <w:r>
        <w:t xml:space="preserve">(</w:t>
      </w:r>
      <w:r>
        <w:t xml:space="preserve">CDS</w:t>
      </w:r>
      <w:r>
        <w:t xml:space="preserve">) to the</w:t>
      </w:r>
      <w:r>
        <w:t xml:space="preserve"> </w:t>
      </w:r>
      <w:r>
        <w:t xml:space="preserve">US</w:t>
      </w:r>
      <w:r>
        <w:t xml:space="preserve"> </w:t>
      </w:r>
      <w:r>
        <w:t xml:space="preserve">Panel</w:t>
      </w:r>
      <w:r>
        <w:t xml:space="preserve"> </w:t>
      </w:r>
      <w:r>
        <w:t xml:space="preserve">Study</w:t>
      </w:r>
      <w:r>
        <w:t xml:space="preserve"> </w:t>
      </w:r>
      <w:r>
        <w:t xml:space="preserve">of</w:t>
      </w:r>
      <w:r>
        <w:t xml:space="preserve"> </w:t>
      </w:r>
      <w:r>
        <w:t xml:space="preserve">Income</w:t>
      </w:r>
      <w:r>
        <w:t xml:space="preserve"> </w:t>
      </w:r>
      <w:r>
        <w:t xml:space="preserve">Dynamics</w:t>
      </w:r>
      <w:r>
        <w:t xml:space="preserve"> </w:t>
      </w:r>
      <w:r>
        <w:t xml:space="preserve">(</w:t>
      </w:r>
      <w:r>
        <w:t xml:space="preserve">PSID</w:t>
      </w:r>
      <w:r>
        <w:t xml:space="preserve">).”</w:t>
      </w:r>
    </w:p>
    <w:bookmarkEnd w:id="36"/>
    <w:bookmarkStart w:id="38" w:name="ref-deka_relationship_2015"/>
    <w:p>
      <w:pPr>
        <w:pStyle w:val="Bibliography"/>
      </w:pPr>
      <w:r>
        <w:t xml:space="preserve">Deka, Devajyoti. 2015.</w:t>
      </w:r>
      <w:r>
        <w:t xml:space="preserve"> </w:t>
      </w:r>
      <w:r>
        <w:t xml:space="preserve">“Relationship Between</w:t>
      </w:r>
      <w:r>
        <w:t xml:space="preserve"> </w:t>
      </w:r>
      <w:r>
        <w:t xml:space="preserve">Households</w:t>
      </w:r>
      <w:r>
        <w:t xml:space="preserve">’</w:t>
      </w:r>
      <w:r>
        <w:t xml:space="preserve"> </w:t>
      </w:r>
      <w:r>
        <w:t xml:space="preserve">Housing</w:t>
      </w:r>
      <w:r>
        <w:t xml:space="preserve"> </w:t>
      </w:r>
      <w:r>
        <w:t xml:space="preserve">and</w:t>
      </w:r>
      <w:r>
        <w:t xml:space="preserve"> </w:t>
      </w:r>
      <w:r>
        <w:t xml:space="preserve">Transportation</w:t>
      </w:r>
      <w:r>
        <w:t xml:space="preserve"> </w:t>
      </w:r>
      <w:r>
        <w:t xml:space="preserve">Expenditures</w:t>
      </w:r>
      <w:r>
        <w:t xml:space="preserve">:</w:t>
      </w:r>
      <w:r>
        <w:t xml:space="preserve"> </w:t>
      </w:r>
      <w:r>
        <w:t xml:space="preserve">Examination</w:t>
      </w:r>
      <w:r>
        <w:t xml:space="preserve"> </w:t>
      </w:r>
      <w:r>
        <w:t xml:space="preserve">from</w:t>
      </w:r>
      <w:r>
        <w:t xml:space="preserve"> </w:t>
      </w:r>
      <w:r>
        <w:t xml:space="preserve">Lifestyle</w:t>
      </w:r>
      <w:r>
        <w:t xml:space="preserve"> </w:t>
      </w:r>
      <w:r>
        <w:t xml:space="preserve">Perspective</w:t>
      </w:r>
      <w:r>
        <w:t xml:space="preserve">.”</w:t>
      </w:r>
      <w:r>
        <w:t xml:space="preserve"> </w:t>
      </w:r>
      <w:r>
        <w:rPr>
          <w:i/>
          <w:iCs/>
        </w:rPr>
        <w:t xml:space="preserve">Transportation Research Record</w:t>
      </w:r>
      <w:r>
        <w:t xml:space="preserve"> </w:t>
      </w:r>
      <w:r>
        <w:t xml:space="preserve">2531 (1): 26–35.</w:t>
      </w:r>
      <w:r>
        <w:t xml:space="preserve"> </w:t>
      </w:r>
      <w:hyperlink r:id="rId37">
        <w:r>
          <w:rPr>
            <w:rStyle w:val="Hyperlink"/>
          </w:rPr>
          <w:t xml:space="preserve">https://doi.org/10.3141/2531-04</w:t>
        </w:r>
      </w:hyperlink>
      <w:r>
        <w:t xml:space="preserve">.</w:t>
      </w:r>
    </w:p>
    <w:bookmarkEnd w:id="38"/>
    <w:bookmarkStart w:id="40" w:name="ref-duncan_estimating_2023"/>
    <w:p>
      <w:pPr>
        <w:pStyle w:val="Bibliography"/>
      </w:pPr>
      <w:r>
        <w:t xml:space="preserve">Duncan, Karen A., Kristyn Frank, and Anne Guèvremont. 2023.</w:t>
      </w:r>
      <w:r>
        <w:t xml:space="preserve"> </w:t>
      </w:r>
      <w:r>
        <w:t xml:space="preserve">“Estimating</w:t>
      </w:r>
      <w:r>
        <w:t xml:space="preserve"> </w:t>
      </w:r>
      <w:r>
        <w:t xml:space="preserve">Expenditures</w:t>
      </w:r>
      <w:r>
        <w:t xml:space="preserve"> </w:t>
      </w:r>
      <w:r>
        <w:t xml:space="preserve">on</w:t>
      </w:r>
      <w:r>
        <w:t xml:space="preserve"> </w:t>
      </w:r>
      <w:r>
        <w:t xml:space="preserve">Children</w:t>
      </w:r>
      <w:r>
        <w:t xml:space="preserve"> </w:t>
      </w:r>
      <w:r>
        <w:t xml:space="preserve">by</w:t>
      </w:r>
      <w:r>
        <w:t xml:space="preserve"> </w:t>
      </w:r>
      <w:r>
        <w:t xml:space="preserve">Families</w:t>
      </w:r>
      <w:r>
        <w:t xml:space="preserve"> </w:t>
      </w:r>
      <w:r>
        <w:t xml:space="preserve">in</w:t>
      </w:r>
      <w:r>
        <w:t xml:space="preserve"> </w:t>
      </w:r>
      <w:r>
        <w:t xml:space="preserve">Canada</w:t>
      </w:r>
      <w:r>
        <w:t xml:space="preserve">, 2014 to 2017,”</w:t>
      </w:r>
      <w:r>
        <w:t xml:space="preserve"> </w:t>
      </w:r>
      <w:r>
        <w:t xml:space="preserve">September.</w:t>
      </w:r>
      <w:r>
        <w:t xml:space="preserve"> </w:t>
      </w:r>
      <w:hyperlink r:id="rId39">
        <w:r>
          <w:rPr>
            <w:rStyle w:val="Hyperlink"/>
          </w:rPr>
          <w:t xml:space="preserve">https://doi.org/10.25318/11F0019M2023007-ENG</w:t>
        </w:r>
      </w:hyperlink>
      <w:r>
        <w:t xml:space="preserve">.</w:t>
      </w:r>
    </w:p>
    <w:bookmarkEnd w:id="40"/>
    <w:bookmarkStart w:id="42" w:name="ref-ferdous_comprehensive_2010"/>
    <w:p>
      <w:pPr>
        <w:pStyle w:val="Bibliography"/>
      </w:pPr>
      <w:r>
        <w:t xml:space="preserve">Ferdous, Nazneen, Abdul Rawoof Pinjari, Chandra R. Bhat, and Ram M. Pendyala. 2010.</w:t>
      </w:r>
      <w:r>
        <w:t xml:space="preserve"> </w:t>
      </w:r>
      <w:r>
        <w:t xml:space="preserve">“A Comprehensive Analysis of Household Transportation Expenditures Relative to Other Goods and Services: An Application to</w:t>
      </w:r>
      <w:r>
        <w:t xml:space="preserve"> </w:t>
      </w:r>
      <w:r>
        <w:t xml:space="preserve">United</w:t>
      </w:r>
      <w:r>
        <w:t xml:space="preserve"> </w:t>
      </w:r>
      <w:r>
        <w:t xml:space="preserve">States</w:t>
      </w:r>
      <w:r>
        <w:t xml:space="preserve"> </w:t>
      </w:r>
      <w:r>
        <w:t xml:space="preserve">Consumer Expenditure Data.”</w:t>
      </w:r>
      <w:r>
        <w:t xml:space="preserve"> </w:t>
      </w:r>
      <w:r>
        <w:rPr>
          <w:i/>
          <w:iCs/>
        </w:rPr>
        <w:t xml:space="preserve">Transportation</w:t>
      </w:r>
      <w:r>
        <w:t xml:space="preserve"> </w:t>
      </w:r>
      <w:r>
        <w:t xml:space="preserve">37 (3): 363–90.</w:t>
      </w:r>
      <w:r>
        <w:t xml:space="preserve"> </w:t>
      </w:r>
      <w:hyperlink r:id="rId41">
        <w:r>
          <w:rPr>
            <w:rStyle w:val="Hyperlink"/>
          </w:rPr>
          <w:t xml:space="preserve">https://doi.org/10.1007/s11116-010-9264-2</w:t>
        </w:r>
      </w:hyperlink>
      <w:r>
        <w:t xml:space="preserve">.</w:t>
      </w:r>
    </w:p>
    <w:bookmarkEnd w:id="42"/>
    <w:bookmarkStart w:id="44" w:name="ref-fontes_effects_2006"/>
    <w:p>
      <w:pPr>
        <w:pStyle w:val="Bibliography"/>
      </w:pPr>
      <w:r>
        <w:t xml:space="preserve">Fontes, Angela, and Jessie Fan. 2006.</w:t>
      </w:r>
      <w:r>
        <w:t xml:space="preserve"> </w:t>
      </w:r>
      <w:r>
        <w:t xml:space="preserve">“The</w:t>
      </w:r>
      <w:r>
        <w:t xml:space="preserve"> </w:t>
      </w:r>
      <w:r>
        <w:t xml:space="preserve">Effects</w:t>
      </w:r>
      <w:r>
        <w:t xml:space="preserve"> </w:t>
      </w:r>
      <w:r>
        <w:t xml:space="preserve">of</w:t>
      </w:r>
      <w:r>
        <w:t xml:space="preserve"> </w:t>
      </w:r>
      <w:r>
        <w:t xml:space="preserve">Ethnic</w:t>
      </w:r>
      <w:r>
        <w:t xml:space="preserve"> </w:t>
      </w:r>
      <w:r>
        <w:t xml:space="preserve">Identity</w:t>
      </w:r>
      <w:r>
        <w:t xml:space="preserve"> </w:t>
      </w:r>
      <w:r>
        <w:t xml:space="preserve">on</w:t>
      </w:r>
      <w:r>
        <w:t xml:space="preserve"> </w:t>
      </w:r>
      <w:r>
        <w:t xml:space="preserve">Household</w:t>
      </w:r>
      <w:r>
        <w:t xml:space="preserve"> </w:t>
      </w:r>
      <w:r>
        <w:t xml:space="preserve">Budget</w:t>
      </w:r>
      <w:r>
        <w:t xml:space="preserve"> </w:t>
      </w:r>
      <w:r>
        <w:t xml:space="preserve">Allocation</w:t>
      </w:r>
      <w:r>
        <w:t xml:space="preserve"> </w:t>
      </w:r>
      <w:r>
        <w:t xml:space="preserve">to</w:t>
      </w:r>
      <w:r>
        <w:t xml:space="preserve"> </w:t>
      </w:r>
      <w:r>
        <w:t xml:space="preserve">Status</w:t>
      </w:r>
      <w:r>
        <w:t xml:space="preserve"> </w:t>
      </w:r>
      <w:r>
        <w:t xml:space="preserve">Conveying</w:t>
      </w:r>
      <w:r>
        <w:t xml:space="preserve"> </w:t>
      </w:r>
      <w:r>
        <w:t xml:space="preserve">Goods</w:t>
      </w:r>
      <w:r>
        <w:t xml:space="preserve">.”</w:t>
      </w:r>
      <w:r>
        <w:t xml:space="preserve"> </w:t>
      </w:r>
      <w:r>
        <w:rPr>
          <w:i/>
          <w:iCs/>
        </w:rPr>
        <w:t xml:space="preserve">Journal of Family and Economic Issues</w:t>
      </w:r>
      <w:r>
        <w:t xml:space="preserve"> </w:t>
      </w:r>
      <w:r>
        <w:t xml:space="preserve">27 (February): 643–63.</w:t>
      </w:r>
      <w:r>
        <w:t xml:space="preserve"> </w:t>
      </w:r>
      <w:hyperlink r:id="rId43">
        <w:r>
          <w:rPr>
            <w:rStyle w:val="Hyperlink"/>
          </w:rPr>
          <w:t xml:space="preserve">https://doi.org/10.1007/s10834-006-9031-x</w:t>
        </w:r>
      </w:hyperlink>
      <w:r>
        <w:t xml:space="preserve">.</w:t>
      </w:r>
    </w:p>
    <w:bookmarkEnd w:id="44"/>
    <w:bookmarkStart w:id="46" w:name="ref-haas_estimating_2008"/>
    <w:p>
      <w:pPr>
        <w:pStyle w:val="Bibliography"/>
      </w:pPr>
      <w:r>
        <w:t xml:space="preserve">Haas, Peter M., Carrie Makarewicz, Albert Benedict, and Scott Bernstein. 2008.</w:t>
      </w:r>
      <w:r>
        <w:t xml:space="preserve"> </w:t>
      </w:r>
      <w:r>
        <w:t xml:space="preserve">“Estimating</w:t>
      </w:r>
      <w:r>
        <w:t xml:space="preserve"> </w:t>
      </w:r>
      <w:r>
        <w:t xml:space="preserve">Transportation</w:t>
      </w:r>
      <w:r>
        <w:t xml:space="preserve"> </w:t>
      </w:r>
      <w:r>
        <w:t xml:space="preserve">Costs</w:t>
      </w:r>
      <w:r>
        <w:t xml:space="preserve"> </w:t>
      </w:r>
      <w:r>
        <w:t xml:space="preserve">by</w:t>
      </w:r>
      <w:r>
        <w:t xml:space="preserve"> </w:t>
      </w:r>
      <w:r>
        <w:t xml:space="preserve">Characteristics</w:t>
      </w:r>
      <w:r>
        <w:t xml:space="preserve"> </w:t>
      </w:r>
      <w:r>
        <w:t xml:space="preserve">of</w:t>
      </w:r>
      <w:r>
        <w:t xml:space="preserve"> </w:t>
      </w:r>
      <w:r>
        <w:t xml:space="preserve">Neighborhood</w:t>
      </w:r>
      <w:r>
        <w:t xml:space="preserve"> </w:t>
      </w:r>
      <w:r>
        <w:t xml:space="preserve">and</w:t>
      </w:r>
      <w:r>
        <w:t xml:space="preserve"> </w:t>
      </w:r>
      <w:r>
        <w:t xml:space="preserve">Household</w:t>
      </w:r>
      <w:r>
        <w:t xml:space="preserve">.”</w:t>
      </w:r>
      <w:r>
        <w:t xml:space="preserve"> </w:t>
      </w:r>
      <w:r>
        <w:rPr>
          <w:i/>
          <w:iCs/>
        </w:rPr>
        <w:t xml:space="preserve">Transportation Research Record</w:t>
      </w:r>
      <w:r>
        <w:t xml:space="preserve"> </w:t>
      </w:r>
      <w:r>
        <w:t xml:space="preserve">2077 (1): 62–70.</w:t>
      </w:r>
      <w:r>
        <w:t xml:space="preserve"> </w:t>
      </w:r>
      <w:hyperlink r:id="rId45">
        <w:r>
          <w:rPr>
            <w:rStyle w:val="Hyperlink"/>
          </w:rPr>
          <w:t xml:space="preserve">https://doi.org/10.3141/2077-09</w:t>
        </w:r>
      </w:hyperlink>
      <w:r>
        <w:t xml:space="preserve">.</w:t>
      </w:r>
    </w:p>
    <w:bookmarkEnd w:id="46"/>
    <w:bookmarkStart w:id="47" w:name="ref-hargunani_study_2024"/>
    <w:p>
      <w:pPr>
        <w:pStyle w:val="Bibliography"/>
      </w:pPr>
      <w:r>
        <w:t xml:space="preserve">Hargunani, Chahat, Sachin Vernekar, and Shradha Vernekar. 2024.</w:t>
      </w:r>
      <w:r>
        <w:t xml:space="preserve"> </w:t>
      </w:r>
      <w:r>
        <w:t xml:space="preserve">“A</w:t>
      </w:r>
      <w:r>
        <w:t xml:space="preserve"> </w:t>
      </w:r>
      <w:r>
        <w:t xml:space="preserve">STUDY</w:t>
      </w:r>
      <w:r>
        <w:t xml:space="preserve"> </w:t>
      </w:r>
      <w:r>
        <w:t xml:space="preserve">OF</w:t>
      </w:r>
      <w:r>
        <w:t xml:space="preserve"> </w:t>
      </w:r>
      <w:r>
        <w:t xml:space="preserve">SPENDING</w:t>
      </w:r>
      <w:r>
        <w:t xml:space="preserve">,</w:t>
      </w:r>
      <w:r>
        <w:t xml:space="preserve"> </w:t>
      </w:r>
      <w:r>
        <w:t xml:space="preserve">SAVING</w:t>
      </w:r>
      <w:r>
        <w:t xml:space="preserve"> </w:t>
      </w:r>
      <w:r>
        <w:t xml:space="preserve">AND</w:t>
      </w:r>
      <w:r>
        <w:t xml:space="preserve"> </w:t>
      </w:r>
      <w:r>
        <w:t xml:space="preserve">INVESTMENT</w:t>
      </w:r>
      <w:r>
        <w:t xml:space="preserve"> </w:t>
      </w:r>
      <w:r>
        <w:t xml:space="preserve">PATTERNS</w:t>
      </w:r>
      <w:r>
        <w:t xml:space="preserve"> </w:t>
      </w:r>
      <w:r>
        <w:t xml:space="preserve">OF</w:t>
      </w:r>
      <w:r>
        <w:t xml:space="preserve"> </w:t>
      </w:r>
      <w:r>
        <w:t xml:space="preserve">MARRIED</w:t>
      </w:r>
      <w:r>
        <w:t xml:space="preserve"> </w:t>
      </w:r>
      <w:r>
        <w:t xml:space="preserve">COUPLES</w:t>
      </w:r>
      <w:r>
        <w:t xml:space="preserve"> </w:t>
      </w:r>
      <w:r>
        <w:t xml:space="preserve">WITH</w:t>
      </w:r>
      <w:r>
        <w:t xml:space="preserve"> </w:t>
      </w:r>
      <w:r>
        <w:t xml:space="preserve">CHILDREN</w:t>
      </w:r>
      <w:r>
        <w:t xml:space="preserve">(</w:t>
      </w:r>
      <w:r>
        <w:t xml:space="preserve">NON</w:t>
      </w:r>
      <w:r>
        <w:t xml:space="preserve">-</w:t>
      </w:r>
      <w:r>
        <w:t xml:space="preserve">DINK</w:t>
      </w:r>
      <w:r>
        <w:t xml:space="preserve">)</w:t>
      </w:r>
      <w:r>
        <w:t xml:space="preserve"> </w:t>
      </w:r>
      <w:r>
        <w:t xml:space="preserve">IN</w:t>
      </w:r>
      <w:r>
        <w:t xml:space="preserve"> </w:t>
      </w:r>
      <w:r>
        <w:t xml:space="preserve">MUMBAI</w:t>
      </w:r>
      <w:r>
        <w:t xml:space="preserve">”</w:t>
      </w:r>
      <w:r>
        <w:t xml:space="preserve"> </w:t>
      </w:r>
      <w:r>
        <w:t xml:space="preserve">20 (1).</w:t>
      </w:r>
    </w:p>
    <w:bookmarkEnd w:id="47"/>
    <w:bookmarkStart w:id="49" w:name="ref-hastings_parental_2022"/>
    <w:p>
      <w:pPr>
        <w:pStyle w:val="Bibliography"/>
      </w:pPr>
      <w:r>
        <w:t xml:space="preserve">Hastings, Orestes P. 2022.</w:t>
      </w:r>
      <w:r>
        <w:t xml:space="preserve"> </w:t>
      </w:r>
      <w:r>
        <w:t xml:space="preserve">“Parental</w:t>
      </w:r>
      <w:r>
        <w:t xml:space="preserve"> </w:t>
      </w:r>
      <w:r>
        <w:t xml:space="preserve">Investments</w:t>
      </w:r>
      <w:r>
        <w:t xml:space="preserve"> </w:t>
      </w:r>
      <w:r>
        <w:t xml:space="preserve">of</w:t>
      </w:r>
      <w:r>
        <w:t xml:space="preserve"> </w:t>
      </w:r>
      <w:r>
        <w:t xml:space="preserve">Money</w:t>
      </w:r>
      <w:r>
        <w:t xml:space="preserve"> </w:t>
      </w:r>
      <w:r>
        <w:t xml:space="preserve">for</w:t>
      </w:r>
      <w:r>
        <w:t xml:space="preserve"> </w:t>
      </w:r>
      <w:r>
        <w:t xml:space="preserve">White</w:t>
      </w:r>
      <w:r>
        <w:t xml:space="preserve">,</w:t>
      </w:r>
      <w:r>
        <w:t xml:space="preserve"> </w:t>
      </w:r>
      <w:r>
        <w:t xml:space="preserve">Black</w:t>
      </w:r>
      <w:r>
        <w:t xml:space="preserve">, and</w:t>
      </w:r>
      <w:r>
        <w:t xml:space="preserve"> </w:t>
      </w:r>
      <w:r>
        <w:t xml:space="preserve">Hispanic</w:t>
      </w:r>
      <w:r>
        <w:t xml:space="preserve"> </w:t>
      </w:r>
      <w:r>
        <w:t xml:space="preserve">Children</w:t>
      </w:r>
      <w:r>
        <w:t xml:space="preserve"> </w:t>
      </w:r>
      <w:r>
        <w:t xml:space="preserve">in the</w:t>
      </w:r>
      <w:r>
        <w:t xml:space="preserve"> </w:t>
      </w:r>
      <w:r>
        <w:t xml:space="preserve">United</w:t>
      </w:r>
      <w:r>
        <w:t xml:space="preserve"> </w:t>
      </w:r>
      <w:r>
        <w:t xml:space="preserve">States</w:t>
      </w:r>
      <w:r>
        <w:t xml:space="preserve">.”</w:t>
      </w:r>
      <w:r>
        <w:t xml:space="preserve"> </w:t>
      </w:r>
      <w:r>
        <w:rPr>
          <w:i/>
          <w:iCs/>
        </w:rPr>
        <w:t xml:space="preserve">Socius: Sociological Research for a Dynamic World</w:t>
      </w:r>
      <w:r>
        <w:t xml:space="preserve"> </w:t>
      </w:r>
      <w:r>
        <w:t xml:space="preserve">8 (January): 23780231221103054.</w:t>
      </w:r>
      <w:r>
        <w:t xml:space="preserve"> </w:t>
      </w:r>
      <w:hyperlink r:id="rId48">
        <w:r>
          <w:rPr>
            <w:rStyle w:val="Hyperlink"/>
          </w:rPr>
          <w:t xml:space="preserve">https://doi.org/10.1177/23780231221103054</w:t>
        </w:r>
      </w:hyperlink>
      <w:r>
        <w:t xml:space="preserve">.</w:t>
      </w:r>
    </w:p>
    <w:bookmarkEnd w:id="49"/>
    <w:bookmarkStart w:id="51" w:name="ref-hong_leisure_2005"/>
    <w:p>
      <w:pPr>
        <w:pStyle w:val="Bibliography"/>
      </w:pPr>
      <w:r>
        <w:t xml:space="preserve">Hong, Gong-Soog, Jessie X. Fan, Lance Palmer, and Vibha Bhargava. 2005.</w:t>
      </w:r>
      <w:r>
        <w:t xml:space="preserve"> </w:t>
      </w:r>
      <w:r>
        <w:t xml:space="preserve">“Leisure</w:t>
      </w:r>
      <w:r>
        <w:t xml:space="preserve"> </w:t>
      </w:r>
      <w:r>
        <w:t xml:space="preserve">Travel</w:t>
      </w:r>
      <w:r>
        <w:t xml:space="preserve"> </w:t>
      </w:r>
      <w:r>
        <w:t xml:space="preserve">Expenditure</w:t>
      </w:r>
      <w:r>
        <w:t xml:space="preserve"> </w:t>
      </w:r>
      <w:r>
        <w:t xml:space="preserve">Patterns</w:t>
      </w:r>
      <w:r>
        <w:t xml:space="preserve"> </w:t>
      </w:r>
      <w:r>
        <w:t xml:space="preserve">by</w:t>
      </w:r>
      <w:r>
        <w:t xml:space="preserve"> </w:t>
      </w:r>
      <w:r>
        <w:t xml:space="preserve">Family</w:t>
      </w:r>
      <w:r>
        <w:t xml:space="preserve"> </w:t>
      </w:r>
      <w:r>
        <w:t xml:space="preserve">Life</w:t>
      </w:r>
      <w:r>
        <w:t xml:space="preserve"> </w:t>
      </w:r>
      <w:r>
        <w:t xml:space="preserve">Cycle</w:t>
      </w:r>
      <w:r>
        <w:t xml:space="preserve"> </w:t>
      </w:r>
      <w:r>
        <w:t xml:space="preserve">Stages</w:t>
      </w:r>
      <w:r>
        <w:t xml:space="preserve">.”</w:t>
      </w:r>
      <w:r>
        <w:t xml:space="preserve"> </w:t>
      </w:r>
      <w:r>
        <w:rPr>
          <w:i/>
          <w:iCs/>
        </w:rPr>
        <w:t xml:space="preserve">Journal of Travel &amp; Tourism Marketing</w:t>
      </w:r>
      <w:r>
        <w:t xml:space="preserve"> </w:t>
      </w:r>
      <w:r>
        <w:t xml:space="preserve">18 (2): 15–30.</w:t>
      </w:r>
      <w:r>
        <w:t xml:space="preserve"> </w:t>
      </w:r>
      <w:hyperlink r:id="rId50">
        <w:r>
          <w:rPr>
            <w:rStyle w:val="Hyperlink"/>
          </w:rPr>
          <w:t xml:space="preserve">https://doi.org/10.1300/J073v18n02_02</w:t>
        </w:r>
      </w:hyperlink>
      <w:r>
        <w:t xml:space="preserve">.</w:t>
      </w:r>
    </w:p>
    <w:bookmarkEnd w:id="51"/>
    <w:bookmarkStart w:id="53" w:name="ref-klein_subsidizing_2024"/>
    <w:p>
      <w:pPr>
        <w:pStyle w:val="Bibliography"/>
      </w:pPr>
      <w:r>
        <w:t xml:space="preserve">Klein, Nicholas J. 2024.</w:t>
      </w:r>
      <w:r>
        <w:t xml:space="preserve"> </w:t>
      </w:r>
      <w:r>
        <w:t xml:space="preserve">“Subsidizing</w:t>
      </w:r>
      <w:r>
        <w:t xml:space="preserve"> </w:t>
      </w:r>
      <w:r>
        <w:t xml:space="preserve">Car</w:t>
      </w:r>
      <w:r>
        <w:t xml:space="preserve"> </w:t>
      </w:r>
      <w:r>
        <w:t xml:space="preserve">Ownership</w:t>
      </w:r>
      <w:r>
        <w:t xml:space="preserve"> </w:t>
      </w:r>
      <w:r>
        <w:t xml:space="preserve">for</w:t>
      </w:r>
      <w:r>
        <w:t xml:space="preserve"> </w:t>
      </w:r>
      <w:r>
        <w:t xml:space="preserve">Low</w:t>
      </w:r>
      <w:r>
        <w:t xml:space="preserve">-</w:t>
      </w:r>
      <w:r>
        <w:t xml:space="preserve">Income</w:t>
      </w:r>
      <w:r>
        <w:t xml:space="preserve"> </w:t>
      </w:r>
      <w:r>
        <w:t xml:space="preserve">Individuals</w:t>
      </w:r>
      <w:r>
        <w:t xml:space="preserve"> </w:t>
      </w:r>
      <w:r>
        <w:t xml:space="preserve">and</w:t>
      </w:r>
      <w:r>
        <w:t xml:space="preserve"> </w:t>
      </w:r>
      <w:r>
        <w:t xml:space="preserve">Households</w:t>
      </w:r>
      <w:r>
        <w:t xml:space="preserve">.”</w:t>
      </w:r>
      <w:r>
        <w:t xml:space="preserve"> </w:t>
      </w:r>
      <w:r>
        <w:rPr>
          <w:i/>
          <w:iCs/>
        </w:rPr>
        <w:t xml:space="preserve">Journal of Planning Education and Research</w:t>
      </w:r>
      <w:r>
        <w:t xml:space="preserve"> </w:t>
      </w:r>
      <w:r>
        <w:t xml:space="preserve">44 (1): 165–77.</w:t>
      </w:r>
      <w:r>
        <w:t xml:space="preserve"> </w:t>
      </w:r>
      <w:hyperlink r:id="rId52">
        <w:r>
          <w:rPr>
            <w:rStyle w:val="Hyperlink"/>
          </w:rPr>
          <w:t xml:space="preserve">https://doi.org/10.1177/0739456X20950428</w:t>
        </w:r>
      </w:hyperlink>
      <w:r>
        <w:t xml:space="preserve">.</w:t>
      </w:r>
    </w:p>
    <w:bookmarkEnd w:id="53"/>
    <w:bookmarkStart w:id="55" w:name="ref-leung_environment-people_2019"/>
    <w:p>
      <w:pPr>
        <w:pStyle w:val="Bibliography"/>
      </w:pPr>
      <w:r>
        <w:t xml:space="preserve">Leung, Kevin Y. K., Sebastian Astroza, Becky P. Y. Loo, and Chandra R. Bhat. 2019.</w:t>
      </w:r>
      <w:r>
        <w:t xml:space="preserve"> </w:t>
      </w:r>
      <w:r>
        <w:t xml:space="preserve">“An Environment-People Interactions Framework for Analysing Children’s Extra-Curricular Activities and Active Transport.”</w:t>
      </w:r>
      <w:r>
        <w:t xml:space="preserve"> </w:t>
      </w:r>
      <w:r>
        <w:rPr>
          <w:i/>
          <w:iCs/>
        </w:rPr>
        <w:t xml:space="preserve">Journal of Transport Geography</w:t>
      </w:r>
      <w:r>
        <w:t xml:space="preserve"> </w:t>
      </w:r>
      <w:r>
        <w:t xml:space="preserve">74 (January): 341–58.</w:t>
      </w:r>
      <w:r>
        <w:t xml:space="preserve"> </w:t>
      </w:r>
      <w:hyperlink r:id="rId54">
        <w:r>
          <w:rPr>
            <w:rStyle w:val="Hyperlink"/>
          </w:rPr>
          <w:t xml:space="preserve">https://doi.org/10.1016/j.jtrangeo.2018.12.015</w:t>
        </w:r>
      </w:hyperlink>
      <w:r>
        <w:t xml:space="preserve">.</w:t>
      </w:r>
    </w:p>
    <w:bookmarkEnd w:id="55"/>
    <w:bookmarkStart w:id="57" w:name="ref-lino_expenditures_2017"/>
    <w:p>
      <w:pPr>
        <w:pStyle w:val="Bibliography"/>
      </w:pPr>
      <w:r>
        <w:t xml:space="preserve">Lino, Mark, Kevin Kuczynski, Nestor Rodriguez, and TusaRebecca Schap. 2017.</w:t>
      </w:r>
      <w:r>
        <w:t xml:space="preserve"> </w:t>
      </w:r>
      <w:r>
        <w:t xml:space="preserve">“Expenditures on</w:t>
      </w:r>
      <w:r>
        <w:t xml:space="preserve"> </w:t>
      </w:r>
      <w:r>
        <w:t xml:space="preserve">Children</w:t>
      </w:r>
      <w:r>
        <w:t xml:space="preserve"> </w:t>
      </w:r>
      <w:r>
        <w:t xml:space="preserve">by</w:t>
      </w:r>
      <w:r>
        <w:t xml:space="preserve"> </w:t>
      </w:r>
      <w:r>
        <w:t xml:space="preserve">Families</w:t>
      </w:r>
      <w:r>
        <w:t xml:space="preserve">, 2015.”</w:t>
      </w:r>
      <w:r>
        <w:t xml:space="preserve"> </w:t>
      </w:r>
      <w:r>
        <w:t xml:space="preserve">United States Department of Agriculture.</w:t>
      </w:r>
      <w:r>
        <w:t xml:space="preserve"> </w:t>
      </w:r>
      <w:hyperlink r:id="rId56">
        <w:r>
          <w:rPr>
            <w:rStyle w:val="Hyperlink"/>
          </w:rPr>
          <w:t xml:space="preserve">https://doi.org/10.22004/ag.econ.327257</w:t>
        </w:r>
      </w:hyperlink>
      <w:r>
        <w:t xml:space="preserve">.</w:t>
      </w:r>
    </w:p>
    <w:bookmarkEnd w:id="57"/>
    <w:bookmarkStart w:id="59" w:name="ref-lu_role_2022"/>
    <w:p>
      <w:pPr>
        <w:pStyle w:val="Bibliography"/>
      </w:pPr>
      <w:r>
        <w:t xml:space="preserve">Lu, Ying, Carlo G. Prato, Neil Sipe, Anthony Kimpton, and Jonathan Corcoran. 2022.</w:t>
      </w:r>
      <w:r>
        <w:t xml:space="preserve"> </w:t>
      </w:r>
      <w:r>
        <w:t xml:space="preserve">“The Role of Household Modality Style in First and Last Mile Travel Mode Choice.”</w:t>
      </w:r>
      <w:r>
        <w:t xml:space="preserve"> </w:t>
      </w:r>
      <w:r>
        <w:rPr>
          <w:i/>
          <w:iCs/>
        </w:rPr>
        <w:t xml:space="preserve">Transportation Research Part A: Policy and Practice</w:t>
      </w:r>
      <w:r>
        <w:t xml:space="preserve"> </w:t>
      </w:r>
      <w:r>
        <w:t xml:space="preserve">158 (April): 95–109.</w:t>
      </w:r>
      <w:r>
        <w:t xml:space="preserve"> </w:t>
      </w:r>
      <w:hyperlink r:id="rId58">
        <w:r>
          <w:rPr>
            <w:rStyle w:val="Hyperlink"/>
          </w:rPr>
          <w:t xml:space="preserve">https://doi.org/10.1016/j.tra.2022.02.003</w:t>
        </w:r>
      </w:hyperlink>
      <w:r>
        <w:t xml:space="preserve">.</w:t>
      </w:r>
    </w:p>
    <w:bookmarkEnd w:id="59"/>
    <w:bookmarkStart w:id="61" w:name="ref-mattson_relationships_2020"/>
    <w:p>
      <w:pPr>
        <w:pStyle w:val="Bibliography"/>
      </w:pPr>
      <w:r>
        <w:t xml:space="preserve">Mattson, Jeremy. 2020.</w:t>
      </w:r>
      <w:r>
        <w:t xml:space="preserve"> </w:t>
      </w:r>
      <w:r>
        <w:t xml:space="preserve">“Relationships Between Density, Transit, and Household Expenditures in Small Urban Areas.”</w:t>
      </w:r>
      <w:r>
        <w:t xml:space="preserve"> </w:t>
      </w:r>
      <w:r>
        <w:rPr>
          <w:i/>
          <w:iCs/>
        </w:rPr>
        <w:t xml:space="preserve">Transportation Research Interdisciplinary Perspectives</w:t>
      </w:r>
      <w:r>
        <w:t xml:space="preserve"> </w:t>
      </w:r>
      <w:r>
        <w:t xml:space="preserve">8 (November): 100260.</w:t>
      </w:r>
      <w:r>
        <w:t xml:space="preserve"> </w:t>
      </w:r>
      <w:hyperlink r:id="rId60">
        <w:r>
          <w:rPr>
            <w:rStyle w:val="Hyperlink"/>
          </w:rPr>
          <w:t xml:space="preserve">https://doi.org/10.1016/j.trip.2020.100260</w:t>
        </w:r>
      </w:hyperlink>
      <w:r>
        <w:t xml:space="preserve">.</w:t>
      </w:r>
    </w:p>
    <w:bookmarkEnd w:id="61"/>
    <w:bookmarkStart w:id="62" w:name="ref-mattson_relationships_2019"/>
    <w:p>
      <w:pPr>
        <w:pStyle w:val="Bibliography"/>
      </w:pPr>
      <w:r>
        <w:t xml:space="preserve">Mattson, Jeremy, and Del Peterson. 2019.</w:t>
      </w:r>
      <w:r>
        <w:t xml:space="preserve"> </w:t>
      </w:r>
      <w:r>
        <w:t xml:space="preserve">“Relationships Between</w:t>
      </w:r>
      <w:r>
        <w:t xml:space="preserve"> </w:t>
      </w:r>
      <w:r>
        <w:t xml:space="preserve">Land</w:t>
      </w:r>
      <w:r>
        <w:t xml:space="preserve"> </w:t>
      </w:r>
      <w:r>
        <w:t xml:space="preserve">Use</w:t>
      </w:r>
      <w:r>
        <w:t xml:space="preserve">,</w:t>
      </w:r>
      <w:r>
        <w:t xml:space="preserve"> </w:t>
      </w:r>
      <w:r>
        <w:t xml:space="preserve">Transportation</w:t>
      </w:r>
      <w:r>
        <w:t xml:space="preserve">,</w:t>
      </w:r>
      <w:r>
        <w:t xml:space="preserve"> </w:t>
      </w:r>
      <w:r>
        <w:t xml:space="preserve">Household</w:t>
      </w:r>
      <w:r>
        <w:t xml:space="preserve"> </w:t>
      </w:r>
      <w:r>
        <w:t xml:space="preserve">Expenditures</w:t>
      </w:r>
      <w:r>
        <w:t xml:space="preserve">, and</w:t>
      </w:r>
      <w:r>
        <w:t xml:space="preserve"> </w:t>
      </w:r>
      <w:r>
        <w:t xml:space="preserve">Municipal</w:t>
      </w:r>
      <w:r>
        <w:t xml:space="preserve"> </w:t>
      </w:r>
      <w:r>
        <w:t xml:space="preserve">Spending</w:t>
      </w:r>
      <w:r>
        <w:t xml:space="preserve"> </w:t>
      </w:r>
      <w:r>
        <w:t xml:space="preserve">in</w:t>
      </w:r>
      <w:r>
        <w:t xml:space="preserve"> </w:t>
      </w:r>
      <w:r>
        <w:t xml:space="preserve">Small</w:t>
      </w:r>
      <w:r>
        <w:t xml:space="preserve"> </w:t>
      </w:r>
      <w:r>
        <w:t xml:space="preserve">Urban</w:t>
      </w:r>
      <w:r>
        <w:t xml:space="preserve"> </w:t>
      </w:r>
      <w:r>
        <w:t xml:space="preserve">Areas</w:t>
      </w:r>
      <w:r>
        <w:t xml:space="preserve">,”</w:t>
      </w:r>
      <w:r>
        <w:t xml:space="preserve"> </w:t>
      </w:r>
      <w:r>
        <w:t xml:space="preserve">December.</w:t>
      </w:r>
    </w:p>
    <w:bookmarkEnd w:id="62"/>
    <w:bookmarkStart w:id="64" w:name="ref-mccarthy_factors_2017"/>
    <w:p>
      <w:pPr>
        <w:pStyle w:val="Bibliography"/>
      </w:pPr>
      <w:r>
        <w:t xml:space="preserve">McCarthy, Laura, Alexa Delbosc, Graham Currie, and Andrew Molloy. 2017.</w:t>
      </w:r>
      <w:r>
        <w:t xml:space="preserve"> </w:t>
      </w:r>
      <w:r>
        <w:t xml:space="preserve">“Factors Influencing Travel Mode Choice Among Families with Young Children (Aged 0–4): A Review of the Literature.”</w:t>
      </w:r>
      <w:r>
        <w:t xml:space="preserve"> </w:t>
      </w:r>
      <w:r>
        <w:rPr>
          <w:i/>
          <w:iCs/>
        </w:rPr>
        <w:t xml:space="preserve">Transport Reviews</w:t>
      </w:r>
      <w:r>
        <w:t xml:space="preserve"> </w:t>
      </w:r>
      <w:r>
        <w:t xml:space="preserve">37 (6): 767–81.</w:t>
      </w:r>
      <w:r>
        <w:t xml:space="preserve"> </w:t>
      </w:r>
      <w:hyperlink r:id="rId63">
        <w:r>
          <w:rPr>
            <w:rStyle w:val="Hyperlink"/>
          </w:rPr>
          <w:t xml:space="preserve">https://doi.org/10.1080/01441647.2017.1354942</w:t>
        </w:r>
      </w:hyperlink>
      <w:r>
        <w:t xml:space="preserve">.</w:t>
      </w:r>
    </w:p>
    <w:bookmarkEnd w:id="64"/>
    <w:bookmarkStart w:id="66" w:name="ref-molloy_new_2024"/>
    <w:p>
      <w:pPr>
        <w:pStyle w:val="Bibliography"/>
      </w:pPr>
      <w:r>
        <w:t xml:space="preserve">Molloy, Quinn, Norman Garrick, and Carol Atkinson-Palombo. 2024.</w:t>
      </w:r>
      <w:r>
        <w:t xml:space="preserve"> </w:t>
      </w:r>
      <w:r>
        <w:t xml:space="preserve">“A</w:t>
      </w:r>
      <w:r>
        <w:t xml:space="preserve"> </w:t>
      </w:r>
      <w:r>
        <w:t xml:space="preserve">New</w:t>
      </w:r>
      <w:r>
        <w:t xml:space="preserve"> </w:t>
      </w:r>
      <w:r>
        <w:t xml:space="preserve">Approach</w:t>
      </w:r>
      <w:r>
        <w:t xml:space="preserve"> </w:t>
      </w:r>
      <w:r>
        <w:t xml:space="preserve">to</w:t>
      </w:r>
      <w:r>
        <w:t xml:space="preserve"> </w:t>
      </w:r>
      <w:r>
        <w:t xml:space="preserve">Understanding</w:t>
      </w:r>
      <w:r>
        <w:t xml:space="preserve"> </w:t>
      </w:r>
      <w:r>
        <w:t xml:space="preserve">the</w:t>
      </w:r>
      <w:r>
        <w:t xml:space="preserve"> </w:t>
      </w:r>
      <w:r>
        <w:t xml:space="preserve">Impact</w:t>
      </w:r>
      <w:r>
        <w:t xml:space="preserve"> </w:t>
      </w:r>
      <w:r>
        <w:t xml:space="preserve">of</w:t>
      </w:r>
      <w:r>
        <w:t xml:space="preserve"> </w:t>
      </w:r>
      <w:r>
        <w:t xml:space="preserve">Automobile</w:t>
      </w:r>
      <w:r>
        <w:t xml:space="preserve"> </w:t>
      </w:r>
      <w:r>
        <w:t xml:space="preserve">Ownership</w:t>
      </w:r>
      <w:r>
        <w:t xml:space="preserve"> </w:t>
      </w:r>
      <w:r>
        <w:t xml:space="preserve">on</w:t>
      </w:r>
      <w:r>
        <w:t xml:space="preserve"> </w:t>
      </w:r>
      <w:r>
        <w:t xml:space="preserve">Transportation</w:t>
      </w:r>
      <w:r>
        <w:t xml:space="preserve"> </w:t>
      </w:r>
      <w:r>
        <w:t xml:space="preserve">Equity</w:t>
      </w:r>
      <w:r>
        <w:t xml:space="preserve">.”</w:t>
      </w:r>
      <w:r>
        <w:t xml:space="preserve"> </w:t>
      </w:r>
      <w:r>
        <w:rPr>
          <w:i/>
          <w:iCs/>
        </w:rPr>
        <w:t xml:space="preserve">Transportation Research Record</w:t>
      </w:r>
      <w:r>
        <w:t xml:space="preserve"> </w:t>
      </w:r>
      <w:r>
        <w:t xml:space="preserve">2678 (2): 366–76.</w:t>
      </w:r>
      <w:r>
        <w:t xml:space="preserve"> </w:t>
      </w:r>
      <w:hyperlink r:id="rId65">
        <w:r>
          <w:rPr>
            <w:rStyle w:val="Hyperlink"/>
          </w:rPr>
          <w:t xml:space="preserve">https://doi.org/10.1177/03611981231174444</w:t>
        </w:r>
      </w:hyperlink>
      <w:r>
        <w:t xml:space="preserve">.</w:t>
      </w:r>
    </w:p>
    <w:bookmarkEnd w:id="66"/>
    <w:bookmarkStart w:id="68" w:name="ref-morris_family_1979"/>
    <w:p>
      <w:pPr>
        <w:pStyle w:val="Bibliography"/>
      </w:pPr>
      <w:r>
        <w:t xml:space="preserve">Morris, J. M., and M. R. Wigan. 1979.</w:t>
      </w:r>
      <w:r>
        <w:t xml:space="preserve"> </w:t>
      </w:r>
      <w:r>
        <w:t xml:space="preserve">“A Family Expenditure Perspective on Transport Planning:</w:t>
      </w:r>
      <w:r>
        <w:t xml:space="preserve"> </w:t>
      </w:r>
      <w:r>
        <w:t xml:space="preserve">Australian</w:t>
      </w:r>
      <w:r>
        <w:t xml:space="preserve"> </w:t>
      </w:r>
      <w:r>
        <w:t xml:space="preserve">Evidence in Context.”</w:t>
      </w:r>
      <w:r>
        <w:t xml:space="preserve"> </w:t>
      </w:r>
      <w:r>
        <w:rPr>
          <w:i/>
          <w:iCs/>
        </w:rPr>
        <w:t xml:space="preserve">Transportation Research Part A: General</w:t>
      </w:r>
      <w:r>
        <w:t xml:space="preserve"> </w:t>
      </w:r>
      <w:r>
        <w:t xml:space="preserve">13 (4): 249–85.</w:t>
      </w:r>
      <w:r>
        <w:t xml:space="preserve"> </w:t>
      </w:r>
      <w:hyperlink r:id="rId67">
        <w:r>
          <w:rPr>
            <w:rStyle w:val="Hyperlink"/>
          </w:rPr>
          <w:t xml:space="preserve">https://doi.org/10.1016/0191-2607(79)90051-7</w:t>
        </w:r>
      </w:hyperlink>
      <w:r>
        <w:t xml:space="preserve">.</w:t>
      </w:r>
    </w:p>
    <w:bookmarkEnd w:id="68"/>
    <w:bookmarkStart w:id="70" w:name="ref-nayga_sample_1998"/>
    <w:p>
      <w:pPr>
        <w:pStyle w:val="Bibliography"/>
      </w:pPr>
      <w:r>
        <w:t xml:space="preserve">Nayga, Rodolfo M. 1998.</w:t>
      </w:r>
      <w:r>
        <w:t xml:space="preserve"> </w:t>
      </w:r>
      <w:r>
        <w:t xml:space="preserve">“A Sample Selection Model for Prepared Food Expenditures.”</w:t>
      </w:r>
      <w:r>
        <w:t xml:space="preserve"> </w:t>
      </w:r>
      <w:r>
        <w:rPr>
          <w:i/>
          <w:iCs/>
        </w:rPr>
        <w:t xml:space="preserve">Applied Economics</w:t>
      </w:r>
      <w:r>
        <w:t xml:space="preserve"> </w:t>
      </w:r>
      <w:r>
        <w:t xml:space="preserve">30 (3): 345–52.</w:t>
      </w:r>
      <w:r>
        <w:t xml:space="preserve"> </w:t>
      </w:r>
      <w:hyperlink r:id="rId69">
        <w:r>
          <w:rPr>
            <w:rStyle w:val="Hyperlink"/>
          </w:rPr>
          <w:t xml:space="preserve">https://doi.org/10.1080/000368498325868</w:t>
        </w:r>
      </w:hyperlink>
      <w:r>
        <w:t xml:space="preserve">.</w:t>
      </w:r>
    </w:p>
    <w:bookmarkEnd w:id="70"/>
    <w:bookmarkStart w:id="71" w:name="ref-osborne_updated_2021"/>
    <w:p>
      <w:pPr>
        <w:pStyle w:val="Bibliography"/>
      </w:pPr>
      <w:r>
        <w:t xml:space="preserve">Osborne, Cynthia, Erin Wu, and Kaeley Benson. 2021.</w:t>
      </w:r>
      <w:r>
        <w:t xml:space="preserve"> </w:t>
      </w:r>
      <w:r>
        <w:t xml:space="preserve">“An</w:t>
      </w:r>
      <w:r>
        <w:t xml:space="preserve"> </w:t>
      </w:r>
      <w:r>
        <w:t xml:space="preserve">Updated</w:t>
      </w:r>
      <w:r>
        <w:t xml:space="preserve"> </w:t>
      </w:r>
      <w:r>
        <w:t xml:space="preserve">Estimation</w:t>
      </w:r>
      <w:r>
        <w:t xml:space="preserve"> </w:t>
      </w:r>
      <w:r>
        <w:t xml:space="preserve">Model</w:t>
      </w:r>
      <w:r>
        <w:t xml:space="preserve"> </w:t>
      </w:r>
      <w:r>
        <w:t xml:space="preserve">of the</w:t>
      </w:r>
      <w:r>
        <w:t xml:space="preserve"> </w:t>
      </w:r>
      <w:r>
        <w:t xml:space="preserve">Cost</w:t>
      </w:r>
      <w:r>
        <w:t xml:space="preserve"> </w:t>
      </w:r>
      <w:r>
        <w:t xml:space="preserve">of</w:t>
      </w:r>
      <w:r>
        <w:t xml:space="preserve"> </w:t>
      </w:r>
      <w:r>
        <w:t xml:space="preserve">Raising</w:t>
      </w:r>
      <w:r>
        <w:t xml:space="preserve"> </w:t>
      </w:r>
      <w:r>
        <w:t xml:space="preserve">Children</w:t>
      </w:r>
      <w:r>
        <w:t xml:space="preserve"> </w:t>
      </w:r>
      <w:r>
        <w:t xml:space="preserve">in</w:t>
      </w:r>
      <w:r>
        <w:t xml:space="preserve"> </w:t>
      </w:r>
      <w:r>
        <w:t xml:space="preserve">Texas</w:t>
      </w:r>
      <w:r>
        <w:t xml:space="preserve">.”</w:t>
      </w:r>
    </w:p>
    <w:bookmarkEnd w:id="71"/>
    <w:bookmarkStart w:id="73" w:name="ref-paleti_empirical_2011"/>
    <w:p>
      <w:pPr>
        <w:pStyle w:val="Bibliography"/>
      </w:pPr>
      <w:r>
        <w:t xml:space="preserve">Paleti, Rajesh, Rachel B. Copperman, and Chandra R. Bhat. 2011.</w:t>
      </w:r>
      <w:r>
        <w:t xml:space="preserve"> </w:t>
      </w:r>
      <w:r>
        <w:t xml:space="preserve">“An Empirical Analysis of Children’s After School Out-of-Home Activity-Location Engagement Patterns and Time Allocation.”</w:t>
      </w:r>
      <w:r>
        <w:t xml:space="preserve"> </w:t>
      </w:r>
      <w:r>
        <w:rPr>
          <w:i/>
          <w:iCs/>
        </w:rPr>
        <w:t xml:space="preserve">Transportation</w:t>
      </w:r>
      <w:r>
        <w:t xml:space="preserve"> </w:t>
      </w:r>
      <w:r>
        <w:t xml:space="preserve">38 (2): 273–303.</w:t>
      </w:r>
      <w:r>
        <w:t xml:space="preserve"> </w:t>
      </w:r>
      <w:hyperlink r:id="rId72">
        <w:r>
          <w:rPr>
            <w:rStyle w:val="Hyperlink"/>
          </w:rPr>
          <w:t xml:space="preserve">https://doi.org/10.1007/s11116-010-9300-2</w:t>
        </w:r>
      </w:hyperlink>
      <w:r>
        <w:t xml:space="preserve">.</w:t>
      </w:r>
    </w:p>
    <w:bookmarkEnd w:id="73"/>
    <w:bookmarkStart w:id="75" w:name="ref-sabelhaus_is_2013"/>
    <w:p>
      <w:pPr>
        <w:pStyle w:val="Bibliography"/>
      </w:pPr>
      <w:r>
        <w:t xml:space="preserve">Sabelhaus, John, David Johnson, Stephen Ash, David Swanson, Thesia Garner, John Greenlees, and Steve Henderson. 2013.</w:t>
      </w:r>
      <w:r>
        <w:t xml:space="preserve"> </w:t>
      </w:r>
      <w:r>
        <w:t xml:space="preserve">“Is the</w:t>
      </w:r>
      <w:r>
        <w:t xml:space="preserve"> </w:t>
      </w:r>
      <w:r>
        <w:t xml:space="preserve">Consumer</w:t>
      </w:r>
      <w:r>
        <w:t xml:space="preserve"> </w:t>
      </w:r>
      <w:r>
        <w:t xml:space="preserve">Expenditure</w:t>
      </w:r>
      <w:r>
        <w:t xml:space="preserve"> </w:t>
      </w:r>
      <w:r>
        <w:t xml:space="preserve">Survey</w:t>
      </w:r>
      <w:r>
        <w:t xml:space="preserve"> </w:t>
      </w:r>
      <w:r>
        <w:t xml:space="preserve">Representative</w:t>
      </w:r>
      <w:r>
        <w:t xml:space="preserve"> </w:t>
      </w:r>
      <w:r>
        <w:t xml:space="preserve">by</w:t>
      </w:r>
      <w:r>
        <w:t xml:space="preserve"> </w:t>
      </w:r>
      <w:r>
        <w:t xml:space="preserve">Income</w:t>
      </w:r>
      <w:r>
        <w:t xml:space="preserve">?”</w:t>
      </w:r>
      <w:r>
        <w:t xml:space="preserve"> w19589. National Bureau of Economic Research.</w:t>
      </w:r>
      <w:r>
        <w:t xml:space="preserve"> </w:t>
      </w:r>
      <w:hyperlink r:id="rId74">
        <w:r>
          <w:rPr>
            <w:rStyle w:val="Hyperlink"/>
          </w:rPr>
          <w:t xml:space="preserve">https://doi.org/10.3386/w19589</w:t>
        </w:r>
      </w:hyperlink>
      <w:r>
        <w:t xml:space="preserve">.</w:t>
      </w:r>
    </w:p>
    <w:bookmarkEnd w:id="75"/>
    <w:bookmarkStart w:id="77" w:name="ref-sener_analysis_2007"/>
    <w:p>
      <w:pPr>
        <w:pStyle w:val="Bibliography"/>
      </w:pPr>
      <w:r>
        <w:t xml:space="preserve">Sener, Ipek N., and Chandra R. Bhat. 2007.</w:t>
      </w:r>
      <w:r>
        <w:t xml:space="preserve"> </w:t>
      </w:r>
      <w:r>
        <w:t xml:space="preserve">“An Analysis of the Social Context of Children’s Weekend Discretionary Activity Participation.”</w:t>
      </w:r>
      <w:r>
        <w:t xml:space="preserve"> </w:t>
      </w:r>
      <w:r>
        <w:rPr>
          <w:i/>
          <w:iCs/>
        </w:rPr>
        <w:t xml:space="preserve">Transportation</w:t>
      </w:r>
      <w:r>
        <w:t xml:space="preserve"> </w:t>
      </w:r>
      <w:r>
        <w:t xml:space="preserve">34 (6): 697–721.</w:t>
      </w:r>
      <w:r>
        <w:t xml:space="preserve"> </w:t>
      </w:r>
      <w:hyperlink r:id="rId76">
        <w:r>
          <w:rPr>
            <w:rStyle w:val="Hyperlink"/>
          </w:rPr>
          <w:t xml:space="preserve">https://doi.org/10.1007/s11116-007-9125-9</w:t>
        </w:r>
      </w:hyperlink>
      <w:r>
        <w:t xml:space="preserve">.</w:t>
      </w:r>
    </w:p>
    <w:bookmarkEnd w:id="77"/>
    <w:bookmarkStart w:id="79" w:name="ref-sener_analysis_2008"/>
    <w:p>
      <w:pPr>
        <w:pStyle w:val="Bibliography"/>
      </w:pPr>
      <w:r>
        <w:t xml:space="preserve">Sener, Ipek N., Rachel B. Copperman, Ram M. Pendyala, and Chandra R. Bhat. 2008.</w:t>
      </w:r>
      <w:r>
        <w:t xml:space="preserve"> </w:t>
      </w:r>
      <w:r>
        <w:t xml:space="preserve">“An Analysis of Children’s Leisure Activity Engagement: Examining the Day of Week, Location, Physical Activity Level, and Fixity Dimensions.”</w:t>
      </w:r>
      <w:r>
        <w:t xml:space="preserve"> </w:t>
      </w:r>
      <w:r>
        <w:rPr>
          <w:i/>
          <w:iCs/>
        </w:rPr>
        <w:t xml:space="preserve">Transportation</w:t>
      </w:r>
      <w:r>
        <w:t xml:space="preserve"> </w:t>
      </w:r>
      <w:r>
        <w:t xml:space="preserve">35 (5): 673–96.</w:t>
      </w:r>
      <w:r>
        <w:t xml:space="preserve"> </w:t>
      </w:r>
      <w:hyperlink r:id="rId78">
        <w:r>
          <w:rPr>
            <w:rStyle w:val="Hyperlink"/>
          </w:rPr>
          <w:t xml:space="preserve">https://doi.org/10.1007/s11116-008-9173-9</w:t>
        </w:r>
      </w:hyperlink>
      <w:r>
        <w:t xml:space="preserve">.</w:t>
      </w:r>
    </w:p>
    <w:bookmarkEnd w:id="79"/>
    <w:bookmarkStart w:id="81" w:name="ref-skinner_variable_1985"/>
    <w:p>
      <w:pPr>
        <w:pStyle w:val="Bibliography"/>
      </w:pPr>
      <w:r>
        <w:t xml:space="preserve">Skinner, Jonathan. 1985.</w:t>
      </w:r>
      <w:r>
        <w:t xml:space="preserve"> </w:t>
      </w:r>
      <w:r>
        <w:t xml:space="preserve">“Variable</w:t>
      </w:r>
      <w:r>
        <w:t xml:space="preserve"> </w:t>
      </w:r>
      <w:r>
        <w:t xml:space="preserve">Lifespan</w:t>
      </w:r>
      <w:r>
        <w:t xml:space="preserve"> </w:t>
      </w:r>
      <w:r>
        <w:t xml:space="preserve">and the</w:t>
      </w:r>
      <w:r>
        <w:t xml:space="preserve"> </w:t>
      </w:r>
      <w:r>
        <w:t xml:space="preserve">Intertemporal</w:t>
      </w:r>
      <w:r>
        <w:t xml:space="preserve"> </w:t>
      </w:r>
      <w:r>
        <w:t xml:space="preserve">Elasticity</w:t>
      </w:r>
      <w:r>
        <w:t xml:space="preserve"> </w:t>
      </w:r>
      <w:r>
        <w:t xml:space="preserve">of</w:t>
      </w:r>
      <w:r>
        <w:t xml:space="preserve"> </w:t>
      </w:r>
      <w:r>
        <w:t xml:space="preserve">Consumption</w:t>
      </w:r>
      <w:r>
        <w:t xml:space="preserve">.”</w:t>
      </w:r>
      <w:r>
        <w:t xml:space="preserve"> </w:t>
      </w:r>
      <w:r>
        <w:rPr>
          <w:i/>
          <w:iCs/>
        </w:rPr>
        <w:t xml:space="preserve">The Review of Economics and Statistics</w:t>
      </w:r>
      <w:r>
        <w:t xml:space="preserve"> </w:t>
      </w:r>
      <w:r>
        <w:t xml:space="preserve">67 (4): 616–23.</w:t>
      </w:r>
      <w:r>
        <w:t xml:space="preserve"> </w:t>
      </w:r>
      <w:hyperlink r:id="rId80">
        <w:r>
          <w:rPr>
            <w:rStyle w:val="Hyperlink"/>
          </w:rPr>
          <w:t xml:space="preserve">https://doi.org/10.2307/1924806</w:t>
        </w:r>
      </w:hyperlink>
      <w:r>
        <w:t xml:space="preserve">.</w:t>
      </w:r>
    </w:p>
    <w:bookmarkEnd w:id="81"/>
    <w:bookmarkStart w:id="83" w:name="ref-souche_measuring_2010"/>
    <w:p>
      <w:pPr>
        <w:pStyle w:val="Bibliography"/>
      </w:pPr>
      <w:r>
        <w:t xml:space="preserve">Souche, Stéphanie. 2010.</w:t>
      </w:r>
      <w:r>
        <w:t xml:space="preserve"> </w:t>
      </w:r>
      <w:r>
        <w:t xml:space="preserve">“Measuring the Structural Determinants of Urban Travel Demand.”</w:t>
      </w:r>
      <w:r>
        <w:t xml:space="preserve"> </w:t>
      </w:r>
      <w:r>
        <w:rPr>
          <w:i/>
          <w:iCs/>
        </w:rPr>
        <w:t xml:space="preserve">Transport Policy</w:t>
      </w:r>
      <w:r>
        <w:t xml:space="preserve"> </w:t>
      </w:r>
      <w:r>
        <w:t xml:space="preserve">17 (3): 127–34.</w:t>
      </w:r>
      <w:r>
        <w:t xml:space="preserve"> </w:t>
      </w:r>
      <w:hyperlink r:id="rId82">
        <w:r>
          <w:rPr>
            <w:rStyle w:val="Hyperlink"/>
          </w:rPr>
          <w:t xml:space="preserve">https://doi.org/10.1016/j.tranpol.2009.12.003</w:t>
        </w:r>
      </w:hyperlink>
      <w:r>
        <w:t xml:space="preserve">.</w:t>
      </w:r>
    </w:p>
    <w:bookmarkEnd w:id="83"/>
    <w:bookmarkStart w:id="85" w:name="ref-thakuriah_analysis_2005"/>
    <w:p>
      <w:pPr>
        <w:pStyle w:val="Bibliography"/>
      </w:pPr>
      <w:r>
        <w:t xml:space="preserve">Thakuriah, Piyushimita (Vonu), and Yihua Liao. 2005.</w:t>
      </w:r>
      <w:r>
        <w:t xml:space="preserve"> </w:t>
      </w:r>
      <w:r>
        <w:t xml:space="preserve">“Analysis of</w:t>
      </w:r>
      <w:r>
        <w:t xml:space="preserve"> </w:t>
      </w:r>
      <w:r>
        <w:t xml:space="preserve">Variations</w:t>
      </w:r>
      <w:r>
        <w:t xml:space="preserve"> </w:t>
      </w:r>
      <w:r>
        <w:t xml:space="preserve">in</w:t>
      </w:r>
      <w:r>
        <w:t xml:space="preserve"> </w:t>
      </w:r>
      <w:r>
        <w:t xml:space="preserve">Vehicle</w:t>
      </w:r>
      <w:r>
        <w:t xml:space="preserve"> </w:t>
      </w:r>
      <w:r>
        <w:t xml:space="preserve">Ownership</w:t>
      </w:r>
      <w:r>
        <w:t xml:space="preserve"> </w:t>
      </w:r>
      <w:r>
        <w:t xml:space="preserve">Expenditures</w:t>
      </w:r>
      <w:r>
        <w:t xml:space="preserve">.”</w:t>
      </w:r>
      <w:r>
        <w:t xml:space="preserve"> </w:t>
      </w:r>
      <w:r>
        <w:rPr>
          <w:i/>
          <w:iCs/>
        </w:rPr>
        <w:t xml:space="preserve">Transportation Research Record: Journal of the Transportation Research Board</w:t>
      </w:r>
      <w:r>
        <w:t xml:space="preserve"> </w:t>
      </w:r>
      <w:r>
        <w:t xml:space="preserve">1926 (1): 1–9.</w:t>
      </w:r>
      <w:r>
        <w:t xml:space="preserve"> </w:t>
      </w:r>
      <w:hyperlink r:id="rId84">
        <w:r>
          <w:rPr>
            <w:rStyle w:val="Hyperlink"/>
          </w:rPr>
          <w:t xml:space="preserve">https://doi.org/10.1177/0361198105192600101</w:t>
        </w:r>
      </w:hyperlink>
      <w:r>
        <w:t xml:space="preserve">.</w:t>
      </w:r>
    </w:p>
    <w:bookmarkEnd w:id="85"/>
    <w:bookmarkStart w:id="87" w:name="ref-thakuriah_vonu_transportation_2006"/>
    <w:p>
      <w:pPr>
        <w:pStyle w:val="Bibliography"/>
      </w:pPr>
      <w:r>
        <w:t xml:space="preserve">Thakuriah (Vonu), Piyushimita, and Yihua Liao. 2006.</w:t>
      </w:r>
      <w:r>
        <w:t xml:space="preserve"> </w:t>
      </w:r>
      <w:r>
        <w:t xml:space="preserve">“Transportation</w:t>
      </w:r>
      <w:r>
        <w:t xml:space="preserve"> </w:t>
      </w:r>
      <w:r>
        <w:t xml:space="preserve">Expenditures</w:t>
      </w:r>
      <w:r>
        <w:t xml:space="preserve"> </w:t>
      </w:r>
      <w:r>
        <w:t xml:space="preserve">and</w:t>
      </w:r>
      <w:r>
        <w:t xml:space="preserve"> </w:t>
      </w:r>
      <w:r>
        <w:t xml:space="preserve">Ability</w:t>
      </w:r>
      <w:r>
        <w:t xml:space="preserve"> </w:t>
      </w:r>
      <w:r>
        <w:t xml:space="preserve">to</w:t>
      </w:r>
      <w:r>
        <w:t xml:space="preserve"> </w:t>
      </w:r>
      <w:r>
        <w:t xml:space="preserve">Pay</w:t>
      </w:r>
      <w:r>
        <w:t xml:space="preserve">:</w:t>
      </w:r>
      <w:r>
        <w:t xml:space="preserve"> </w:t>
      </w:r>
      <w:r>
        <w:t xml:space="preserve">Evidence</w:t>
      </w:r>
      <w:r>
        <w:t xml:space="preserve"> </w:t>
      </w:r>
      <w:r>
        <w:t xml:space="preserve">from</w:t>
      </w:r>
      <w:r>
        <w:t xml:space="preserve"> </w:t>
      </w:r>
      <w:r>
        <w:t xml:space="preserve">Consumer</w:t>
      </w:r>
      <w:r>
        <w:t xml:space="preserve"> </w:t>
      </w:r>
      <w:r>
        <w:t xml:space="preserve">Expenditure</w:t>
      </w:r>
      <w:r>
        <w:t xml:space="preserve"> </w:t>
      </w:r>
      <w:r>
        <w:t xml:space="preserve">Survey</w:t>
      </w:r>
      <w:r>
        <w:t xml:space="preserve">.”</w:t>
      </w:r>
      <w:r>
        <w:t xml:space="preserve"> </w:t>
      </w:r>
      <w:r>
        <w:rPr>
          <w:i/>
          <w:iCs/>
        </w:rPr>
        <w:t xml:space="preserve">Transportation Research Record</w:t>
      </w:r>
      <w:r>
        <w:t xml:space="preserve"> </w:t>
      </w:r>
      <w:r>
        <w:t xml:space="preserve">1985 (1): 257–65.</w:t>
      </w:r>
      <w:r>
        <w:t xml:space="preserve"> </w:t>
      </w:r>
      <w:hyperlink r:id="rId86">
        <w:r>
          <w:rPr>
            <w:rStyle w:val="Hyperlink"/>
          </w:rPr>
          <w:t xml:space="preserve">https://doi.org/10.1177/0361198106198500128</w:t>
        </w:r>
      </w:hyperlink>
      <w:r>
        <w:t xml:space="preserve">.</w:t>
      </w:r>
    </w:p>
    <w:bookmarkEnd w:id="87"/>
    <w:bookmarkEnd w:id="88"/>
    <w:bookmarkEnd w:id="8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3" Target="https://doi.org/10.1007/s10834-006-9031-x" TargetMode="External" /><Relationship Type="http://schemas.openxmlformats.org/officeDocument/2006/relationships/hyperlink" Id="rId34" Target="https://doi.org/10.1007/s11116-006-0005-5" TargetMode="External" /><Relationship Type="http://schemas.openxmlformats.org/officeDocument/2006/relationships/hyperlink" Id="rId76" Target="https://doi.org/10.1007/s11116-007-9125-9" TargetMode="External" /><Relationship Type="http://schemas.openxmlformats.org/officeDocument/2006/relationships/hyperlink" Id="rId78" Target="https://doi.org/10.1007/s11116-008-9173-9" TargetMode="External" /><Relationship Type="http://schemas.openxmlformats.org/officeDocument/2006/relationships/hyperlink" Id="rId41" Target="https://doi.org/10.1007/s11116-010-9264-2" TargetMode="External" /><Relationship Type="http://schemas.openxmlformats.org/officeDocument/2006/relationships/hyperlink" Id="rId72" Target="https://doi.org/10.1007/s11116-010-9300-2" TargetMode="External" /><Relationship Type="http://schemas.openxmlformats.org/officeDocument/2006/relationships/hyperlink" Id="rId67" Target="https://doi.org/10.1016/0191-2607(79)90051-7" TargetMode="External" /><Relationship Type="http://schemas.openxmlformats.org/officeDocument/2006/relationships/hyperlink" Id="rId54" Target="https://doi.org/10.1016/j.jtrangeo.2018.12.015" TargetMode="External" /><Relationship Type="http://schemas.openxmlformats.org/officeDocument/2006/relationships/hyperlink" Id="rId25" Target="https://doi.org/10.1016/j.tra.2014.12.006" TargetMode="External" /><Relationship Type="http://schemas.openxmlformats.org/officeDocument/2006/relationships/hyperlink" Id="rId58" Target="https://doi.org/10.1016/j.tra.2022.02.003" TargetMode="External" /><Relationship Type="http://schemas.openxmlformats.org/officeDocument/2006/relationships/hyperlink" Id="rId82" Target="https://doi.org/10.1016/j.tranpol.2009.12.003" TargetMode="External" /><Relationship Type="http://schemas.openxmlformats.org/officeDocument/2006/relationships/hyperlink" Id="rId27" Target="https://doi.org/10.1016/j.trd.2025.104886" TargetMode="External" /><Relationship Type="http://schemas.openxmlformats.org/officeDocument/2006/relationships/hyperlink" Id="rId60" Target="https://doi.org/10.1016/j.trip.2020.100260" TargetMode="External" /><Relationship Type="http://schemas.openxmlformats.org/officeDocument/2006/relationships/hyperlink" Id="rId23" Target="https://doi.org/10.1016/j.trip.2022.100616" TargetMode="External" /><Relationship Type="http://schemas.openxmlformats.org/officeDocument/2006/relationships/hyperlink" Id="rId69" Target="https://doi.org/10.1080/000368498325868" TargetMode="External" /><Relationship Type="http://schemas.openxmlformats.org/officeDocument/2006/relationships/hyperlink" Id="rId63" Target="https://doi.org/10.1080/01441647.2017.1354942" TargetMode="External" /><Relationship Type="http://schemas.openxmlformats.org/officeDocument/2006/relationships/hyperlink" Id="rId84" Target="https://doi.org/10.1177/0361198105192600101" TargetMode="External" /><Relationship Type="http://schemas.openxmlformats.org/officeDocument/2006/relationships/hyperlink" Id="rId86" Target="https://doi.org/10.1177/0361198106198500128" TargetMode="External" /><Relationship Type="http://schemas.openxmlformats.org/officeDocument/2006/relationships/hyperlink" Id="rId65" Target="https://doi.org/10.1177/03611981231174444" TargetMode="External" /><Relationship Type="http://schemas.openxmlformats.org/officeDocument/2006/relationships/hyperlink" Id="rId52" Target="https://doi.org/10.1177/0739456X20950428" TargetMode="External" /><Relationship Type="http://schemas.openxmlformats.org/officeDocument/2006/relationships/hyperlink" Id="rId48" Target="https://doi.org/10.1177/23780231221103054" TargetMode="External" /><Relationship Type="http://schemas.openxmlformats.org/officeDocument/2006/relationships/hyperlink" Id="rId50" Target="https://doi.org/10.1300/J073v18n02_02" TargetMode="External" /><Relationship Type="http://schemas.openxmlformats.org/officeDocument/2006/relationships/hyperlink" Id="rId30" Target="https://doi.org/10.21949/E0KQ-GF72" TargetMode="External" /><Relationship Type="http://schemas.openxmlformats.org/officeDocument/2006/relationships/hyperlink" Id="rId56" Target="https://doi.org/10.22004/ag.econ.327257" TargetMode="External" /><Relationship Type="http://schemas.openxmlformats.org/officeDocument/2006/relationships/hyperlink" Id="rId80" Target="https://doi.org/10.2307/1924806" TargetMode="External" /><Relationship Type="http://schemas.openxmlformats.org/officeDocument/2006/relationships/hyperlink" Id="rId39" Target="https://doi.org/10.25318/11F0019M2023007-ENG" TargetMode="External" /><Relationship Type="http://schemas.openxmlformats.org/officeDocument/2006/relationships/hyperlink" Id="rId32" Target="https://doi.org/10.3141/2010-14" TargetMode="External" /><Relationship Type="http://schemas.openxmlformats.org/officeDocument/2006/relationships/hyperlink" Id="rId45" Target="https://doi.org/10.3141/2077-09" TargetMode="External" /><Relationship Type="http://schemas.openxmlformats.org/officeDocument/2006/relationships/hyperlink" Id="rId37" Target="https://doi.org/10.3141/2531-04" TargetMode="External" /><Relationship Type="http://schemas.openxmlformats.org/officeDocument/2006/relationships/hyperlink" Id="rId74" Target="https://doi.org/10.3386/w19589" TargetMode="External" /></Relationships>
</file>

<file path=word/_rels/footnotes.xml.rels><?xml version="1.0" encoding="UTF-8"?><Relationships xmlns="http://schemas.openxmlformats.org/package/2006/relationships"><Relationship Type="http://schemas.openxmlformats.org/officeDocument/2006/relationships/hyperlink" Id="rId43" Target="https://doi.org/10.1007/s10834-006-9031-x" TargetMode="External" /><Relationship Type="http://schemas.openxmlformats.org/officeDocument/2006/relationships/hyperlink" Id="rId34" Target="https://doi.org/10.1007/s11116-006-0005-5" TargetMode="External" /><Relationship Type="http://schemas.openxmlformats.org/officeDocument/2006/relationships/hyperlink" Id="rId76" Target="https://doi.org/10.1007/s11116-007-9125-9" TargetMode="External" /><Relationship Type="http://schemas.openxmlformats.org/officeDocument/2006/relationships/hyperlink" Id="rId78" Target="https://doi.org/10.1007/s11116-008-9173-9" TargetMode="External" /><Relationship Type="http://schemas.openxmlformats.org/officeDocument/2006/relationships/hyperlink" Id="rId41" Target="https://doi.org/10.1007/s11116-010-9264-2" TargetMode="External" /><Relationship Type="http://schemas.openxmlformats.org/officeDocument/2006/relationships/hyperlink" Id="rId72" Target="https://doi.org/10.1007/s11116-010-9300-2" TargetMode="External" /><Relationship Type="http://schemas.openxmlformats.org/officeDocument/2006/relationships/hyperlink" Id="rId67" Target="https://doi.org/10.1016/0191-2607(79)90051-7" TargetMode="External" /><Relationship Type="http://schemas.openxmlformats.org/officeDocument/2006/relationships/hyperlink" Id="rId54" Target="https://doi.org/10.1016/j.jtrangeo.2018.12.015" TargetMode="External" /><Relationship Type="http://schemas.openxmlformats.org/officeDocument/2006/relationships/hyperlink" Id="rId25" Target="https://doi.org/10.1016/j.tra.2014.12.006" TargetMode="External" /><Relationship Type="http://schemas.openxmlformats.org/officeDocument/2006/relationships/hyperlink" Id="rId58" Target="https://doi.org/10.1016/j.tra.2022.02.003" TargetMode="External" /><Relationship Type="http://schemas.openxmlformats.org/officeDocument/2006/relationships/hyperlink" Id="rId82" Target="https://doi.org/10.1016/j.tranpol.2009.12.003" TargetMode="External" /><Relationship Type="http://schemas.openxmlformats.org/officeDocument/2006/relationships/hyperlink" Id="rId27" Target="https://doi.org/10.1016/j.trd.2025.104886" TargetMode="External" /><Relationship Type="http://schemas.openxmlformats.org/officeDocument/2006/relationships/hyperlink" Id="rId60" Target="https://doi.org/10.1016/j.trip.2020.100260" TargetMode="External" /><Relationship Type="http://schemas.openxmlformats.org/officeDocument/2006/relationships/hyperlink" Id="rId23" Target="https://doi.org/10.1016/j.trip.2022.100616" TargetMode="External" /><Relationship Type="http://schemas.openxmlformats.org/officeDocument/2006/relationships/hyperlink" Id="rId69" Target="https://doi.org/10.1080/000368498325868" TargetMode="External" /><Relationship Type="http://schemas.openxmlformats.org/officeDocument/2006/relationships/hyperlink" Id="rId63" Target="https://doi.org/10.1080/01441647.2017.1354942" TargetMode="External" /><Relationship Type="http://schemas.openxmlformats.org/officeDocument/2006/relationships/hyperlink" Id="rId84" Target="https://doi.org/10.1177/0361198105192600101" TargetMode="External" /><Relationship Type="http://schemas.openxmlformats.org/officeDocument/2006/relationships/hyperlink" Id="rId86" Target="https://doi.org/10.1177/0361198106198500128" TargetMode="External" /><Relationship Type="http://schemas.openxmlformats.org/officeDocument/2006/relationships/hyperlink" Id="rId65" Target="https://doi.org/10.1177/03611981231174444" TargetMode="External" /><Relationship Type="http://schemas.openxmlformats.org/officeDocument/2006/relationships/hyperlink" Id="rId52" Target="https://doi.org/10.1177/0739456X20950428" TargetMode="External" /><Relationship Type="http://schemas.openxmlformats.org/officeDocument/2006/relationships/hyperlink" Id="rId48" Target="https://doi.org/10.1177/23780231221103054" TargetMode="External" /><Relationship Type="http://schemas.openxmlformats.org/officeDocument/2006/relationships/hyperlink" Id="rId50" Target="https://doi.org/10.1300/J073v18n02_02" TargetMode="External" /><Relationship Type="http://schemas.openxmlformats.org/officeDocument/2006/relationships/hyperlink" Id="rId30" Target="https://doi.org/10.21949/E0KQ-GF72" TargetMode="External" /><Relationship Type="http://schemas.openxmlformats.org/officeDocument/2006/relationships/hyperlink" Id="rId56" Target="https://doi.org/10.22004/ag.econ.327257" TargetMode="External" /><Relationship Type="http://schemas.openxmlformats.org/officeDocument/2006/relationships/hyperlink" Id="rId80" Target="https://doi.org/10.2307/1924806" TargetMode="External" /><Relationship Type="http://schemas.openxmlformats.org/officeDocument/2006/relationships/hyperlink" Id="rId39" Target="https://doi.org/10.25318/11F0019M2023007-ENG" TargetMode="External" /><Relationship Type="http://schemas.openxmlformats.org/officeDocument/2006/relationships/hyperlink" Id="rId32" Target="https://doi.org/10.3141/2010-14" TargetMode="External" /><Relationship Type="http://schemas.openxmlformats.org/officeDocument/2006/relationships/hyperlink" Id="rId45" Target="https://doi.org/10.3141/2077-09" TargetMode="External" /><Relationship Type="http://schemas.openxmlformats.org/officeDocument/2006/relationships/hyperlink" Id="rId37" Target="https://doi.org/10.3141/2531-04" TargetMode="External" /><Relationship Type="http://schemas.openxmlformats.org/officeDocument/2006/relationships/hyperlink" Id="rId74" Target="https://doi.org/10.3386/w1958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Unpacking Household Budgeting Strategies through a Transportation Lens</dc:title>
  <dc:creator>Kamryn Mansfield; Katie Asmussen</dc:creator>
  <cp:keywords>Consumer Expenditure Survey, Transportation Spending, Family Spending, Budget</cp:keywords>
  <dcterms:created xsi:type="dcterms:W3CDTF">2025-12-11T22:08:29Z</dcterms:created>
  <dcterms:modified xsi:type="dcterms:W3CDTF">2025-12-11T22:08:29Z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is where we will put our abstract.</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date">
    <vt:lpwstr>2025-12-11</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key-points">
    <vt:lpwstr/>
  </property>
  <property fmtid="{D5CDD505-2E9C-101B-9397-08002B2CF9AE}" pid="16" name="labels">
    <vt:lpwstr/>
  </property>
  <property fmtid="{D5CDD505-2E9C-101B-9397-08002B2CF9AE}" pid="17" name="lightbox">
    <vt:lpwstr>auto</vt:lpwstr>
  </property>
  <property fmtid="{D5CDD505-2E9C-101B-9397-08002B2CF9AE}" pid="18" name="manuscript">
    <vt:lpwstr/>
  </property>
  <property fmtid="{D5CDD505-2E9C-101B-9397-08002B2CF9AE}" pid="19" name="notebook-preview-options">
    <vt:lpwstr/>
  </property>
  <property fmtid="{D5CDD505-2E9C-101B-9397-08002B2CF9AE}" pid="20" name="plain-language-summary">
    <vt:lpwstr>This is a plain language summary</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