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2026-02-16</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The way U.S. households choose to spend their money provides evidence of the weight of transportation decisions in a household. For the last 20 years, the average household has allocated between 15 and 20 percent of its budget on transportation expenditures</w:t>
      </w:r>
      <w:r>
        <w:t xml:space="preserve"> </w:t>
      </w:r>
      <w:r>
        <w:t xml:space="preserve">(Bureau of Transportation Statistics 2024)</w:t>
      </w:r>
      <w:r>
        <w:t xml:space="preserve">. That is almost double what it was 100 years ago</w:t>
      </w:r>
      <w:r>
        <w:t xml:space="preserve"> </w:t>
      </w:r>
      <w:r>
        <w:t xml:space="preserve">(Johnson et al. 2001)</w:t>
      </w:r>
      <w:r>
        <w:t xml:space="preserve">. This means that either families are traveling more than they used to or that transportation has become more expensive compared to other household expenditures. Either way, the amount of budget that is put towards a household’s travel indicates that transportation is an important part of a family’s daily life. The fact that lower income households often have a larger portion of their budget spent on transportation further shows the major role it plays in household decisions and suggests that transportation decisions might have a broader effect on other household expenditures</w:t>
      </w:r>
      <w:r>
        <w:t xml:space="preserve"> </w:t>
      </w:r>
      <w:r>
        <w:t xml:space="preserve">(Molloy et al. 2024)</w:t>
      </w:r>
      <w:r>
        <w:t xml:space="preserve">.</w:t>
      </w:r>
    </w:p>
    <w:p>
      <w:pPr>
        <w:pStyle w:val="BodyText"/>
      </w:pPr>
      <w:r>
        <w:t xml:space="preserve">While transportation is a big portion of the average household’s budget, its relative weight compared to housing, childcare, and other spending varies widely across families. Household characteristics like family size, income, car ownership, and location play a role in how much they spend on transportation. For example, people with bigger families or living in single-family homes tend to spend more on transportation</w:t>
      </w:r>
      <w:r>
        <w:t xml:space="preserve"> </w:t>
      </w:r>
      <w:r>
        <w:t xml:space="preserve">(Mattson 2020)</w:t>
      </w:r>
      <w:r>
        <w:t xml:space="preserve">. The relationship between household budgeting and mobility is shaped not only by household demographics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p>
      <w:pPr>
        <w:pStyle w:val="BodyText"/>
      </w:pPr>
      <w:r>
        <w:rPr>
          <w:i/>
          <w:iCs/>
        </w:rPr>
        <w:t xml:space="preserve">Things I haven’t included but could maybe include in the future?</w:t>
      </w:r>
    </w:p>
    <w:p>
      <w:pPr>
        <w:pStyle w:val="Compact"/>
        <w:numPr>
          <w:ilvl w:val="0"/>
          <w:numId w:val="1001"/>
        </w:numPr>
      </w:pPr>
      <w:r>
        <w:t xml:space="preserve">Since 1960, a larger percent of US households have at least one car. It was in the 80s when the percentage of 2-car households surpassed the percentage of 1-car households</w:t>
      </w:r>
      <w:r>
        <w:t xml:space="preserve"> </w:t>
      </w:r>
      <w:r>
        <w:t xml:space="preserve">(Bureau of Transportation Statistics 2024)</w:t>
      </w:r>
    </w:p>
    <w:bookmarkEnd w:id="10"/>
    <w:bookmarkStart w:id="20"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 The literature relating to this study has been classified into four categories: (1) Household Choices and Activity Patterns, (2) Household Transportation Choices, (3) Household Spending and Budgets, and (4) Household Transportation Budgets. The following sections describe the relevant findings from literature in each of these groups.</w:t>
      </w:r>
    </w:p>
    <w:tbl>
      <w:tblPr>
        <w:tblStyle w:val="Table"/>
        <w:tblW w:type="pct" w:w="5000"/>
        <w:tblLayout w:type="fixed"/>
        <w:tblLook w:firstRow="0" w:lastRow="0" w:firstColumn="0" w:lastColumn="0" w:noHBand="0" w:noVBand="0" w:val="0000"/>
      </w:tblPr>
      <w:tblGrid>
        <w:gridCol w:w="7920"/>
      </w:tblGrid>
      <w:tr>
        <w:tc>
          <w:tcPr/>
          <w:bookmarkStart w:id="11" w:name="tbl-lit-summary"/>
          <w:p>
            <w:pPr>
              <w:jc w:val="center"/>
            </w:pPr>
            <w:pPr>
              <w:jc w:val="left"/>
              <w:spacing w:before="200"/>
              <w:pStyle w:val="ImageCaption"/>
            </w:pPr>
            <w:r>
              <w:t xml:space="preserve">Table 1: Summary of the Literature</w:t>
            </w:r>
          </w:p>
          <w:tbl>
            <w:tblPr>
              <w:tblStyle w:val="Table"/>
              <w:tblW w:type="pct" w:w="4891"/>
              <w:tblLayout w:type="fixed"/>
              <w:tblLook w:firstRow="1" w:lastRow="0" w:firstColumn="0" w:lastColumn="0" w:noHBand="0" w:noVBand="0" w:val="0020"/>
            </w:tblPr>
            <w:tblGrid>
              <w:gridCol w:w="5079"/>
              <w:gridCol w:w="946"/>
              <w:gridCol w:w="1721"/>
            </w:tblGrid>
            <w:tr>
              <w:trPr>
                <w:tblHeader w:val="on"/>
              </w:trPr>
              <w:tc>
                <w:tcPr/>
                <w:p>
                  <w:pPr>
                    <w:pStyle w:val="Compact"/>
                    <w:jc w:val="left"/>
                    <w:jc w:val="center"/>
                  </w:pPr>
                  <w:r>
                    <w:t xml:space="preserve">Study</w:t>
                  </w:r>
                </w:p>
              </w:tc>
              <w:tc>
                <w:tcPr/>
                <w:p>
                  <w:pPr>
                    <w:pStyle w:val="Compact"/>
                    <w:jc w:val="left"/>
                    <w:jc w:val="center"/>
                  </w:pPr>
                  <w:r>
                    <w:t xml:space="preserve">Uses CEX</w:t>
                  </w:r>
                  <w:r>
                    <w:t xml:space="preserve"> </w:t>
                  </w:r>
                  <w:r>
                    <w:t xml:space="preserve">Data</w:t>
                  </w:r>
                </w:p>
              </w:tc>
              <w:tc>
                <w:tcPr/>
                <w:p>
                  <w:pPr>
                    <w:pStyle w:val="Compact"/>
                    <w:jc w:val="left"/>
                    <w:jc w:val="center"/>
                  </w:pPr>
                  <w:r>
                    <w:t xml:space="preserve">Category</w:t>
                  </w:r>
                </w:p>
              </w:tc>
            </w:tr>
            <w:tr>
              <w:tc>
                <w:tcPr/>
                <w:p>
                  <w:pPr>
                    <w:pStyle w:val="Compact"/>
                    <w:jc w:val="left"/>
                    <w:jc w:val="center"/>
                  </w:pPr>
                  <w:r>
                    <w:t xml:space="preserve">Morris and Wigan (1979)</w:t>
                  </w:r>
                </w:p>
              </w:tc>
              <w:tc>
                <w:tcPr/>
                <w:p>
                  <w:pPr>
                    <w:pStyle w:val="Compact"/>
                    <w:jc w:val="left"/>
                    <w:jc w:val="center"/>
                  </w:pPr>
                  <w:r>
                    <w:t xml:space="preserve">FALSE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Skinner (1985)</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Nayga (1998)</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Blumenberg (2003)</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and Liao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Hong et al.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(Vonu) and Liao (2006)</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Fontes and Fan (2006)</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Choo et al. (2007)</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Rachel B. Copperman and Bhat (2007a)</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Sener and Bhat (2007)</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Rachel B. Copperman and Bhat (2007b)</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Haas et al. (2008)</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Sener et al. (2008)</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Ferdous et al. (2010)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Souche (2010)</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Paleti et al. (2011)</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Sabelhaus et al. (2013)</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Deka (2015)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Bernardo et al. (2015)</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Lino et al. (2017)</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McCarthy et al. (2017)</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Mattson and Peterson (2019)</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Leung et al. (2019)</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Mattson (2020)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Osborne et al. (2021)</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Hastings (2022)</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Lu et al.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Amirnazmiafshar and Diana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Duncan et al. (2023)</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Molloy et al.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Bureau of Transportation Statistics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Hargunani et al. (2024)</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Klein (2024)</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Bilgin et al. (2025)</w:t>
                  </w:r>
                </w:p>
              </w:tc>
              <w:tc>
                <w:tcPr/>
                <w:p>
                  <w:pPr>
                    <w:pStyle w:val="Compact"/>
                    <w:jc w:val="left"/>
                    <w:jc w:val="center"/>
                  </w:pPr>
                  <w:r>
                    <w:t xml:space="preserve">FALSE</w:t>
                  </w:r>
                </w:p>
              </w:tc>
              <w:tc>
                <w:tcPr/>
                <w:p>
                  <w:pPr>
                    <w:pStyle w:val="Compact"/>
                    <w:jc w:val="left"/>
                    <w:jc w:val="center"/>
                  </w:pPr>
                  <w:r>
                    <w:t xml:space="preserve">Transportation</w:t>
                  </w:r>
                </w:p>
              </w:tc>
            </w:tr>
          </w:tbl>
          <w:bookmarkEnd w:id="11"/>
          <w:p/>
        </w:tc>
      </w:tr>
    </w:tbl>
    <w:p>
      <w:pPr>
        <w:pStyle w:val="BodyText"/>
      </w:pPr>
      <w:r>
        <w:rPr>
          <w:vertAlign w:val="subscript"/>
        </w:rPr>
        <w:t xml:space="preserve">Source:</w:t>
      </w:r>
      <w:r>
        <w:rPr>
          <w:vertAlign w:val="subscript"/>
        </w:rPr>
        <w:t xml:space="preserve"> </w:t>
      </w:r>
      <w:hyperlink r:id="rId12">
        <w:r>
          <w:rPr>
            <w:rStyle w:val="Hyperlink"/>
            <w:vertAlign w:val="subscript"/>
          </w:rPr>
          <w:t xml:space="preserve">Lit Review Table</w:t>
        </w:r>
      </w:hyperlink>
    </w:p>
    <w:bookmarkStart w:id="13"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et al.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13"/>
    <w:bookmarkStart w:id="14"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et al.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et al.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et al.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14"/>
    <w:bookmarkStart w:id="15"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et al.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et al.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et al.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bookmarkEnd w:id="15"/>
    <w:bookmarkStart w:id="19" w:name="the-current-study"/>
    <w:p>
      <w:pPr>
        <w:pStyle w:val="Heading3"/>
      </w:pPr>
      <w:r>
        <w:t xml:space="preserve">2.4 The Current Study</w:t>
      </w:r>
    </w:p>
    <w:p>
      <w:pPr>
        <w:pStyle w:val="FirstParagraph"/>
      </w:pPr>
      <w:r>
        <w:t xml:space="preserve">Like many of the existing studies described, the current study improves our understanding of household spending patterns and transportation choices. It adds to the literature in three main ways: Dataset, Methodology, and Research Question.</w:t>
      </w:r>
    </w:p>
    <w:bookmarkStart w:id="16" w:name="dataset"/>
    <w:p>
      <w:pPr>
        <w:pStyle w:val="Heading4"/>
      </w:pPr>
      <w:r>
        <w:t xml:space="preserve">2.4.1 Dataset</w:t>
      </w:r>
    </w:p>
    <w:p>
      <w:pPr>
        <w:pStyle w:val="FirstParagraph"/>
      </w:pPr>
      <w:r>
        <w:t xml:space="preserve">Many studies seek to understand household transportation choices with time use diaries or travel surveys. This study, on the other hand, seeks to answer similar questions using expenditure data. Instead of using day to day activities to understand where and how a household is getting around, we use households’ weekly expenses to find underlying patterns that explain, and perhaps shape, their travel choices.</w:t>
      </w:r>
    </w:p>
    <w:p>
      <w:pPr>
        <w:pStyle w:val="BodyText"/>
      </w:pPr>
      <w:r>
        <w:t xml:space="preserve">Another important thing to note is that all of the reviewed transportation studies using the CEX were using data from before 2020. Since much has changed since the COVID19 pandemic, the 2024 data used in the current study will provide a more timely analysis.</w:t>
      </w:r>
    </w:p>
    <w:bookmarkEnd w:id="16"/>
    <w:bookmarkStart w:id="17" w:name="methodology"/>
    <w:p>
      <w:pPr>
        <w:pStyle w:val="Heading4"/>
      </w:pPr>
      <w:r>
        <w:t xml:space="preserve">2.4.2 Methodology</w:t>
      </w:r>
    </w:p>
    <w:p>
      <w:pPr>
        <w:pStyle w:val="FirstParagraph"/>
      </w:pPr>
      <w:r>
        <w:t xml:space="preserve">The latent class analysis for the current study looks at unique exogenous and outcome variables. To perform the analysis, we created categories to reflect the type of expenditures made. We used these unique categories in the analysis. The exogenous and outcome variables we used in the analysis are listed below.</w:t>
      </w:r>
    </w:p>
    <w:p>
      <w:pPr>
        <w:pStyle w:val="Compact"/>
        <w:numPr>
          <w:ilvl w:val="0"/>
          <w:numId w:val="1002"/>
        </w:numPr>
      </w:pPr>
      <w:r>
        <w:t xml:space="preserve">List of variables used in analysis</w:t>
      </w:r>
    </w:p>
    <w:bookmarkEnd w:id="17"/>
    <w:bookmarkStart w:id="18" w:name="research-question"/>
    <w:p>
      <w:pPr>
        <w:pStyle w:val="Heading4"/>
      </w:pPr>
      <w:r>
        <w:t xml:space="preserve">2.4.3 Research Question</w:t>
      </w:r>
    </w:p>
    <w:p>
      <w:pPr>
        <w:pStyle w:val="FirstParagraph"/>
      </w:pPr>
      <w:r>
        <w:t xml:space="preserve">The purpose of the current study is to see how household budgets are structured around transportation decisions. We are going about it with the perspective that transportation expenditures help define a household. Looking at the data in this way will help us find trends that were perhaps missed in other studies on transportation decisions.</w:t>
      </w:r>
    </w:p>
    <w:bookmarkEnd w:id="18"/>
    <w:bookmarkEnd w:id="19"/>
    <w:bookmarkEnd w:id="20"/>
    <w:bookmarkStart w:id="22" w:name="data"/>
    <w:p>
      <w:pPr>
        <w:pStyle w:val="Heading2"/>
      </w:pPr>
      <w:r>
        <w:t xml:space="preserve">3 Data</w:t>
      </w:r>
    </w:p>
    <w:p>
      <w:pPr>
        <w:pStyle w:val="FirstParagraph"/>
      </w:pPr>
      <w:r>
        <w:t xml:space="preserve">Data for the following analysis were attained from the 2024 Consumer Expenditure Survey (CEX) Public Use Microdata (PUMD). The CEX is administered continuously by the Bureau of Labor Statistics (BLS). The data are organized by quarter and published each year. The CEX consists of two surveys: the Interview Survey, and the Diary Survey. The Interview Survey tracks a household’s major and recurring expenditures by reviewing their expenses from the past three months and was not used in the study.</w:t>
      </w:r>
    </w:p>
    <w:p>
      <w:pPr>
        <w:pStyle w:val="BodyText"/>
      </w:pPr>
      <w:r>
        <w:t xml:space="preserve">The Diary Survey from the CEX was used in this study and 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 In addition to providing detailed household weekly expenditures, this survey also provides useful demographic data for each household. The combination of household demographics and detailed expenditures makes this dataset ideal for the current study.</w:t>
      </w:r>
    </w:p>
    <w:p>
      <w:pPr>
        <w:pStyle w:val="BodyText"/>
      </w:pPr>
      <w:r>
        <w:t xml:space="preserve">The table below shows a summary of the demographics in the data.</w:t>
      </w:r>
      <w:r>
        <w:t xml:space="preserve"> </w:t>
      </w:r>
      <w:r>
        <w:rPr>
          <w:i/>
          <w:iCs/>
        </w:rPr>
        <w:t xml:space="preserve">put a table below and talk about it more</w:t>
      </w:r>
    </w:p>
    <w:tbl>
      <w:tblPr>
        <w:tblStyle w:val="Table"/>
        <w:tblW w:type="pct" w:w="5000"/>
        <w:tblLayout w:type="fixed"/>
        <w:tblLook w:firstRow="0" w:lastRow="0" w:firstColumn="0" w:lastColumn="0" w:noHBand="0" w:noVBand="0" w:val="0000"/>
      </w:tblPr>
      <w:tblGrid>
        <w:gridCol w:w="7920"/>
      </w:tblGrid>
      <w:tr>
        <w:tc>
          <w:tcPr/>
          <w:bookmarkStart w:id="21" w:name="tbl-data-summary"/>
          <w:p>
            <w:pPr>
              <w:jc w:val="center"/>
            </w:pPr>
            <w:pPr>
              <w:jc w:val="left"/>
              <w:spacing w:before="200"/>
              <w:pStyle w:val="ImageCaption"/>
            </w:pPr>
            <w:r>
              <w:t xml:space="preserve">Table 2: Summary of CEX Demographic Data (placeholder)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Description</w:t>
                  </w:r>
                </w:p>
              </w:tc>
              <w:tc>
                <w:tcPr/>
                <w:p>
                  <w:pPr>
                    <w:pStyle w:val="Compact"/>
                    <w:jc w:val="right"/>
                    <w:jc w:val="center"/>
                  </w:pPr>
                  <w:r>
                    <w:t xml:space="preserve">Value</w:t>
                  </w:r>
                </w:p>
              </w:tc>
            </w:tr>
            <w:tr>
              <w:tc>
                <w:tcPr/>
                <w:p>
                  <w:pPr>
                    <w:pStyle w:val="Compact"/>
                    <w:jc w:val="left"/>
                    <w:jc w:val="center"/>
                  </w:pPr>
                  <w:r>
                    <w:t xml:space="preserve">Total households</w:t>
                  </w:r>
                </w:p>
              </w:tc>
              <w:tc>
                <w:tcPr/>
                <w:p>
                  <w:pPr>
                    <w:pStyle w:val="Compact"/>
                    <w:jc w:val="right"/>
                    <w:jc w:val="center"/>
                  </w:pPr>
                  <w:r>
                    <w:t xml:space="preserve">12507.000000</w:t>
                  </w:r>
                </w:p>
              </w:tc>
            </w:tr>
            <w:tr>
              <w:tc>
                <w:tcPr/>
                <w:p>
                  <w:pPr>
                    <w:pStyle w:val="Compact"/>
                    <w:jc w:val="left"/>
                    <w:jc w:val="center"/>
                  </w:pPr>
                  <w:r>
                    <w:t xml:space="preserve">Households with no car</w:t>
                  </w:r>
                </w:p>
              </w:tc>
              <w:tc>
                <w:tcPr/>
                <w:p>
                  <w:pPr>
                    <w:pStyle w:val="Compact"/>
                    <w:jc w:val="right"/>
                    <w:jc w:val="center"/>
                  </w:pPr>
                  <w:r>
                    <w:t xml:space="preserve">1351.000000</w:t>
                  </w:r>
                </w:p>
              </w:tc>
            </w:tr>
            <w:tr>
              <w:tc>
                <w:tcPr/>
                <w:p>
                  <w:pPr>
                    <w:pStyle w:val="Compact"/>
                    <w:jc w:val="left"/>
                    <w:jc w:val="center"/>
                  </w:pPr>
                  <w:r>
                    <w:t xml:space="preserve">Avg cars in household</w:t>
                  </w:r>
                </w:p>
              </w:tc>
              <w:tc>
                <w:tcPr/>
                <w:p>
                  <w:pPr>
                    <w:pStyle w:val="Compact"/>
                    <w:jc w:val="right"/>
                    <w:jc w:val="center"/>
                  </w:pPr>
                  <w:r>
                    <w:t xml:space="preserve">2.000627</w:t>
                  </w:r>
                </w:p>
              </w:tc>
            </w:tr>
            <w:tr>
              <w:tc>
                <w:tcPr/>
                <w:p>
                  <w:pPr>
                    <w:pStyle w:val="Compact"/>
                    <w:jc w:val="left"/>
                    <w:jc w:val="center"/>
                  </w:pPr>
                  <w:r>
                    <w:t xml:space="preserve">Avg household income</w:t>
                  </w:r>
                </w:p>
              </w:tc>
              <w:tc>
                <w:tcPr/>
                <w:p>
                  <w:pPr>
                    <w:pStyle w:val="Compact"/>
                    <w:jc w:val="right"/>
                    <w:jc w:val="center"/>
                  </w:pPr>
                  <w:r>
                    <w:t xml:space="preserve">93154.868634</w:t>
                  </w:r>
                </w:p>
              </w:tc>
            </w:tr>
            <w:tr>
              <w:tc>
                <w:tcPr/>
                <w:p>
                  <w:pPr>
                    <w:pStyle w:val="Compact"/>
                    <w:jc w:val="left"/>
                    <w:jc w:val="center"/>
                  </w:pPr>
                  <w:r>
                    <w:t xml:space="preserve">Avg household size</w:t>
                  </w:r>
                </w:p>
              </w:tc>
              <w:tc>
                <w:tcPr/>
                <w:p>
                  <w:pPr>
                    <w:pStyle w:val="Compact"/>
                    <w:jc w:val="right"/>
                    <w:jc w:val="center"/>
                  </w:pPr>
                  <w:r>
                    <w:t xml:space="preserve">2.304789</w:t>
                  </w:r>
                </w:p>
              </w:tc>
            </w:tr>
          </w:tbl>
          <w:bookmarkEnd w:id="2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Of the 397 different types of expenditures found in the data, we created 24 categories: Air Travel, Alcohol, At -Home Entertainment, Bike or Scooter or other Single Rider Travel, Bus Travel, Car Fuel, Car Maintenance, Car Other, Car Payment, Car Purchase, Clothing Related, Education, Family Spending, Food Related, House Related, Hygiene, Medical, Motorcycle Travel, no category specified, Recreational Related, School Supplies, Ship Travel, Taxi or Limo Travel, Train Travel.</w:t>
      </w:r>
    </w:p>
    <w:bookmarkEnd w:id="22"/>
    <w:bookmarkStart w:id="91" w:name="references"/>
    <w:p>
      <w:pPr>
        <w:pStyle w:val="Heading2"/>
      </w:pPr>
      <w:r>
        <w:t xml:space="preserve">4 References</w:t>
      </w:r>
    </w:p>
    <w:bookmarkStart w:id="90" w:name="refs"/>
    <w:bookmarkStart w:id="24"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3">
        <w:r>
          <w:rPr>
            <w:rStyle w:val="Hyperlink"/>
          </w:rPr>
          <w:t xml:space="preserve">https://doi.org/10.1016/j.trip.2022.100616</w:t>
        </w:r>
      </w:hyperlink>
      <w:r>
        <w:t xml:space="preserve">.</w:t>
      </w:r>
    </w:p>
    <w:bookmarkEnd w:id="24"/>
    <w:bookmarkStart w:id="26"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5">
        <w:r>
          <w:rPr>
            <w:rStyle w:val="Hyperlink"/>
          </w:rPr>
          <w:t xml:space="preserve">https://doi.org/10.1016/j.tra.2014.12.006</w:t>
        </w:r>
      </w:hyperlink>
      <w:r>
        <w:t xml:space="preserve">.</w:t>
      </w:r>
    </w:p>
    <w:bookmarkEnd w:id="26"/>
    <w:bookmarkStart w:id="28"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27">
        <w:r>
          <w:rPr>
            <w:rStyle w:val="Hyperlink"/>
          </w:rPr>
          <w:t xml:space="preserve">https://doi.org/10.1016/j.trd.2025.104886</w:t>
        </w:r>
      </w:hyperlink>
      <w:r>
        <w:t xml:space="preserve">.</w:t>
      </w:r>
    </w:p>
    <w:bookmarkEnd w:id="28"/>
    <w:bookmarkStart w:id="29" w:name="ref-blumenberg_transportation_2003"/>
    <w:p>
      <w:pPr>
        <w:pStyle w:val="Bibliography"/>
      </w:pPr>
      <w:r>
        <w:t xml:space="preserve">Blumenberg, Evelyn. 2003.</w:t>
      </w:r>
      <w:r>
        <w:t xml:space="preserve"> </w:t>
      </w:r>
      <w:r>
        <w:rPr>
          <w:i/>
          <w:iCs/>
        </w:rPr>
        <w:t xml:space="preserve">Transportation</w:t>
      </w:r>
      <w:r>
        <w:rPr>
          <w:i/>
          <w:iCs/>
        </w:rPr>
        <w:t xml:space="preserve"> </w:t>
      </w:r>
      <w:r>
        <w:rPr>
          <w:i/>
          <w:iCs/>
        </w:rPr>
        <w:t xml:space="preserve">Costs</w:t>
      </w:r>
      <w:r>
        <w:rPr>
          <w:i/>
          <w:iCs/>
        </w:rPr>
        <w:t xml:space="preserve"> </w:t>
      </w:r>
      <w:r>
        <w:rPr>
          <w:i/>
          <w:iCs/>
        </w:rPr>
        <w:t xml:space="preserve">and</w:t>
      </w:r>
      <w:r>
        <w:rPr>
          <w:i/>
          <w:iCs/>
        </w:rPr>
        <w:t xml:space="preserve"> </w:t>
      </w:r>
      <w:r>
        <w:rPr>
          <w:i/>
          <w:iCs/>
        </w:rPr>
        <w:t xml:space="preserve">Economic</w:t>
      </w:r>
      <w:r>
        <w:rPr>
          <w:i/>
          <w:iCs/>
        </w:rPr>
        <w:t xml:space="preserve"> </w:t>
      </w:r>
      <w:r>
        <w:rPr>
          <w:i/>
          <w:iCs/>
        </w:rPr>
        <w:t xml:space="preserve">Opportunity</w:t>
      </w:r>
      <w:r>
        <w:rPr>
          <w:i/>
          <w:iCs/>
        </w:rPr>
        <w:t xml:space="preserve"> </w:t>
      </w:r>
      <w:r>
        <w:rPr>
          <w:i/>
          <w:iCs/>
        </w:rPr>
        <w:t xml:space="preserve">Among</w:t>
      </w:r>
      <w:r>
        <w:rPr>
          <w:i/>
          <w:iCs/>
        </w:rPr>
        <w:t xml:space="preserve"> </w:t>
      </w:r>
      <w:r>
        <w:rPr>
          <w:i/>
          <w:iCs/>
        </w:rPr>
        <w:t xml:space="preserve">the</w:t>
      </w:r>
      <w:r>
        <w:rPr>
          <w:i/>
          <w:iCs/>
        </w:rPr>
        <w:t xml:space="preserve"> </w:t>
      </w:r>
      <w:r>
        <w:rPr>
          <w:i/>
          <w:iCs/>
        </w:rPr>
        <w:t xml:space="preserve">Poor</w:t>
      </w:r>
      <w:r>
        <w:t xml:space="preserve">. October.</w:t>
      </w:r>
    </w:p>
    <w:bookmarkEnd w:id="29"/>
    <w:bookmarkStart w:id="31" w:name="Xa66e51dc7d1b5a25f9f65477025553c1efad10b"/>
    <w:p>
      <w:pPr>
        <w:pStyle w:val="Bibliography"/>
      </w:pPr>
      <w:r>
        <w:t xml:space="preserve">Bureau of Transportation Statistics. 2024.</w:t>
      </w:r>
      <w:r>
        <w:t xml:space="preserve"> </w:t>
      </w:r>
      <w:r>
        <w:rPr>
          <w:i/>
          <w:iCs/>
        </w:rPr>
        <w:t xml:space="preserve">Transportation</w:t>
      </w:r>
      <w:r>
        <w:rPr>
          <w:i/>
          <w:iCs/>
        </w:rPr>
        <w:t xml:space="preserve"> </w:t>
      </w:r>
      <w:r>
        <w:rPr>
          <w:i/>
          <w:iCs/>
        </w:rPr>
        <w:t xml:space="preserve">Statistics</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2024</w:t>
      </w:r>
      <w:r>
        <w:t xml:space="preserve">. Bureau of Transportation Statistics.</w:t>
      </w:r>
      <w:r>
        <w:t xml:space="preserve"> </w:t>
      </w:r>
      <w:hyperlink r:id="rId30">
        <w:r>
          <w:rPr>
            <w:rStyle w:val="Hyperlink"/>
          </w:rPr>
          <w:t xml:space="preserve">https://doi.org/10.21949/E0KQ-GF72</w:t>
        </w:r>
      </w:hyperlink>
      <w:r>
        <w:t xml:space="preserve">.</w:t>
      </w:r>
    </w:p>
    <w:bookmarkEnd w:id="31"/>
    <w:bookmarkStart w:id="33"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2">
        <w:r>
          <w:rPr>
            <w:rStyle w:val="Hyperlink"/>
          </w:rPr>
          <w:t xml:space="preserve">https://doi.org/10.3141/2010-14</w:t>
        </w:r>
      </w:hyperlink>
      <w:r>
        <w:t xml:space="preserve">.</w:t>
      </w:r>
    </w:p>
    <w:bookmarkEnd w:id="33"/>
    <w:bookmarkStart w:id="35"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4">
        <w:r>
          <w:rPr>
            <w:rStyle w:val="Hyperlink"/>
          </w:rPr>
          <w:t xml:space="preserve">https://doi.org/10.1007/s11116-006-0005-5</w:t>
        </w:r>
      </w:hyperlink>
      <w:r>
        <w:t xml:space="preserve">.</w:t>
      </w:r>
    </w:p>
    <w:bookmarkEnd w:id="35"/>
    <w:bookmarkStart w:id="36" w:name="ref-copperman_exploratory_2007"/>
    <w:p>
      <w:pPr>
        <w:pStyle w:val="Bibliography"/>
      </w:pPr>
      <w:r>
        <w:t xml:space="preserve">Copperman, Rachel B, and Chandra R Bhat. 2007b.</w:t>
      </w:r>
      <w:r>
        <w:t xml:space="preserve"> </w:t>
      </w:r>
      <w:r>
        <w:rPr>
          <w:i/>
          <w:iCs/>
        </w:rPr>
        <w:t xml:space="preserve">An</w:t>
      </w:r>
      <w:r>
        <w:rPr>
          <w:i/>
          <w:iCs/>
        </w:rPr>
        <w:t xml:space="preserve"> </w:t>
      </w:r>
      <w:r>
        <w:rPr>
          <w:i/>
          <w:iCs/>
        </w:rPr>
        <w:t xml:space="preserve">Exploratory</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Children</w:t>
      </w:r>
      <w:r>
        <w:rPr>
          <w:i/>
          <w:iCs/>
        </w:rPr>
        <w:t xml:space="preserve">’s</w:t>
      </w:r>
      <w:r>
        <w:rPr>
          <w:i/>
          <w:iCs/>
        </w:rPr>
        <w:t xml:space="preserve"> </w:t>
      </w:r>
      <w:r>
        <w:rPr>
          <w:i/>
          <w:iCs/>
        </w:rPr>
        <w:t xml:space="preserve">Daily</w:t>
      </w:r>
      <w:r>
        <w:rPr>
          <w:i/>
          <w:iCs/>
        </w:rPr>
        <w:t xml:space="preserve"> </w:t>
      </w:r>
      <w:r>
        <w:rPr>
          <w:i/>
          <w:iCs/>
        </w:rPr>
        <w:t xml:space="preserve">Time</w:t>
      </w:r>
      <w:r>
        <w:rPr>
          <w:i/>
          <w:iCs/>
        </w:rPr>
        <w:t xml:space="preserve">-</w:t>
      </w:r>
      <w:r>
        <w:rPr>
          <w:i/>
          <w:iCs/>
        </w:rPr>
        <w:t xml:space="preserve">Use</w:t>
      </w:r>
      <w:r>
        <w:rPr>
          <w:i/>
          <w:iCs/>
        </w:rPr>
        <w:t xml:space="preserve"> </w:t>
      </w:r>
      <w:r>
        <w:rPr>
          <w:i/>
          <w:iCs/>
        </w:rPr>
        <w:t xml:space="preserve">and</w:t>
      </w:r>
      <w:r>
        <w:rPr>
          <w:i/>
          <w:iCs/>
        </w:rPr>
        <w:t xml:space="preserve"> </w:t>
      </w:r>
      <w:r>
        <w:rPr>
          <w:i/>
          <w:iCs/>
        </w:rPr>
        <w:t xml:space="preserve">Activity</w:t>
      </w:r>
      <w:r>
        <w:rPr>
          <w:i/>
          <w:iCs/>
        </w:rPr>
        <w:t xml:space="preserve"> </w:t>
      </w:r>
      <w:r>
        <w:rPr>
          <w:i/>
          <w:iCs/>
        </w:rPr>
        <w:t xml:space="preserve">Patterns</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Development</w:t>
      </w:r>
      <w:r>
        <w:rPr>
          <w:i/>
          <w:iCs/>
        </w:rPr>
        <w:t xml:space="preserve"> </w:t>
      </w:r>
      <w:r>
        <w:rPr>
          <w:i/>
          <w:iCs/>
        </w:rPr>
        <w:t xml:space="preserve">Supplement</w:t>
      </w:r>
      <w:r>
        <w:rPr>
          <w:i/>
          <w:iCs/>
        </w:rPr>
        <w:t xml:space="preserve"> </w:t>
      </w:r>
      <w:r>
        <w:rPr>
          <w:i/>
          <w:iCs/>
        </w:rPr>
        <w:t xml:space="preserve">(</w:t>
      </w:r>
      <w:r>
        <w:rPr>
          <w:i/>
          <w:iCs/>
        </w:rPr>
        <w:t xml:space="preserve">CDS</w:t>
      </w:r>
      <w:r>
        <w:rPr>
          <w:i/>
          <w:iCs/>
        </w:rPr>
        <w:t xml:space="preserve">) to the</w:t>
      </w:r>
      <w:r>
        <w:rPr>
          <w:i/>
          <w:iCs/>
        </w:rPr>
        <w:t xml:space="preserve"> </w:t>
      </w:r>
      <w:r>
        <w:rPr>
          <w:i/>
          <w:iCs/>
        </w:rPr>
        <w:t xml:space="preserve">US</w:t>
      </w:r>
      <w:r>
        <w:rPr>
          <w:i/>
          <w:iCs/>
        </w:rPr>
        <w:t xml:space="preserve"> </w:t>
      </w:r>
      <w:r>
        <w:rPr>
          <w:i/>
          <w:iCs/>
        </w:rPr>
        <w:t xml:space="preserve">Panel</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Income</w:t>
      </w:r>
      <w:r>
        <w:rPr>
          <w:i/>
          <w:iCs/>
        </w:rPr>
        <w:t xml:space="preserve"> </w:t>
      </w:r>
      <w:r>
        <w:rPr>
          <w:i/>
          <w:iCs/>
        </w:rPr>
        <w:t xml:space="preserve">Dynamics</w:t>
      </w:r>
      <w:r>
        <w:rPr>
          <w:i/>
          <w:iCs/>
        </w:rPr>
        <w:t xml:space="preserve"> </w:t>
      </w:r>
      <w:r>
        <w:rPr>
          <w:i/>
          <w:iCs/>
        </w:rPr>
        <w:t xml:space="preserve">(</w:t>
      </w:r>
      <w:r>
        <w:rPr>
          <w:i/>
          <w:iCs/>
        </w:rPr>
        <w:t xml:space="preserve">PSID</w:t>
      </w:r>
      <w:r>
        <w:rPr>
          <w:i/>
          <w:iCs/>
        </w:rPr>
        <w:t xml:space="preserve">)</w:t>
      </w:r>
      <w:r>
        <w:t xml:space="preserve">.</w:t>
      </w:r>
    </w:p>
    <w:bookmarkEnd w:id="36"/>
    <w:bookmarkStart w:id="38"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37">
        <w:r>
          <w:rPr>
            <w:rStyle w:val="Hyperlink"/>
          </w:rPr>
          <w:t xml:space="preserve">https://doi.org/10.3141/2531-04</w:t>
        </w:r>
      </w:hyperlink>
      <w:r>
        <w:t xml:space="preserve">.</w:t>
      </w:r>
    </w:p>
    <w:bookmarkEnd w:id="38"/>
    <w:bookmarkStart w:id="40" w:name="ref-duncan_estimating_2023"/>
    <w:p>
      <w:pPr>
        <w:pStyle w:val="Bibliography"/>
      </w:pPr>
      <w:r>
        <w:t xml:space="preserve">Duncan, Karen A., Kristyn Frank, and Anne Guèvremont. 2023.</w:t>
      </w:r>
      <w:r>
        <w:t xml:space="preserve"> </w:t>
      </w:r>
      <w:r>
        <w:rPr>
          <w:i/>
          <w:iCs/>
        </w:rPr>
        <w:t xml:space="preserve">Estimating</w:t>
      </w:r>
      <w:r>
        <w:rPr>
          <w:i/>
          <w:iCs/>
        </w:rPr>
        <w:t xml:space="preserve"> </w:t>
      </w:r>
      <w:r>
        <w:rPr>
          <w:i/>
          <w:iCs/>
        </w:rPr>
        <w:t xml:space="preserve">Expenditures</w:t>
      </w:r>
      <w:r>
        <w:rPr>
          <w:i/>
          <w:iCs/>
        </w:rPr>
        <w:t xml:space="preserve"> </w:t>
      </w:r>
      <w:r>
        <w:rPr>
          <w:i/>
          <w:iCs/>
        </w:rPr>
        <w:t xml:space="preserve">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w:t>
      </w:r>
      <w:r>
        <w:rPr>
          <w:i/>
          <w:iCs/>
        </w:rPr>
        <w:t xml:space="preserve">in</w:t>
      </w:r>
      <w:r>
        <w:rPr>
          <w:i/>
          <w:iCs/>
        </w:rPr>
        <w:t xml:space="preserve"> </w:t>
      </w:r>
      <w:r>
        <w:rPr>
          <w:i/>
          <w:iCs/>
        </w:rPr>
        <w:t xml:space="preserve">Canada</w:t>
      </w:r>
      <w:r>
        <w:rPr>
          <w:i/>
          <w:iCs/>
        </w:rPr>
        <w:t xml:space="preserve">, 2014 to 2017</w:t>
      </w:r>
      <w:r>
        <w:t xml:space="preserve">. September.</w:t>
      </w:r>
      <w:r>
        <w:t xml:space="preserve"> </w:t>
      </w:r>
      <w:hyperlink r:id="rId39">
        <w:r>
          <w:rPr>
            <w:rStyle w:val="Hyperlink"/>
          </w:rPr>
          <w:t xml:space="preserve">https://doi.org/10.25318/11F0019M2023007-ENG</w:t>
        </w:r>
      </w:hyperlink>
      <w:r>
        <w:t xml:space="preserve">.</w:t>
      </w:r>
    </w:p>
    <w:bookmarkEnd w:id="40"/>
    <w:bookmarkStart w:id="42"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1">
        <w:r>
          <w:rPr>
            <w:rStyle w:val="Hyperlink"/>
          </w:rPr>
          <w:t xml:space="preserve">https://doi.org/10.1007/s11116-010-9264-2</w:t>
        </w:r>
      </w:hyperlink>
      <w:r>
        <w:t xml:space="preserve">.</w:t>
      </w:r>
    </w:p>
    <w:bookmarkEnd w:id="42"/>
    <w:bookmarkStart w:id="44"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3">
        <w:r>
          <w:rPr>
            <w:rStyle w:val="Hyperlink"/>
          </w:rPr>
          <w:t xml:space="preserve">https://doi.org/10.1007/s10834-006-9031-x</w:t>
        </w:r>
      </w:hyperlink>
      <w:r>
        <w:t xml:space="preserve">.</w:t>
      </w:r>
    </w:p>
    <w:bookmarkEnd w:id="44"/>
    <w:bookmarkStart w:id="46"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5">
        <w:r>
          <w:rPr>
            <w:rStyle w:val="Hyperlink"/>
          </w:rPr>
          <w:t xml:space="preserve">https://doi.org/10.3141/2077-09</w:t>
        </w:r>
      </w:hyperlink>
      <w:r>
        <w:t xml:space="preserve">.</w:t>
      </w:r>
    </w:p>
    <w:bookmarkEnd w:id="46"/>
    <w:bookmarkStart w:id="47" w:name="ref-hargunani_study_2024"/>
    <w:p>
      <w:pPr>
        <w:pStyle w:val="Bibliography"/>
      </w:pPr>
      <w:r>
        <w:t xml:space="preserve">Hargunani, Chahat, Sachin Vernekar, and Shradha Vernekar. 2024.</w:t>
      </w:r>
      <w: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SPENDING</w:t>
      </w:r>
      <w:r>
        <w:rPr>
          <w:i/>
          <w:iCs/>
        </w:rPr>
        <w:t xml:space="preserve">,</w:t>
      </w:r>
      <w:r>
        <w:rPr>
          <w:i/>
          <w:iCs/>
        </w:rPr>
        <w:t xml:space="preserve"> </w:t>
      </w:r>
      <w:r>
        <w:rPr>
          <w:i/>
          <w:iCs/>
        </w:rPr>
        <w:t xml:space="preserve">SAVING</w:t>
      </w:r>
      <w:r>
        <w:rPr>
          <w:i/>
          <w:iCs/>
        </w:rPr>
        <w:t xml:space="preserve"> </w:t>
      </w:r>
      <w:r>
        <w:rPr>
          <w:i/>
          <w:iCs/>
        </w:rPr>
        <w:t xml:space="preserve">AND</w:t>
      </w:r>
      <w:r>
        <w:rPr>
          <w:i/>
          <w:iCs/>
        </w:rPr>
        <w:t xml:space="preserve"> </w:t>
      </w:r>
      <w:r>
        <w:rPr>
          <w:i/>
          <w:iCs/>
        </w:rPr>
        <w:t xml:space="preserve">INVESTMENT</w:t>
      </w:r>
      <w:r>
        <w:rPr>
          <w:i/>
          <w:iCs/>
        </w:rPr>
        <w:t xml:space="preserve"> </w:t>
      </w:r>
      <w:r>
        <w:rPr>
          <w:i/>
          <w:iCs/>
        </w:rPr>
        <w:t xml:space="preserve">PATTERNS</w:t>
      </w:r>
      <w:r>
        <w:rPr>
          <w:i/>
          <w:iCs/>
        </w:rPr>
        <w:t xml:space="preserve"> </w:t>
      </w:r>
      <w:r>
        <w:rPr>
          <w:i/>
          <w:iCs/>
        </w:rPr>
        <w:t xml:space="preserve">OF</w:t>
      </w:r>
      <w:r>
        <w:rPr>
          <w:i/>
          <w:iCs/>
        </w:rPr>
        <w:t xml:space="preserve"> </w:t>
      </w:r>
      <w:r>
        <w:rPr>
          <w:i/>
          <w:iCs/>
        </w:rPr>
        <w:t xml:space="preserve">MARRIED</w:t>
      </w:r>
      <w:r>
        <w:rPr>
          <w:i/>
          <w:iCs/>
        </w:rPr>
        <w:t xml:space="preserve"> </w:t>
      </w:r>
      <w:r>
        <w:rPr>
          <w:i/>
          <w:iCs/>
        </w:rPr>
        <w:t xml:space="preserve">COUPLES</w:t>
      </w:r>
      <w:r>
        <w:rPr>
          <w:i/>
          <w:iCs/>
        </w:rPr>
        <w:t xml:space="preserve"> </w:t>
      </w:r>
      <w:r>
        <w:rPr>
          <w:i/>
          <w:iCs/>
        </w:rPr>
        <w:t xml:space="preserve">WITH</w:t>
      </w:r>
      <w:r>
        <w:rPr>
          <w:i/>
          <w:iCs/>
        </w:rPr>
        <w:t xml:space="preserve"> </w:t>
      </w:r>
      <w:r>
        <w:rPr>
          <w:i/>
          <w:iCs/>
        </w:rPr>
        <w:t xml:space="preserve">CHILDREN</w:t>
      </w:r>
      <w:r>
        <w:rPr>
          <w:i/>
          <w:iCs/>
        </w:rPr>
        <w:t xml:space="preserve">(</w:t>
      </w:r>
      <w:r>
        <w:rPr>
          <w:i/>
          <w:iCs/>
        </w:rPr>
        <w:t xml:space="preserve">NON</w:t>
      </w:r>
      <w:r>
        <w:rPr>
          <w:i/>
          <w:iCs/>
        </w:rPr>
        <w:t xml:space="preserve">-</w:t>
      </w:r>
      <w:r>
        <w:rPr>
          <w:i/>
          <w:iCs/>
        </w:rPr>
        <w:t xml:space="preserve">DINK</w:t>
      </w:r>
      <w:r>
        <w:rPr>
          <w:i/>
          <w:iCs/>
        </w:rPr>
        <w:t xml:space="preserve">)</w:t>
      </w:r>
      <w:r>
        <w:rPr>
          <w:i/>
          <w:iCs/>
        </w:rPr>
        <w:t xml:space="preserve"> </w:t>
      </w:r>
      <w:r>
        <w:rPr>
          <w:i/>
          <w:iCs/>
        </w:rPr>
        <w:t xml:space="preserve">IN</w:t>
      </w:r>
      <w:r>
        <w:rPr>
          <w:i/>
          <w:iCs/>
        </w:rPr>
        <w:t xml:space="preserve"> </w:t>
      </w:r>
      <w:r>
        <w:rPr>
          <w:i/>
          <w:iCs/>
        </w:rPr>
        <w:t xml:space="preserve">MUMBAI</w:t>
      </w:r>
      <w:r>
        <w:t xml:space="preserve">. 20 (1).</w:t>
      </w:r>
    </w:p>
    <w:bookmarkEnd w:id="47"/>
    <w:bookmarkStart w:id="49"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48">
        <w:r>
          <w:rPr>
            <w:rStyle w:val="Hyperlink"/>
          </w:rPr>
          <w:t xml:space="preserve">https://doi.org/10.1177/23780231221103054</w:t>
        </w:r>
      </w:hyperlink>
      <w:r>
        <w:t xml:space="preserve">.</w:t>
      </w:r>
    </w:p>
    <w:bookmarkEnd w:id="49"/>
    <w:bookmarkStart w:id="51"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0">
        <w:r>
          <w:rPr>
            <w:rStyle w:val="Hyperlink"/>
          </w:rPr>
          <w:t xml:space="preserve">https://doi.org/10.1300/J073v18n02_02</w:t>
        </w:r>
      </w:hyperlink>
      <w:r>
        <w:t xml:space="preserve">.</w:t>
      </w:r>
    </w:p>
    <w:bookmarkEnd w:id="51"/>
    <w:bookmarkStart w:id="53"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52">
        <w:r>
          <w:rPr>
            <w:rStyle w:val="Hyperlink"/>
          </w:rPr>
          <w:t xml:space="preserve">https://heinonline.org/HOL/P?h=hein.journals/month124&amp;i=482</w:t>
        </w:r>
      </w:hyperlink>
      <w:r>
        <w:t xml:space="preserve">.</w:t>
      </w:r>
    </w:p>
    <w:bookmarkEnd w:id="53"/>
    <w:bookmarkStart w:id="55"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4">
        <w:r>
          <w:rPr>
            <w:rStyle w:val="Hyperlink"/>
          </w:rPr>
          <w:t xml:space="preserve">https://doi.org/10.1177/0739456X20950428</w:t>
        </w:r>
      </w:hyperlink>
      <w:r>
        <w:t xml:space="preserve">.</w:t>
      </w:r>
    </w:p>
    <w:bookmarkEnd w:id="55"/>
    <w:bookmarkStart w:id="57"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6">
        <w:r>
          <w:rPr>
            <w:rStyle w:val="Hyperlink"/>
          </w:rPr>
          <w:t xml:space="preserve">https://doi.org/10.1016/j.jtrangeo.2018.12.015</w:t>
        </w:r>
      </w:hyperlink>
      <w:r>
        <w:t xml:space="preserve">.</w:t>
      </w:r>
    </w:p>
    <w:bookmarkEnd w:id="57"/>
    <w:bookmarkStart w:id="59" w:name="ref-lino_expenditures_2017"/>
    <w:p>
      <w:pPr>
        <w:pStyle w:val="Bibliography"/>
      </w:pPr>
      <w:r>
        <w:t xml:space="preserve">Lino, Mark, Kevin Kuczynski, Nestor Rodriguez, and TusaRebecca Schap. 2017.</w:t>
      </w:r>
      <w:r>
        <w:t xml:space="preserve"> </w:t>
      </w:r>
      <w:r>
        <w:rPr>
          <w:i/>
          <w:iCs/>
        </w:rPr>
        <w:t xml:space="preserve">Expenditures 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2015</w:t>
      </w:r>
      <w:r>
        <w:t xml:space="preserve">. United States Department of Agriculture.</w:t>
      </w:r>
      <w:r>
        <w:t xml:space="preserve"> </w:t>
      </w:r>
      <w:hyperlink r:id="rId58">
        <w:r>
          <w:rPr>
            <w:rStyle w:val="Hyperlink"/>
          </w:rPr>
          <w:t xml:space="preserve">https://doi.org/10.22004/ag.econ.327257</w:t>
        </w:r>
      </w:hyperlink>
      <w:r>
        <w:t xml:space="preserve">.</w:t>
      </w:r>
    </w:p>
    <w:bookmarkEnd w:id="59"/>
    <w:bookmarkStart w:id="61"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0">
        <w:r>
          <w:rPr>
            <w:rStyle w:val="Hyperlink"/>
          </w:rPr>
          <w:t xml:space="preserve">https://doi.org/10.1016/j.tra.2022.02.003</w:t>
        </w:r>
      </w:hyperlink>
      <w:r>
        <w:t xml:space="preserve">.</w:t>
      </w:r>
    </w:p>
    <w:bookmarkEnd w:id="61"/>
    <w:bookmarkStart w:id="63"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2">
        <w:r>
          <w:rPr>
            <w:rStyle w:val="Hyperlink"/>
          </w:rPr>
          <w:t xml:space="preserve">https://doi.org/10.1016/j.trip.2020.100260</w:t>
        </w:r>
      </w:hyperlink>
      <w:r>
        <w:t xml:space="preserve">.</w:t>
      </w:r>
    </w:p>
    <w:bookmarkEnd w:id="63"/>
    <w:bookmarkStart w:id="64" w:name="ref-mattson_relationships_2019"/>
    <w:p>
      <w:pPr>
        <w:pStyle w:val="Bibliography"/>
      </w:pPr>
      <w:r>
        <w:t xml:space="preserve">Mattson, Jeremy, and Del Peterson. 2019.</w:t>
      </w:r>
      <w:r>
        <w:t xml:space="preserve"> </w:t>
      </w:r>
      <w:r>
        <w:rPr>
          <w:i/>
          <w:iCs/>
        </w:rPr>
        <w:t xml:space="preserve">Relationships Between</w:t>
      </w:r>
      <w:r>
        <w:rPr>
          <w:i/>
          <w:iCs/>
        </w:rPr>
        <w:t xml:space="preserve"> </w:t>
      </w:r>
      <w:r>
        <w:rPr>
          <w:i/>
          <w:iCs/>
        </w:rPr>
        <w:t xml:space="preserve">Land</w:t>
      </w:r>
      <w:r>
        <w:rPr>
          <w:i/>
          <w:iCs/>
        </w:rPr>
        <w:t xml:space="preserve"> </w:t>
      </w:r>
      <w:r>
        <w:rPr>
          <w:i/>
          <w:iCs/>
        </w:rPr>
        <w:t xml:space="preserve">Use</w:t>
      </w:r>
      <w:r>
        <w:rPr>
          <w:i/>
          <w:iCs/>
        </w:rPr>
        <w:t xml:space="preserve">,</w:t>
      </w:r>
      <w:r>
        <w:rPr>
          <w:i/>
          <w:iCs/>
        </w:rPr>
        <w:t xml:space="preserve"> </w:t>
      </w:r>
      <w:r>
        <w:rPr>
          <w:i/>
          <w:iCs/>
        </w:rPr>
        <w:t xml:space="preserve">Transportation</w:t>
      </w:r>
      <w:r>
        <w:rPr>
          <w:i/>
          <w:iCs/>
        </w:rPr>
        <w:t xml:space="preserve">,</w:t>
      </w:r>
      <w:r>
        <w:rPr>
          <w:i/>
          <w:iCs/>
        </w:rPr>
        <w:t xml:space="preserve"> </w:t>
      </w:r>
      <w:r>
        <w:rPr>
          <w:i/>
          <w:iCs/>
        </w:rPr>
        <w:t xml:space="preserve">Household</w:t>
      </w:r>
      <w:r>
        <w:rPr>
          <w:i/>
          <w:iCs/>
        </w:rPr>
        <w:t xml:space="preserve"> </w:t>
      </w:r>
      <w:r>
        <w:rPr>
          <w:i/>
          <w:iCs/>
        </w:rPr>
        <w:t xml:space="preserve">Expenditures</w:t>
      </w:r>
      <w:r>
        <w:rPr>
          <w:i/>
          <w:iCs/>
        </w:rPr>
        <w:t xml:space="preserve">, and</w:t>
      </w:r>
      <w:r>
        <w:rPr>
          <w:i/>
          <w:iCs/>
        </w:rPr>
        <w:t xml:space="preserve"> </w:t>
      </w:r>
      <w:r>
        <w:rPr>
          <w:i/>
          <w:iCs/>
        </w:rPr>
        <w:t xml:space="preserve">Municipal</w:t>
      </w:r>
      <w:r>
        <w:rPr>
          <w:i/>
          <w:iCs/>
        </w:rPr>
        <w:t xml:space="preserve"> </w:t>
      </w:r>
      <w:r>
        <w:rPr>
          <w:i/>
          <w:iCs/>
        </w:rPr>
        <w:t xml:space="preserve">Spending</w:t>
      </w:r>
      <w:r>
        <w:rPr>
          <w:i/>
          <w:iCs/>
        </w:rPr>
        <w:t xml:space="preserve"> </w:t>
      </w:r>
      <w:r>
        <w:rPr>
          <w:i/>
          <w:iCs/>
        </w:rPr>
        <w:t xml:space="preserve">in</w:t>
      </w:r>
      <w:r>
        <w:rPr>
          <w:i/>
          <w:iCs/>
        </w:rPr>
        <w:t xml:space="preserve"> </w:t>
      </w:r>
      <w:r>
        <w:rPr>
          <w:i/>
          <w:iCs/>
        </w:rPr>
        <w:t xml:space="preserve">Small</w:t>
      </w:r>
      <w:r>
        <w:rPr>
          <w:i/>
          <w:iCs/>
        </w:rPr>
        <w:t xml:space="preserve"> </w:t>
      </w:r>
      <w:r>
        <w:rPr>
          <w:i/>
          <w:iCs/>
        </w:rPr>
        <w:t xml:space="preserve">Urban</w:t>
      </w:r>
      <w:r>
        <w:rPr>
          <w:i/>
          <w:iCs/>
        </w:rPr>
        <w:t xml:space="preserve"> </w:t>
      </w:r>
      <w:r>
        <w:rPr>
          <w:i/>
          <w:iCs/>
        </w:rPr>
        <w:t xml:space="preserve">Areas</w:t>
      </w:r>
      <w:r>
        <w:t xml:space="preserve">. December.</w:t>
      </w:r>
    </w:p>
    <w:bookmarkEnd w:id="64"/>
    <w:bookmarkStart w:id="66"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5">
        <w:r>
          <w:rPr>
            <w:rStyle w:val="Hyperlink"/>
          </w:rPr>
          <w:t xml:space="preserve">https://doi.org/10.1080/01441647.2017.1354942</w:t>
        </w:r>
      </w:hyperlink>
      <w:r>
        <w:t xml:space="preserve">.</w:t>
      </w:r>
    </w:p>
    <w:bookmarkEnd w:id="66"/>
    <w:bookmarkStart w:id="68"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7">
        <w:r>
          <w:rPr>
            <w:rStyle w:val="Hyperlink"/>
          </w:rPr>
          <w:t xml:space="preserve">https://doi.org/10.1177/03611981231174444</w:t>
        </w:r>
      </w:hyperlink>
      <w:r>
        <w:t xml:space="preserve">.</w:t>
      </w:r>
    </w:p>
    <w:bookmarkEnd w:id="68"/>
    <w:bookmarkStart w:id="70"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69">
        <w:r>
          <w:rPr>
            <w:rStyle w:val="Hyperlink"/>
          </w:rPr>
          <w:t xml:space="preserve">https://doi.org/10.1016/0191-2607(79)90051-7</w:t>
        </w:r>
      </w:hyperlink>
      <w:r>
        <w:t xml:space="preserve">.</w:t>
      </w:r>
    </w:p>
    <w:bookmarkEnd w:id="70"/>
    <w:bookmarkStart w:id="72"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1">
        <w:r>
          <w:rPr>
            <w:rStyle w:val="Hyperlink"/>
          </w:rPr>
          <w:t xml:space="preserve">https://doi.org/10.1080/000368498325868</w:t>
        </w:r>
      </w:hyperlink>
      <w:r>
        <w:t xml:space="preserve">.</w:t>
      </w:r>
    </w:p>
    <w:bookmarkEnd w:id="72"/>
    <w:bookmarkStart w:id="73" w:name="ref-osborne_updated_2021"/>
    <w:p>
      <w:pPr>
        <w:pStyle w:val="Bibliography"/>
      </w:pPr>
      <w:r>
        <w:t xml:space="preserve">Osborne, Cynthia, Erin Wu, and Kaeley Benson. 2021.</w:t>
      </w:r>
      <w:r>
        <w:t xml:space="preserve"> </w:t>
      </w:r>
      <w:r>
        <w:rPr>
          <w:i/>
          <w:iCs/>
        </w:rPr>
        <w:t xml:space="preserve">An</w:t>
      </w:r>
      <w:r>
        <w:rPr>
          <w:i/>
          <w:iCs/>
        </w:rPr>
        <w:t xml:space="preserve"> </w:t>
      </w:r>
      <w:r>
        <w:rPr>
          <w:i/>
          <w:iCs/>
        </w:rPr>
        <w:t xml:space="preserve">Updated</w:t>
      </w:r>
      <w:r>
        <w:rPr>
          <w:i/>
          <w:iCs/>
        </w:rPr>
        <w:t xml:space="preserve"> </w:t>
      </w:r>
      <w:r>
        <w:rPr>
          <w:i/>
          <w:iCs/>
        </w:rPr>
        <w:t xml:space="preserve">Estimation</w:t>
      </w:r>
      <w:r>
        <w:rPr>
          <w:i/>
          <w:iCs/>
        </w:rPr>
        <w:t xml:space="preserve"> </w:t>
      </w:r>
      <w:r>
        <w:rPr>
          <w:i/>
          <w:iCs/>
        </w:rPr>
        <w:t xml:space="preserve">Model</w:t>
      </w:r>
      <w:r>
        <w:rPr>
          <w:i/>
          <w:iCs/>
        </w:rPr>
        <w:t xml:space="preserve"> </w:t>
      </w:r>
      <w:r>
        <w:rPr>
          <w:i/>
          <w:iCs/>
        </w:rPr>
        <w:t xml:space="preserve">of the</w:t>
      </w:r>
      <w:r>
        <w:rPr>
          <w:i/>
          <w:iCs/>
        </w:rPr>
        <w:t xml:space="preserve"> </w:t>
      </w:r>
      <w:r>
        <w:rPr>
          <w:i/>
          <w:iCs/>
        </w:rPr>
        <w:t xml:space="preserve">Cost</w:t>
      </w:r>
      <w:r>
        <w:rPr>
          <w:i/>
          <w:iCs/>
        </w:rPr>
        <w:t xml:space="preserve"> </w:t>
      </w:r>
      <w:r>
        <w:rPr>
          <w:i/>
          <w:iCs/>
        </w:rPr>
        <w:t xml:space="preserve">of</w:t>
      </w:r>
      <w:r>
        <w:rPr>
          <w:i/>
          <w:iCs/>
        </w:rPr>
        <w:t xml:space="preserve"> </w:t>
      </w:r>
      <w:r>
        <w:rPr>
          <w:i/>
          <w:iCs/>
        </w:rPr>
        <w:t xml:space="preserve">Raising</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Texas</w:t>
      </w:r>
      <w:r>
        <w:t xml:space="preserve">.</w:t>
      </w:r>
    </w:p>
    <w:bookmarkEnd w:id="73"/>
    <w:bookmarkStart w:id="75"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4">
        <w:r>
          <w:rPr>
            <w:rStyle w:val="Hyperlink"/>
          </w:rPr>
          <w:t xml:space="preserve">https://doi.org/10.1007/s11116-010-9300-2</w:t>
        </w:r>
      </w:hyperlink>
      <w:r>
        <w:t xml:space="preserve">.</w:t>
      </w:r>
    </w:p>
    <w:bookmarkEnd w:id="75"/>
    <w:bookmarkStart w:id="77" w:name="ref-sabelhaus_is_2013"/>
    <w:p>
      <w:pPr>
        <w:pStyle w:val="Bibliography"/>
      </w:pPr>
      <w:r>
        <w:t xml:space="preserve">Sabelhaus, John, David Johnson, Stephen Ash, et al. 2013.</w:t>
      </w:r>
      <w:r>
        <w:t xml:space="preserve"> </w:t>
      </w:r>
      <w:r>
        <w:rPr>
          <w:i/>
          <w:iCs/>
        </w:rPr>
        <w:t xml:space="preserve">Is the</w:t>
      </w:r>
      <w:r>
        <w:rPr>
          <w:i/>
          <w:iCs/>
        </w:rPr>
        <w:t xml:space="preserve"> </w:t>
      </w:r>
      <w:r>
        <w:rPr>
          <w:i/>
          <w:iCs/>
        </w:rPr>
        <w:t xml:space="preserve">Consumer</w:t>
      </w:r>
      <w:r>
        <w:rPr>
          <w:i/>
          <w:iCs/>
        </w:rPr>
        <w:t xml:space="preserve"> </w:t>
      </w:r>
      <w:r>
        <w:rPr>
          <w:i/>
          <w:iCs/>
        </w:rPr>
        <w:t xml:space="preserve">Expenditure</w:t>
      </w:r>
      <w:r>
        <w:rPr>
          <w:i/>
          <w:iCs/>
        </w:rPr>
        <w:t xml:space="preserve"> </w:t>
      </w:r>
      <w:r>
        <w:rPr>
          <w:i/>
          <w:iCs/>
        </w:rPr>
        <w:t xml:space="preserve">Survey</w:t>
      </w:r>
      <w:r>
        <w:rPr>
          <w:i/>
          <w:iCs/>
        </w:rPr>
        <w:t xml:space="preserve"> </w:t>
      </w:r>
      <w:r>
        <w:rPr>
          <w:i/>
          <w:iCs/>
        </w:rPr>
        <w:t xml:space="preserve">Representative</w:t>
      </w:r>
      <w:r>
        <w:rPr>
          <w:i/>
          <w:iCs/>
        </w:rPr>
        <w:t xml:space="preserve"> </w:t>
      </w:r>
      <w:r>
        <w:rPr>
          <w:i/>
          <w:iCs/>
        </w:rPr>
        <w:t xml:space="preserve">by</w:t>
      </w:r>
      <w:r>
        <w:rPr>
          <w:i/>
          <w:iCs/>
        </w:rPr>
        <w:t xml:space="preserve"> </w:t>
      </w:r>
      <w:r>
        <w:rPr>
          <w:i/>
          <w:iCs/>
        </w:rPr>
        <w:t xml:space="preserve">Income</w:t>
      </w:r>
      <w:r>
        <w:rPr>
          <w:i/>
          <w:iCs/>
        </w:rPr>
        <w:t xml:space="preserve">?</w:t>
      </w:r>
      <w:r>
        <w:t xml:space="preserve"> No. w19589. National Bureau of Economic Research.</w:t>
      </w:r>
      <w:r>
        <w:t xml:space="preserve"> </w:t>
      </w:r>
      <w:hyperlink r:id="rId76">
        <w:r>
          <w:rPr>
            <w:rStyle w:val="Hyperlink"/>
          </w:rPr>
          <w:t xml:space="preserve">https://doi.org/10.3386/w19589</w:t>
        </w:r>
      </w:hyperlink>
      <w:r>
        <w:t xml:space="preserve">.</w:t>
      </w:r>
    </w:p>
    <w:bookmarkEnd w:id="77"/>
    <w:bookmarkStart w:id="79"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8">
        <w:r>
          <w:rPr>
            <w:rStyle w:val="Hyperlink"/>
          </w:rPr>
          <w:t xml:space="preserve">https://doi.org/10.1007/s11116-007-9125-9</w:t>
        </w:r>
      </w:hyperlink>
      <w:r>
        <w:t xml:space="preserve">.</w:t>
      </w:r>
    </w:p>
    <w:bookmarkEnd w:id="79"/>
    <w:bookmarkStart w:id="81"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0">
        <w:r>
          <w:rPr>
            <w:rStyle w:val="Hyperlink"/>
          </w:rPr>
          <w:t xml:space="preserve">https://doi.org/10.1007/s11116-008-9173-9</w:t>
        </w:r>
      </w:hyperlink>
      <w:r>
        <w:t xml:space="preserve">.</w:t>
      </w:r>
    </w:p>
    <w:bookmarkEnd w:id="81"/>
    <w:bookmarkStart w:id="83"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2">
        <w:r>
          <w:rPr>
            <w:rStyle w:val="Hyperlink"/>
          </w:rPr>
          <w:t xml:space="preserve">https://doi.org/10.2307/1924806</w:t>
        </w:r>
      </w:hyperlink>
      <w:r>
        <w:t xml:space="preserve">.</w:t>
      </w:r>
    </w:p>
    <w:bookmarkEnd w:id="83"/>
    <w:bookmarkStart w:id="85"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4">
        <w:r>
          <w:rPr>
            <w:rStyle w:val="Hyperlink"/>
          </w:rPr>
          <w:t xml:space="preserve">https://doi.org/10.1016/j.tranpol.2009.12.003</w:t>
        </w:r>
      </w:hyperlink>
      <w:r>
        <w:t xml:space="preserve">.</w:t>
      </w:r>
    </w:p>
    <w:bookmarkEnd w:id="85"/>
    <w:bookmarkStart w:id="87"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6">
        <w:r>
          <w:rPr>
            <w:rStyle w:val="Hyperlink"/>
          </w:rPr>
          <w:t xml:space="preserve">https://doi.org/10.1177/0361198105192600101</w:t>
        </w:r>
      </w:hyperlink>
      <w:r>
        <w:t xml:space="preserve">.</w:t>
      </w:r>
    </w:p>
    <w:bookmarkEnd w:id="87"/>
    <w:bookmarkStart w:id="89"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8">
        <w:r>
          <w:rPr>
            <w:rStyle w:val="Hyperlink"/>
          </w:rPr>
          <w:t xml:space="preserve">https://doi.org/10.1177/0361198106198500128</w:t>
        </w:r>
      </w:hyperlink>
      <w:r>
        <w:t xml:space="preserve">.</w:t>
      </w:r>
    </w:p>
    <w:bookmarkEnd w:id="89"/>
    <w:bookmarkEnd w:id="90"/>
    <w:bookmarkEnd w:id="91"/>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8" Target="https://doi.org/10.1007/s11116-007-9125-9" TargetMode="External" /><Relationship Type="http://schemas.openxmlformats.org/officeDocument/2006/relationships/hyperlink" Id="rId80"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4" Target="https://doi.org/10.1007/s11116-010-9300-2" TargetMode="External" /><Relationship Type="http://schemas.openxmlformats.org/officeDocument/2006/relationships/hyperlink" Id="rId69" Target="https://doi.org/10.1016/0191-2607(79)90051-7" TargetMode="External" /><Relationship Type="http://schemas.openxmlformats.org/officeDocument/2006/relationships/hyperlink" Id="rId56"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60" Target="https://doi.org/10.1016/j.tra.2022.02.003" TargetMode="External" /><Relationship Type="http://schemas.openxmlformats.org/officeDocument/2006/relationships/hyperlink" Id="rId84"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2"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71" Target="https://doi.org/10.1080/000368498325868" TargetMode="External" /><Relationship Type="http://schemas.openxmlformats.org/officeDocument/2006/relationships/hyperlink" Id="rId65" Target="https://doi.org/10.1080/01441647.2017.1354942" TargetMode="External" /><Relationship Type="http://schemas.openxmlformats.org/officeDocument/2006/relationships/hyperlink" Id="rId86" Target="https://doi.org/10.1177/0361198105192600101" TargetMode="External" /><Relationship Type="http://schemas.openxmlformats.org/officeDocument/2006/relationships/hyperlink" Id="rId88" Target="https://doi.org/10.1177/0361198106198500128" TargetMode="External" /><Relationship Type="http://schemas.openxmlformats.org/officeDocument/2006/relationships/hyperlink" Id="rId67" Target="https://doi.org/10.1177/03611981231174444" TargetMode="External" /><Relationship Type="http://schemas.openxmlformats.org/officeDocument/2006/relationships/hyperlink" Id="rId54"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8" Target="https://doi.org/10.22004/ag.econ.327257" TargetMode="External" /><Relationship Type="http://schemas.openxmlformats.org/officeDocument/2006/relationships/hyperlink" Id="rId82"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6" Target="https://doi.org/10.3386/w19589" TargetMode="External" /><Relationship Type="http://schemas.openxmlformats.org/officeDocument/2006/relationships/hyperlink" Id="rId52"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8" Target="https://doi.org/10.1007/s11116-007-9125-9" TargetMode="External" /><Relationship Type="http://schemas.openxmlformats.org/officeDocument/2006/relationships/hyperlink" Id="rId80"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4" Target="https://doi.org/10.1007/s11116-010-9300-2" TargetMode="External" /><Relationship Type="http://schemas.openxmlformats.org/officeDocument/2006/relationships/hyperlink" Id="rId69" Target="https://doi.org/10.1016/0191-2607(79)90051-7" TargetMode="External" /><Relationship Type="http://schemas.openxmlformats.org/officeDocument/2006/relationships/hyperlink" Id="rId56"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60" Target="https://doi.org/10.1016/j.tra.2022.02.003" TargetMode="External" /><Relationship Type="http://schemas.openxmlformats.org/officeDocument/2006/relationships/hyperlink" Id="rId84"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2"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71" Target="https://doi.org/10.1080/000368498325868" TargetMode="External" /><Relationship Type="http://schemas.openxmlformats.org/officeDocument/2006/relationships/hyperlink" Id="rId65" Target="https://doi.org/10.1080/01441647.2017.1354942" TargetMode="External" /><Relationship Type="http://schemas.openxmlformats.org/officeDocument/2006/relationships/hyperlink" Id="rId86" Target="https://doi.org/10.1177/0361198105192600101" TargetMode="External" /><Relationship Type="http://schemas.openxmlformats.org/officeDocument/2006/relationships/hyperlink" Id="rId88" Target="https://doi.org/10.1177/0361198106198500128" TargetMode="External" /><Relationship Type="http://schemas.openxmlformats.org/officeDocument/2006/relationships/hyperlink" Id="rId67" Target="https://doi.org/10.1177/03611981231174444" TargetMode="External" /><Relationship Type="http://schemas.openxmlformats.org/officeDocument/2006/relationships/hyperlink" Id="rId54"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8" Target="https://doi.org/10.22004/ag.econ.327257" TargetMode="External" /><Relationship Type="http://schemas.openxmlformats.org/officeDocument/2006/relationships/hyperlink" Id="rId82"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6" Target="https://doi.org/10.3386/w19589" TargetMode="External" /><Relationship Type="http://schemas.openxmlformats.org/officeDocument/2006/relationships/hyperlink" Id="rId52"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2026-02-16T19:01:44Z</dcterms:created>
  <dcterms:modified xsi:type="dcterms:W3CDTF">2026-02-16T19:01:44Z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2026-02-16</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