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Unpacking Household Budgeting Strategies through a Transportation Lens</w:t>
      </w:r>
    </w:p>
    <w:p>
      <w:pPr>
        <w:pStyle w:val="Author"/>
      </w:pPr>
      <w:r>
        <w:t xml:space="preserve">Kamryn Mansfield</w:t>
      </w:r>
    </w:p>
    <w:p>
      <w:pPr>
        <w:pStyle w:val="Author"/>
      </w:pPr>
      <w:r>
        <w:t xml:space="preserve">Katie Asmussen</w:t>
      </w:r>
    </w:p>
    <w:p>
      <w:pPr>
        <w:pStyle w:val="Date"/>
      </w:pPr>
      <w:r>
        <w:t xml:space="preserve">2026-03-13</w:t>
      </w:r>
    </w:p>
    <w:p>
      <w:pPr>
        <w:pStyle w:val="AbstractTitle"/>
      </w:pPr>
      <w:r>
        <w:t xml:space="preserve">Abstract</w:t>
      </w:r>
    </w:p>
    <w:p>
      <w:pPr>
        <w:pStyle w:val="Abstract"/>
      </w:pPr>
      <w:r>
        <w:t xml:space="preserve">This is where we will put our abstract.</w:t>
      </w:r>
    </w:p>
    <w:p>
      <w:pPr>
        <w:pStyle w:val="FirstParagraph"/>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Start w:id="10" w:name="introduction"/>
    <w:p>
      <w:pPr>
        <w:pStyle w:val="Heading2"/>
      </w:pPr>
      <w:r>
        <w:t xml:space="preserve">1 Introduction</w:t>
      </w:r>
    </w:p>
    <w:p>
      <w:pPr>
        <w:pStyle w:val="FirstParagraph"/>
      </w:pPr>
      <w:r>
        <w:t xml:space="preserve">Households juggle how to allocate their budgets: whether to invest in a reliable car, pay for quality childcare, secure housing in a good school district, or set money aside for leisure. These everyday choices shape how families live and move, reflecting the trade-offs they make to balance competing priorities. Transportation often sits at the center of these decisions, not only because it can be a significant expense, but also because choosing to buy and maintain a car versus relying on public transit represents a long-term commitment and a broader lifestyle choice. The way U.S. households choose to spend their money provides evidence of the weight of transportation decisions in a household. For the last 20 years, the average household has allocated between 15 and 20 percent of its budget on transportation expenditures</w:t>
      </w:r>
      <w:r>
        <w:t xml:space="preserve"> </w:t>
      </w:r>
      <w:r>
        <w:t xml:space="preserve">(Bureau of Transportation Statistics 2024)</w:t>
      </w:r>
      <w:r>
        <w:t xml:space="preserve">. That is almost double what it was 100 years ago</w:t>
      </w:r>
      <w:r>
        <w:t xml:space="preserve"> </w:t>
      </w:r>
      <w:r>
        <w:t xml:space="preserve">(Johnson et al. 2001)</w:t>
      </w:r>
      <w:r>
        <w:t xml:space="preserve">. This means that either families are traveling more than they used to or that transportation has become more expensive compared to other household expenditures. Either way, the amount of budget that is put towards a household’s travel indicates that transportation is an important part of a family’s daily life. The fact that lower income households often have a larger portion of their budget spent on transportation further shows the major role it plays in household decisions and suggests that transportation decisions might have a broader effect on other household expenditures</w:t>
      </w:r>
      <w:r>
        <w:t xml:space="preserve"> </w:t>
      </w:r>
      <w:r>
        <w:t xml:space="preserve">(Molloy et al. 2024)</w:t>
      </w:r>
      <w:r>
        <w:t xml:space="preserve">.</w:t>
      </w:r>
    </w:p>
    <w:p>
      <w:pPr>
        <w:pStyle w:val="BodyText"/>
      </w:pPr>
      <w:r>
        <w:t xml:space="preserve">While transportation is a big portion of the average household’s budget, its relative weight compared to housing, childcare, and other spending varies widely across families. Household characteristics like family size, income, car ownership, and location play a role in how much they spend on transportation. For example, people with bigger families or living in single-family homes tend to spend more on transportation</w:t>
      </w:r>
      <w:r>
        <w:t xml:space="preserve"> </w:t>
      </w:r>
      <w:r>
        <w:t xml:space="preserve">(Mattson 2020)</w:t>
      </w:r>
      <w:r>
        <w:t xml:space="preserve">. The relationship between household budgeting and mobility is shaped not only by household demographics but also by how families prioritize and weight different needs. On one hand, mobility resources such as car ownership can structure the household budget: households with no or only one vehicle may spend far less on transportation, freeing up income for other essential or discretionary categories. On the other hand, underlying family structures and preferences can drive budget allocation choices that, in turn, shape transportation behavior. Larger families may prioritize childcare or invest in higher-quality housing in areas with better schools, limiting what remains for transportation. Others may emphasize frugality across all categories or deliberately substitute toward lower-cost transit options. Understanding both the direction of influence and the weight assigned to different budget categories is critical for transportation planning and policy, as these dynamics reveal how families navigate competing priorities under varying demographic and mobility contexts.</w:t>
      </w:r>
    </w:p>
    <w:p>
      <w:pPr>
        <w:pStyle w:val="BodyText"/>
      </w:pPr>
      <w:r>
        <w:t xml:space="preserve">The purpose of this research is to explore how household budgets are structured around transportation decisions and how this impacts other spending categories. Using the Consumer Expenditure Survey (CEX), we will perform a Latent Class Analysis (LCA) to find groupings based on a household’s transportation expenses. These groupings can help us find groups of spenders with similar patterns to help us predict transportation expenses based on the household’s characteristics.</w:t>
      </w:r>
    </w:p>
    <w:p>
      <w:pPr>
        <w:pStyle w:val="BodyText"/>
      </w:pPr>
      <w:r>
        <w:rPr>
          <w:i/>
          <w:iCs/>
        </w:rPr>
        <w:t xml:space="preserve">Things I haven’t included but could maybe include in the future?</w:t>
      </w:r>
    </w:p>
    <w:p>
      <w:pPr>
        <w:pStyle w:val="Compact"/>
        <w:numPr>
          <w:ilvl w:val="0"/>
          <w:numId w:val="1001"/>
        </w:numPr>
      </w:pPr>
      <w:r>
        <w:t xml:space="preserve">Since 1960, a larger percent of US households have at least one car. It was in the 80s when the percentage of 2-car households surpassed the percentage of 1-car households</w:t>
      </w:r>
      <w:r>
        <w:t xml:space="preserve"> </w:t>
      </w:r>
      <w:r>
        <w:t xml:space="preserve">(Bureau of Transportation Statistics 2024)</w:t>
      </w:r>
    </w:p>
    <w:bookmarkEnd w:id="10"/>
    <w:bookmarkStart w:id="20" w:name="literature-review"/>
    <w:p>
      <w:pPr>
        <w:pStyle w:val="Heading2"/>
      </w:pPr>
      <w:r>
        <w:t xml:space="preserve">2 Literature Review</w:t>
      </w:r>
    </w:p>
    <w:p>
      <w:pPr>
        <w:pStyle w:val="FirstParagraph"/>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hyperlink w:anchor="tbl-lit-summary">
        <w:r>
          <w:rPr>
            <w:rStyle w:val="Hyperlink"/>
          </w:rPr>
          <w:t xml:space="preserve">Table 1</w:t>
        </w:r>
      </w:hyperlink>
      <w:r>
        <w:t xml:space="preserve"> </w:t>
      </w:r>
      <w:r>
        <w:t xml:space="preserve">summarizes the literature that was reviewed for this study. As seen in the table, there were a total of 35 studies reviewed with 19 studies that use the consumer expenditure survey. The literature relating to this study has been classified into four categories: (1) Household Choices and Activity Patterns, (2) Household Transportation Choices, (3) Household Spending and Budgets, and (4) Household Transportation Budgets. The following sections describe the relevant findings from literature in each of these groups.</w:t>
      </w:r>
    </w:p>
    <w:tbl>
      <w:tblPr>
        <w:tblStyle w:val="Table"/>
        <w:tblW w:type="pct" w:w="5000"/>
        <w:tblLayout w:type="fixed"/>
        <w:tblLook w:firstRow="0" w:lastRow="0" w:firstColumn="0" w:lastColumn="0" w:noHBand="0" w:noVBand="0" w:val="0000"/>
      </w:tblPr>
      <w:tblGrid>
        <w:gridCol w:w="7920"/>
      </w:tblGrid>
      <w:tr>
        <w:tc>
          <w:tcPr/>
          <w:bookmarkStart w:id="11" w:name="tbl-lit-summary"/>
          <w:p>
            <w:pPr>
              <w:jc w:val="center"/>
            </w:pPr>
            <w:pPr>
              <w:jc w:val="left"/>
              <w:spacing w:before="200"/>
              <w:pStyle w:val="ImageCaption"/>
            </w:pPr>
            <w:r>
              <w:t xml:space="preserve">Table 1: Summary of the Literature</w:t>
            </w:r>
          </w:p>
          <w:tbl>
            <w:tblPr>
              <w:tblStyle w:val="Table"/>
              <w:tblW w:type="pct" w:w="4891"/>
              <w:tblLayout w:type="fixed"/>
              <w:tblLook w:firstRow="1" w:lastRow="0" w:firstColumn="0" w:lastColumn="0" w:noHBand="0" w:noVBand="0" w:val="0020"/>
            </w:tblPr>
            <w:tblGrid>
              <w:gridCol w:w="5079"/>
              <w:gridCol w:w="946"/>
              <w:gridCol w:w="1721"/>
            </w:tblGrid>
            <w:tr>
              <w:trPr>
                <w:tblHeader w:val="on"/>
              </w:trPr>
              <w:tc>
                <w:tcPr/>
                <w:p>
                  <w:pPr>
                    <w:pStyle w:val="Compact"/>
                    <w:jc w:val="left"/>
                    <w:jc w:val="center"/>
                  </w:pPr>
                  <w:r>
                    <w:t xml:space="preserve">Study</w:t>
                  </w:r>
                </w:p>
              </w:tc>
              <w:tc>
                <w:tcPr/>
                <w:p>
                  <w:pPr>
                    <w:pStyle w:val="Compact"/>
                    <w:jc w:val="left"/>
                    <w:jc w:val="center"/>
                  </w:pPr>
                  <w:r>
                    <w:t xml:space="preserve">Uses CEX</w:t>
                  </w:r>
                  <w:r>
                    <w:t xml:space="preserve"> </w:t>
                  </w:r>
                  <w:r>
                    <w:t xml:space="preserve">Data</w:t>
                  </w:r>
                </w:p>
              </w:tc>
              <w:tc>
                <w:tcPr/>
                <w:p>
                  <w:pPr>
                    <w:pStyle w:val="Compact"/>
                    <w:jc w:val="left"/>
                    <w:jc w:val="center"/>
                  </w:pPr>
                  <w:r>
                    <w:t xml:space="preserve">Category</w:t>
                  </w:r>
                </w:p>
              </w:tc>
            </w:tr>
            <w:tr>
              <w:tc>
                <w:tcPr/>
                <w:p>
                  <w:pPr>
                    <w:pStyle w:val="Compact"/>
                    <w:jc w:val="left"/>
                    <w:jc w:val="center"/>
                  </w:pPr>
                  <w:r>
                    <w:t xml:space="preserve">Morris and Wigan (1979)</w:t>
                  </w:r>
                </w:p>
              </w:tc>
              <w:tc>
                <w:tcPr/>
                <w:p>
                  <w:pPr>
                    <w:pStyle w:val="Compact"/>
                    <w:jc w:val="left"/>
                    <w:jc w:val="center"/>
                  </w:pPr>
                  <w:r>
                    <w:t xml:space="preserve">FALSE</w:t>
                  </w:r>
                </w:p>
              </w:tc>
              <w:tc>
                <w:tcPr/>
                <w:p>
                  <w:pPr>
                    <w:pStyle w:val="Compact"/>
                    <w:jc w:val="left"/>
                    <w:jc w:val="center"/>
                  </w:pPr>
                  <w:r>
                    <w:t xml:space="preserve">Transportation and</w:t>
                  </w:r>
                  <w:r>
                    <w:t xml:space="preserve"> </w:t>
                  </w:r>
                  <w:r>
                    <w:t xml:space="preserve">Budgets</w:t>
                  </w:r>
                </w:p>
              </w:tc>
            </w:tr>
            <w:tr>
              <w:tc>
                <w:tcPr/>
                <w:p>
                  <w:pPr>
                    <w:pStyle w:val="Compact"/>
                    <w:jc w:val="left"/>
                    <w:jc w:val="center"/>
                  </w:pPr>
                  <w:r>
                    <w:t xml:space="preserve">Skinner (1985)</w:t>
                  </w:r>
                </w:p>
              </w:tc>
              <w:tc>
                <w:tcPr/>
                <w:p>
                  <w:pPr>
                    <w:pStyle w:val="Compact"/>
                    <w:jc w:val="left"/>
                    <w:jc w:val="center"/>
                  </w:pPr>
                  <w:r>
                    <w:t xml:space="preserve">TRUE</w:t>
                  </w:r>
                </w:p>
              </w:tc>
              <w:tc>
                <w:tcPr/>
                <w:p>
                  <w:pPr>
                    <w:pStyle w:val="Compact"/>
                    <w:jc w:val="left"/>
                    <w:jc w:val="center"/>
                  </w:pPr>
                  <w:r>
                    <w:t xml:space="preserve">Budgets</w:t>
                  </w:r>
                </w:p>
              </w:tc>
            </w:tr>
            <w:tr>
              <w:tc>
                <w:tcPr/>
                <w:p>
                  <w:pPr>
                    <w:pStyle w:val="Compact"/>
                    <w:jc w:val="left"/>
                    <w:jc w:val="center"/>
                  </w:pPr>
                  <w:r>
                    <w:t xml:space="preserve">Nayga (1998)</w:t>
                  </w:r>
                </w:p>
              </w:tc>
              <w:tc>
                <w:tcPr/>
                <w:p>
                  <w:pPr>
                    <w:pStyle w:val="Compact"/>
                    <w:jc w:val="left"/>
                    <w:jc w:val="center"/>
                  </w:pPr>
                  <w:r>
                    <w:t xml:space="preserve">TRUE</w:t>
                  </w:r>
                </w:p>
              </w:tc>
              <w:tc>
                <w:tcPr/>
                <w:p>
                  <w:pPr>
                    <w:pStyle w:val="Compact"/>
                    <w:jc w:val="left"/>
                    <w:jc w:val="center"/>
                  </w:pPr>
                  <w:r>
                    <w:t xml:space="preserve">Budgets</w:t>
                  </w:r>
                </w:p>
              </w:tc>
            </w:tr>
            <w:tr>
              <w:tc>
                <w:tcPr/>
                <w:p>
                  <w:pPr>
                    <w:pStyle w:val="Compact"/>
                    <w:jc w:val="left"/>
                    <w:jc w:val="center"/>
                  </w:pPr>
                  <w:r>
                    <w:t xml:space="preserve">Blumenberg (2003)</w:t>
                  </w:r>
                </w:p>
              </w:tc>
              <w:tc>
                <w:tcPr/>
                <w:p>
                  <w:pPr>
                    <w:pStyle w:val="Compact"/>
                    <w:jc w:val="left"/>
                    <w:jc w:val="center"/>
                  </w:pPr>
                  <w:r>
                    <w:t xml:space="preserve">TRUE</w:t>
                  </w:r>
                </w:p>
              </w:tc>
              <w:tc>
                <w:tcPr/>
                <w:p>
                  <w:pPr>
                    <w:pStyle w:val="Compact"/>
                    <w:jc w:val="left"/>
                    <w:jc w:val="center"/>
                  </w:pPr>
                  <w:r>
                    <w:t xml:space="preserve">Transportation and</w:t>
                  </w:r>
                  <w:r>
                    <w:t xml:space="preserve"> </w:t>
                  </w:r>
                  <w:r>
                    <w:t xml:space="preserve">Budgets</w:t>
                  </w:r>
                </w:p>
              </w:tc>
            </w:tr>
            <w:tr>
              <w:tc>
                <w:tcPr/>
                <w:p>
                  <w:pPr>
                    <w:pStyle w:val="Compact"/>
                    <w:jc w:val="left"/>
                    <w:jc w:val="center"/>
                  </w:pPr>
                  <w:r>
                    <w:t xml:space="preserve">Thakuriah and Liao (2005)</w:t>
                  </w:r>
                </w:p>
              </w:tc>
              <w:tc>
                <w:tcPr/>
                <w:p>
                  <w:pPr>
                    <w:pStyle w:val="Compact"/>
                    <w:jc w:val="left"/>
                    <w:jc w:val="center"/>
                  </w:pPr>
                  <w:r>
                    <w:t xml:space="preserve">TRUE</w:t>
                  </w:r>
                </w:p>
              </w:tc>
              <w:tc>
                <w:tcPr/>
                <w:p>
                  <w:pPr>
                    <w:pStyle w:val="Compact"/>
                    <w:jc w:val="left"/>
                    <w:jc w:val="center"/>
                  </w:pPr>
                  <w:r>
                    <w:t xml:space="preserve">Transportation and</w:t>
                  </w:r>
                  <w:r>
                    <w:t xml:space="preserve"> </w:t>
                  </w:r>
                  <w:r>
                    <w:t xml:space="preserve">Budgets</w:t>
                  </w:r>
                </w:p>
              </w:tc>
            </w:tr>
            <w:tr>
              <w:tc>
                <w:tcPr/>
                <w:p>
                  <w:pPr>
                    <w:pStyle w:val="Compact"/>
                    <w:jc w:val="left"/>
                    <w:jc w:val="center"/>
                  </w:pPr>
                  <w:r>
                    <w:t xml:space="preserve">Hong et al. (2005)</w:t>
                  </w:r>
                </w:p>
              </w:tc>
              <w:tc>
                <w:tcPr/>
                <w:p>
                  <w:pPr>
                    <w:pStyle w:val="Compact"/>
                    <w:jc w:val="left"/>
                    <w:jc w:val="center"/>
                  </w:pPr>
                  <w:r>
                    <w:t xml:space="preserve">TRUE</w:t>
                  </w:r>
                </w:p>
              </w:tc>
              <w:tc>
                <w:tcPr/>
                <w:p>
                  <w:pPr>
                    <w:pStyle w:val="Compact"/>
                    <w:jc w:val="left"/>
                    <w:jc w:val="center"/>
                  </w:pPr>
                  <w:r>
                    <w:t xml:space="preserve">Transportation and</w:t>
                  </w:r>
                  <w:r>
                    <w:t xml:space="preserve"> </w:t>
                  </w:r>
                  <w:r>
                    <w:t xml:space="preserve">Budgets</w:t>
                  </w:r>
                </w:p>
              </w:tc>
            </w:tr>
            <w:tr>
              <w:tc>
                <w:tcPr/>
                <w:p>
                  <w:pPr>
                    <w:pStyle w:val="Compact"/>
                    <w:jc w:val="left"/>
                    <w:jc w:val="center"/>
                  </w:pPr>
                  <w:r>
                    <w:t xml:space="preserve">Thakuriah (Vonu) and Liao (2006)</w:t>
                  </w:r>
                </w:p>
              </w:tc>
              <w:tc>
                <w:tcPr/>
                <w:p>
                  <w:pPr>
                    <w:pStyle w:val="Compact"/>
                    <w:jc w:val="left"/>
                    <w:jc w:val="center"/>
                  </w:pPr>
                  <w:r>
                    <w:t xml:space="preserve">TRUE</w:t>
                  </w:r>
                </w:p>
              </w:tc>
              <w:tc>
                <w:tcPr/>
                <w:p>
                  <w:pPr>
                    <w:pStyle w:val="Compact"/>
                    <w:jc w:val="left"/>
                    <w:jc w:val="center"/>
                  </w:pPr>
                  <w:r>
                    <w:t xml:space="preserve">Transportation and</w:t>
                  </w:r>
                  <w:r>
                    <w:t xml:space="preserve"> </w:t>
                  </w:r>
                  <w:r>
                    <w:t xml:space="preserve">Budgets</w:t>
                  </w:r>
                </w:p>
              </w:tc>
            </w:tr>
            <w:tr>
              <w:tc>
                <w:tcPr/>
                <w:p>
                  <w:pPr>
                    <w:pStyle w:val="Compact"/>
                    <w:jc w:val="left"/>
                    <w:jc w:val="center"/>
                  </w:pPr>
                  <w:r>
                    <w:t xml:space="preserve">Fontes and Fan (2006)</w:t>
                  </w:r>
                </w:p>
              </w:tc>
              <w:tc>
                <w:tcPr/>
                <w:p>
                  <w:pPr>
                    <w:pStyle w:val="Compact"/>
                    <w:jc w:val="left"/>
                    <w:jc w:val="center"/>
                  </w:pPr>
                  <w:r>
                    <w:t xml:space="preserve">TRUE</w:t>
                  </w:r>
                </w:p>
              </w:tc>
              <w:tc>
                <w:tcPr/>
                <w:p>
                  <w:pPr>
                    <w:pStyle w:val="Compact"/>
                    <w:jc w:val="left"/>
                    <w:jc w:val="center"/>
                  </w:pPr>
                  <w:r>
                    <w:t xml:space="preserve">Budgets</w:t>
                  </w:r>
                </w:p>
              </w:tc>
            </w:tr>
            <w:tr>
              <w:tc>
                <w:tcPr/>
                <w:p>
                  <w:pPr>
                    <w:pStyle w:val="Compact"/>
                    <w:jc w:val="left"/>
                    <w:jc w:val="center"/>
                  </w:pPr>
                  <w:r>
                    <w:t xml:space="preserve">Choo et al. (2007)</w:t>
                  </w:r>
                </w:p>
              </w:tc>
              <w:tc>
                <w:tcPr/>
                <w:p>
                  <w:pPr>
                    <w:pStyle w:val="Compact"/>
                    <w:jc w:val="left"/>
                    <w:jc w:val="center"/>
                  </w:pPr>
                  <w:r>
                    <w:t xml:space="preserve">TRUE</w:t>
                  </w:r>
                </w:p>
              </w:tc>
              <w:tc>
                <w:tcPr/>
                <w:p>
                  <w:pPr>
                    <w:pStyle w:val="Compact"/>
                    <w:jc w:val="left"/>
                    <w:jc w:val="center"/>
                  </w:pPr>
                  <w:r>
                    <w:t xml:space="preserve">Transportation and</w:t>
                  </w:r>
                  <w:r>
                    <w:t xml:space="preserve"> </w:t>
                  </w:r>
                  <w:r>
                    <w:t xml:space="preserve">Budgets</w:t>
                  </w:r>
                </w:p>
              </w:tc>
            </w:tr>
            <w:tr>
              <w:tc>
                <w:tcPr/>
                <w:p>
                  <w:pPr>
                    <w:pStyle w:val="Compact"/>
                    <w:jc w:val="left"/>
                    <w:jc w:val="center"/>
                  </w:pPr>
                  <w:r>
                    <w:t xml:space="preserve">Rachel B. Copperman and Bhat (2007a)</w:t>
                  </w:r>
                </w:p>
              </w:tc>
              <w:tc>
                <w:tcPr/>
                <w:p>
                  <w:pPr>
                    <w:pStyle w:val="Compact"/>
                    <w:jc w:val="left"/>
                    <w:jc w:val="center"/>
                  </w:pPr>
                  <w:r>
                    <w:t xml:space="preserve">FALSE</w:t>
                  </w:r>
                </w:p>
              </w:tc>
              <w:tc>
                <w:tcPr/>
                <w:p>
                  <w:pPr>
                    <w:pStyle w:val="Compact"/>
                    <w:jc w:val="left"/>
                    <w:jc w:val="center"/>
                  </w:pPr>
                  <w:r>
                    <w:t xml:space="preserve">Transportation</w:t>
                  </w:r>
                </w:p>
              </w:tc>
            </w:tr>
            <w:tr>
              <w:tc>
                <w:tcPr/>
                <w:p>
                  <w:pPr>
                    <w:pStyle w:val="Compact"/>
                    <w:jc w:val="left"/>
                    <w:jc w:val="center"/>
                  </w:pPr>
                  <w:r>
                    <w:t xml:space="preserve">Sener and Bhat (2007)</w:t>
                  </w:r>
                </w:p>
              </w:tc>
              <w:tc>
                <w:tcPr/>
                <w:p>
                  <w:pPr>
                    <w:pStyle w:val="Compact"/>
                    <w:jc w:val="left"/>
                    <w:jc w:val="center"/>
                  </w:pPr>
                  <w:r>
                    <w:t xml:space="preserve">FALSE</w:t>
                  </w:r>
                </w:p>
              </w:tc>
              <w:tc>
                <w:tcPr/>
                <w:p>
                  <w:pPr>
                    <w:pStyle w:val="Compact"/>
                    <w:jc w:val="left"/>
                    <w:jc w:val="center"/>
                  </w:pPr>
                  <w:r>
                    <w:t xml:space="preserve">Household Choices</w:t>
                  </w:r>
                </w:p>
              </w:tc>
            </w:tr>
            <w:tr>
              <w:tc>
                <w:tcPr/>
                <w:p>
                  <w:pPr>
                    <w:pStyle w:val="Compact"/>
                    <w:jc w:val="left"/>
                    <w:jc w:val="center"/>
                  </w:pPr>
                  <w:r>
                    <w:t xml:space="preserve">Rachel B. Copperman and Bhat (2007b)</w:t>
                  </w:r>
                </w:p>
              </w:tc>
              <w:tc>
                <w:tcPr/>
                <w:p>
                  <w:pPr>
                    <w:pStyle w:val="Compact"/>
                    <w:jc w:val="left"/>
                    <w:jc w:val="center"/>
                  </w:pPr>
                  <w:r>
                    <w:t xml:space="preserve">FALSE</w:t>
                  </w:r>
                </w:p>
              </w:tc>
              <w:tc>
                <w:tcPr/>
                <w:p>
                  <w:pPr>
                    <w:pStyle w:val="Compact"/>
                    <w:jc w:val="left"/>
                    <w:jc w:val="center"/>
                  </w:pPr>
                  <w:r>
                    <w:t xml:space="preserve">Household Choices</w:t>
                  </w:r>
                </w:p>
              </w:tc>
            </w:tr>
            <w:tr>
              <w:tc>
                <w:tcPr/>
                <w:p>
                  <w:pPr>
                    <w:pStyle w:val="Compact"/>
                    <w:jc w:val="left"/>
                    <w:jc w:val="center"/>
                  </w:pPr>
                  <w:r>
                    <w:t xml:space="preserve">Haas et al. (2008)</w:t>
                  </w:r>
                </w:p>
              </w:tc>
              <w:tc>
                <w:tcPr/>
                <w:p>
                  <w:pPr>
                    <w:pStyle w:val="Compact"/>
                    <w:jc w:val="left"/>
                    <w:jc w:val="center"/>
                  </w:pPr>
                  <w:r>
                    <w:t xml:space="preserve">TRUE</w:t>
                  </w:r>
                </w:p>
              </w:tc>
              <w:tc>
                <w:tcPr/>
                <w:p>
                  <w:pPr>
                    <w:pStyle w:val="Compact"/>
                    <w:jc w:val="left"/>
                    <w:jc w:val="center"/>
                  </w:pPr>
                  <w:r>
                    <w:t xml:space="preserve">Transportation and</w:t>
                  </w:r>
                  <w:r>
                    <w:t xml:space="preserve"> </w:t>
                  </w:r>
                  <w:r>
                    <w:t xml:space="preserve">Budgets</w:t>
                  </w:r>
                </w:p>
              </w:tc>
            </w:tr>
            <w:tr>
              <w:tc>
                <w:tcPr/>
                <w:p>
                  <w:pPr>
                    <w:pStyle w:val="Compact"/>
                    <w:jc w:val="left"/>
                    <w:jc w:val="center"/>
                  </w:pPr>
                  <w:r>
                    <w:t xml:space="preserve">Sener et al. (2008)</w:t>
                  </w:r>
                </w:p>
              </w:tc>
              <w:tc>
                <w:tcPr/>
                <w:p>
                  <w:pPr>
                    <w:pStyle w:val="Compact"/>
                    <w:jc w:val="left"/>
                    <w:jc w:val="center"/>
                  </w:pPr>
                  <w:r>
                    <w:t xml:space="preserve">FALSE</w:t>
                  </w:r>
                </w:p>
              </w:tc>
              <w:tc>
                <w:tcPr/>
                <w:p>
                  <w:pPr>
                    <w:pStyle w:val="Compact"/>
                    <w:jc w:val="left"/>
                    <w:jc w:val="center"/>
                  </w:pPr>
                  <w:r>
                    <w:t xml:space="preserve">Household Choices</w:t>
                  </w:r>
                </w:p>
              </w:tc>
            </w:tr>
            <w:tr>
              <w:tc>
                <w:tcPr/>
                <w:p>
                  <w:pPr>
                    <w:pStyle w:val="Compact"/>
                    <w:jc w:val="left"/>
                    <w:jc w:val="center"/>
                  </w:pPr>
                  <w:r>
                    <w:t xml:space="preserve">Ferdous et al. (2010)</w:t>
                  </w:r>
                </w:p>
              </w:tc>
              <w:tc>
                <w:tcPr/>
                <w:p>
                  <w:pPr>
                    <w:pStyle w:val="Compact"/>
                    <w:jc w:val="left"/>
                    <w:jc w:val="center"/>
                  </w:pPr>
                  <w:r>
                    <w:t xml:space="preserve">TRUE</w:t>
                  </w:r>
                </w:p>
              </w:tc>
              <w:tc>
                <w:tcPr/>
                <w:p>
                  <w:pPr>
                    <w:pStyle w:val="Compact"/>
                    <w:jc w:val="left"/>
                    <w:jc w:val="center"/>
                  </w:pPr>
                  <w:r>
                    <w:t xml:space="preserve">Transportation and</w:t>
                  </w:r>
                  <w:r>
                    <w:t xml:space="preserve"> </w:t>
                  </w:r>
                  <w:r>
                    <w:t xml:space="preserve">Budgets</w:t>
                  </w:r>
                </w:p>
              </w:tc>
            </w:tr>
            <w:tr>
              <w:tc>
                <w:tcPr/>
                <w:p>
                  <w:pPr>
                    <w:pStyle w:val="Compact"/>
                    <w:jc w:val="left"/>
                    <w:jc w:val="center"/>
                  </w:pPr>
                  <w:r>
                    <w:t xml:space="preserve">Souche (2010)</w:t>
                  </w:r>
                </w:p>
              </w:tc>
              <w:tc>
                <w:tcPr/>
                <w:p>
                  <w:pPr>
                    <w:pStyle w:val="Compact"/>
                    <w:jc w:val="left"/>
                    <w:jc w:val="center"/>
                  </w:pPr>
                  <w:r>
                    <w:t xml:space="preserve">FALSE</w:t>
                  </w:r>
                </w:p>
              </w:tc>
              <w:tc>
                <w:tcPr/>
                <w:p>
                  <w:pPr>
                    <w:pStyle w:val="Compact"/>
                    <w:jc w:val="left"/>
                    <w:jc w:val="center"/>
                  </w:pPr>
                  <w:r>
                    <w:t xml:space="preserve">Transportation</w:t>
                  </w:r>
                </w:p>
              </w:tc>
            </w:tr>
            <w:tr>
              <w:tc>
                <w:tcPr/>
                <w:p>
                  <w:pPr>
                    <w:pStyle w:val="Compact"/>
                    <w:jc w:val="left"/>
                    <w:jc w:val="center"/>
                  </w:pPr>
                  <w:r>
                    <w:t xml:space="preserve">Paleti et al. (2011)</w:t>
                  </w:r>
                </w:p>
              </w:tc>
              <w:tc>
                <w:tcPr/>
                <w:p>
                  <w:pPr>
                    <w:pStyle w:val="Compact"/>
                    <w:jc w:val="left"/>
                    <w:jc w:val="center"/>
                  </w:pPr>
                  <w:r>
                    <w:t xml:space="preserve">FALSE</w:t>
                  </w:r>
                </w:p>
              </w:tc>
              <w:tc>
                <w:tcPr/>
                <w:p>
                  <w:pPr>
                    <w:pStyle w:val="Compact"/>
                    <w:jc w:val="left"/>
                    <w:jc w:val="center"/>
                  </w:pPr>
                  <w:r>
                    <w:t xml:space="preserve">Household Choices</w:t>
                  </w:r>
                </w:p>
              </w:tc>
            </w:tr>
            <w:tr>
              <w:tc>
                <w:tcPr/>
                <w:p>
                  <w:pPr>
                    <w:pStyle w:val="Compact"/>
                    <w:jc w:val="left"/>
                    <w:jc w:val="center"/>
                  </w:pPr>
                  <w:r>
                    <w:t xml:space="preserve">Sabelhaus et al. (2013)</w:t>
                  </w:r>
                </w:p>
              </w:tc>
              <w:tc>
                <w:tcPr/>
                <w:p>
                  <w:pPr>
                    <w:pStyle w:val="Compact"/>
                    <w:jc w:val="left"/>
                    <w:jc w:val="center"/>
                  </w:pPr>
                  <w:r>
                    <w:t xml:space="preserve">TRUE</w:t>
                  </w:r>
                </w:p>
              </w:tc>
              <w:tc>
                <w:tcPr/>
                <w:p>
                  <w:pPr>
                    <w:pStyle w:val="Compact"/>
                    <w:jc w:val="left"/>
                    <w:jc w:val="center"/>
                  </w:pPr>
                  <w:r>
                    <w:t xml:space="preserve">Budgets</w:t>
                  </w:r>
                </w:p>
              </w:tc>
            </w:tr>
            <w:tr>
              <w:tc>
                <w:tcPr/>
                <w:p>
                  <w:pPr>
                    <w:pStyle w:val="Compact"/>
                    <w:jc w:val="left"/>
                    <w:jc w:val="center"/>
                  </w:pPr>
                  <w:r>
                    <w:t xml:space="preserve">Deka (2015)</w:t>
                  </w:r>
                </w:p>
              </w:tc>
              <w:tc>
                <w:tcPr/>
                <w:p>
                  <w:pPr>
                    <w:pStyle w:val="Compact"/>
                    <w:jc w:val="left"/>
                    <w:jc w:val="center"/>
                  </w:pPr>
                  <w:r>
                    <w:t xml:space="preserve">TRUE</w:t>
                  </w:r>
                </w:p>
              </w:tc>
              <w:tc>
                <w:tcPr/>
                <w:p>
                  <w:pPr>
                    <w:pStyle w:val="Compact"/>
                    <w:jc w:val="left"/>
                    <w:jc w:val="center"/>
                  </w:pPr>
                  <w:r>
                    <w:t xml:space="preserve">Transportation and</w:t>
                  </w:r>
                  <w:r>
                    <w:t xml:space="preserve"> </w:t>
                  </w:r>
                  <w:r>
                    <w:t xml:space="preserve">Budgets</w:t>
                  </w:r>
                </w:p>
              </w:tc>
            </w:tr>
            <w:tr>
              <w:tc>
                <w:tcPr/>
                <w:p>
                  <w:pPr>
                    <w:pStyle w:val="Compact"/>
                    <w:jc w:val="left"/>
                    <w:jc w:val="center"/>
                  </w:pPr>
                  <w:r>
                    <w:t xml:space="preserve">Bernardo et al. (2015)</w:t>
                  </w:r>
                </w:p>
              </w:tc>
              <w:tc>
                <w:tcPr/>
                <w:p>
                  <w:pPr>
                    <w:pStyle w:val="Compact"/>
                    <w:jc w:val="left"/>
                    <w:jc w:val="center"/>
                  </w:pPr>
                  <w:r>
                    <w:t xml:space="preserve">FALSE</w:t>
                  </w:r>
                </w:p>
              </w:tc>
              <w:tc>
                <w:tcPr/>
                <w:p>
                  <w:pPr>
                    <w:pStyle w:val="Compact"/>
                    <w:jc w:val="left"/>
                    <w:jc w:val="center"/>
                  </w:pPr>
                  <w:r>
                    <w:t xml:space="preserve">Household Choices</w:t>
                  </w:r>
                </w:p>
              </w:tc>
            </w:tr>
            <w:tr>
              <w:tc>
                <w:tcPr/>
                <w:p>
                  <w:pPr>
                    <w:pStyle w:val="Compact"/>
                    <w:jc w:val="left"/>
                    <w:jc w:val="center"/>
                  </w:pPr>
                  <w:r>
                    <w:t xml:space="preserve">Lino et al. (2017)</w:t>
                  </w:r>
                </w:p>
              </w:tc>
              <w:tc>
                <w:tcPr/>
                <w:p>
                  <w:pPr>
                    <w:pStyle w:val="Compact"/>
                    <w:jc w:val="left"/>
                    <w:jc w:val="center"/>
                  </w:pPr>
                  <w:r>
                    <w:t xml:space="preserve">TRUE</w:t>
                  </w:r>
                </w:p>
              </w:tc>
              <w:tc>
                <w:tcPr/>
                <w:p>
                  <w:pPr>
                    <w:pStyle w:val="Compact"/>
                    <w:jc w:val="left"/>
                    <w:jc w:val="center"/>
                  </w:pPr>
                  <w:r>
                    <w:t xml:space="preserve">Budgets</w:t>
                  </w:r>
                </w:p>
              </w:tc>
            </w:tr>
            <w:tr>
              <w:tc>
                <w:tcPr/>
                <w:p>
                  <w:pPr>
                    <w:pStyle w:val="Compact"/>
                    <w:jc w:val="left"/>
                    <w:jc w:val="center"/>
                  </w:pPr>
                  <w:r>
                    <w:t xml:space="preserve">McCarthy et al. (2017)</w:t>
                  </w:r>
                </w:p>
              </w:tc>
              <w:tc>
                <w:tcPr/>
                <w:p>
                  <w:pPr>
                    <w:pStyle w:val="Compact"/>
                    <w:jc w:val="left"/>
                    <w:jc w:val="center"/>
                  </w:pPr>
                  <w:r>
                    <w:t xml:space="preserve">FALSE</w:t>
                  </w:r>
                </w:p>
              </w:tc>
              <w:tc>
                <w:tcPr/>
                <w:p>
                  <w:pPr>
                    <w:pStyle w:val="Compact"/>
                    <w:jc w:val="left"/>
                    <w:jc w:val="center"/>
                  </w:pPr>
                  <w:r>
                    <w:t xml:space="preserve">Transportation</w:t>
                  </w:r>
                </w:p>
              </w:tc>
            </w:tr>
            <w:tr>
              <w:tc>
                <w:tcPr/>
                <w:p>
                  <w:pPr>
                    <w:pStyle w:val="Compact"/>
                    <w:jc w:val="left"/>
                    <w:jc w:val="center"/>
                  </w:pPr>
                  <w:r>
                    <w:t xml:space="preserve">Mattson and Peterson (2019)</w:t>
                  </w:r>
                </w:p>
              </w:tc>
              <w:tc>
                <w:tcPr/>
                <w:p>
                  <w:pPr>
                    <w:pStyle w:val="Compact"/>
                    <w:jc w:val="left"/>
                    <w:jc w:val="center"/>
                  </w:pPr>
                  <w:r>
                    <w:t xml:space="preserve">TRUE</w:t>
                  </w:r>
                </w:p>
              </w:tc>
              <w:tc>
                <w:tcPr/>
                <w:p>
                  <w:pPr>
                    <w:pStyle w:val="Compact"/>
                    <w:jc w:val="left"/>
                    <w:jc w:val="center"/>
                  </w:pPr>
                  <w:r>
                    <w:t xml:space="preserve">Transportation and</w:t>
                  </w:r>
                  <w:r>
                    <w:t xml:space="preserve"> </w:t>
                  </w:r>
                  <w:r>
                    <w:t xml:space="preserve">Budgets</w:t>
                  </w:r>
                </w:p>
              </w:tc>
            </w:tr>
            <w:tr>
              <w:tc>
                <w:tcPr/>
                <w:p>
                  <w:pPr>
                    <w:pStyle w:val="Compact"/>
                    <w:jc w:val="left"/>
                    <w:jc w:val="center"/>
                  </w:pPr>
                  <w:r>
                    <w:t xml:space="preserve">Leung et al. (2019)</w:t>
                  </w:r>
                </w:p>
              </w:tc>
              <w:tc>
                <w:tcPr/>
                <w:p>
                  <w:pPr>
                    <w:pStyle w:val="Compact"/>
                    <w:jc w:val="left"/>
                    <w:jc w:val="center"/>
                  </w:pPr>
                  <w:r>
                    <w:t xml:space="preserve">FALSE</w:t>
                  </w:r>
                </w:p>
              </w:tc>
              <w:tc>
                <w:tcPr/>
                <w:p>
                  <w:pPr>
                    <w:pStyle w:val="Compact"/>
                    <w:jc w:val="left"/>
                    <w:jc w:val="center"/>
                  </w:pPr>
                  <w:r>
                    <w:t xml:space="preserve">Household Choices</w:t>
                  </w:r>
                </w:p>
              </w:tc>
            </w:tr>
            <w:tr>
              <w:tc>
                <w:tcPr/>
                <w:p>
                  <w:pPr>
                    <w:pStyle w:val="Compact"/>
                    <w:jc w:val="left"/>
                    <w:jc w:val="center"/>
                  </w:pPr>
                  <w:r>
                    <w:t xml:space="preserve">Mattson (2020)</w:t>
                  </w:r>
                </w:p>
              </w:tc>
              <w:tc>
                <w:tcPr/>
                <w:p>
                  <w:pPr>
                    <w:pStyle w:val="Compact"/>
                    <w:jc w:val="left"/>
                    <w:jc w:val="center"/>
                  </w:pPr>
                  <w:r>
                    <w:t xml:space="preserve">TRUE</w:t>
                  </w:r>
                </w:p>
              </w:tc>
              <w:tc>
                <w:tcPr/>
                <w:p>
                  <w:pPr>
                    <w:pStyle w:val="Compact"/>
                    <w:jc w:val="left"/>
                    <w:jc w:val="center"/>
                  </w:pPr>
                  <w:r>
                    <w:t xml:space="preserve">Transportation and</w:t>
                  </w:r>
                  <w:r>
                    <w:t xml:space="preserve"> </w:t>
                  </w:r>
                  <w:r>
                    <w:t xml:space="preserve">Budgets</w:t>
                  </w:r>
                </w:p>
              </w:tc>
            </w:tr>
            <w:tr>
              <w:tc>
                <w:tcPr/>
                <w:p>
                  <w:pPr>
                    <w:pStyle w:val="Compact"/>
                    <w:jc w:val="left"/>
                    <w:jc w:val="center"/>
                  </w:pPr>
                  <w:r>
                    <w:t xml:space="preserve">Osborne et al. (2021)</w:t>
                  </w:r>
                </w:p>
              </w:tc>
              <w:tc>
                <w:tcPr/>
                <w:p>
                  <w:pPr>
                    <w:pStyle w:val="Compact"/>
                    <w:jc w:val="left"/>
                    <w:jc w:val="center"/>
                  </w:pPr>
                  <w:r>
                    <w:t xml:space="preserve">TRUE</w:t>
                  </w:r>
                </w:p>
              </w:tc>
              <w:tc>
                <w:tcPr/>
                <w:p>
                  <w:pPr>
                    <w:pStyle w:val="Compact"/>
                    <w:jc w:val="left"/>
                    <w:jc w:val="center"/>
                  </w:pPr>
                  <w:r>
                    <w:t xml:space="preserve">Budgets</w:t>
                  </w:r>
                </w:p>
              </w:tc>
            </w:tr>
            <w:tr>
              <w:tc>
                <w:tcPr/>
                <w:p>
                  <w:pPr>
                    <w:pStyle w:val="Compact"/>
                    <w:jc w:val="left"/>
                    <w:jc w:val="center"/>
                  </w:pPr>
                  <w:r>
                    <w:t xml:space="preserve">Hastings (2022)</w:t>
                  </w:r>
                </w:p>
              </w:tc>
              <w:tc>
                <w:tcPr/>
                <w:p>
                  <w:pPr>
                    <w:pStyle w:val="Compact"/>
                    <w:jc w:val="left"/>
                    <w:jc w:val="center"/>
                  </w:pPr>
                  <w:r>
                    <w:t xml:space="preserve">TRUE</w:t>
                  </w:r>
                </w:p>
              </w:tc>
              <w:tc>
                <w:tcPr/>
                <w:p>
                  <w:pPr>
                    <w:pStyle w:val="Compact"/>
                    <w:jc w:val="left"/>
                    <w:jc w:val="center"/>
                  </w:pPr>
                  <w:r>
                    <w:t xml:space="preserve">Budgets</w:t>
                  </w:r>
                </w:p>
              </w:tc>
            </w:tr>
            <w:tr>
              <w:tc>
                <w:tcPr/>
                <w:p>
                  <w:pPr>
                    <w:pStyle w:val="Compact"/>
                    <w:jc w:val="left"/>
                    <w:jc w:val="center"/>
                  </w:pPr>
                  <w:r>
                    <w:t xml:space="preserve">Lu et al. (2022)</w:t>
                  </w:r>
                </w:p>
              </w:tc>
              <w:tc>
                <w:tcPr/>
                <w:p>
                  <w:pPr>
                    <w:pStyle w:val="Compact"/>
                    <w:jc w:val="left"/>
                    <w:jc w:val="center"/>
                  </w:pPr>
                  <w:r>
                    <w:t xml:space="preserve">FALSE</w:t>
                  </w:r>
                </w:p>
              </w:tc>
              <w:tc>
                <w:tcPr/>
                <w:p>
                  <w:pPr>
                    <w:pStyle w:val="Compact"/>
                    <w:jc w:val="left"/>
                    <w:jc w:val="center"/>
                  </w:pPr>
                  <w:r>
                    <w:t xml:space="preserve">Transportation</w:t>
                  </w:r>
                </w:p>
              </w:tc>
            </w:tr>
            <w:tr>
              <w:tc>
                <w:tcPr/>
                <w:p>
                  <w:pPr>
                    <w:pStyle w:val="Compact"/>
                    <w:jc w:val="left"/>
                    <w:jc w:val="center"/>
                  </w:pPr>
                  <w:r>
                    <w:t xml:space="preserve">Amirnazmiafshar and Diana (2022)</w:t>
                  </w:r>
                </w:p>
              </w:tc>
              <w:tc>
                <w:tcPr/>
                <w:p>
                  <w:pPr>
                    <w:pStyle w:val="Compact"/>
                    <w:jc w:val="left"/>
                    <w:jc w:val="center"/>
                  </w:pPr>
                  <w:r>
                    <w:t xml:space="preserve">FALSE</w:t>
                  </w:r>
                </w:p>
              </w:tc>
              <w:tc>
                <w:tcPr/>
                <w:p>
                  <w:pPr>
                    <w:pStyle w:val="Compact"/>
                    <w:jc w:val="left"/>
                    <w:jc w:val="center"/>
                  </w:pPr>
                  <w:r>
                    <w:t xml:space="preserve">Transportation</w:t>
                  </w:r>
                </w:p>
              </w:tc>
            </w:tr>
            <w:tr>
              <w:tc>
                <w:tcPr/>
                <w:p>
                  <w:pPr>
                    <w:pStyle w:val="Compact"/>
                    <w:jc w:val="left"/>
                    <w:jc w:val="center"/>
                  </w:pPr>
                  <w:r>
                    <w:t xml:space="preserve">Duncan et al. (2023)</w:t>
                  </w:r>
                </w:p>
              </w:tc>
              <w:tc>
                <w:tcPr/>
                <w:p>
                  <w:pPr>
                    <w:pStyle w:val="Compact"/>
                    <w:jc w:val="left"/>
                    <w:jc w:val="center"/>
                  </w:pPr>
                  <w:r>
                    <w:t xml:space="preserve">FALSE</w:t>
                  </w:r>
                </w:p>
              </w:tc>
              <w:tc>
                <w:tcPr/>
                <w:p>
                  <w:pPr>
                    <w:pStyle w:val="Compact"/>
                    <w:jc w:val="left"/>
                    <w:jc w:val="center"/>
                  </w:pPr>
                  <w:r>
                    <w:t xml:space="preserve">Budgets</w:t>
                  </w:r>
                </w:p>
              </w:tc>
            </w:tr>
            <w:tr>
              <w:tc>
                <w:tcPr/>
                <w:p>
                  <w:pPr>
                    <w:pStyle w:val="Compact"/>
                    <w:jc w:val="left"/>
                    <w:jc w:val="center"/>
                  </w:pPr>
                  <w:r>
                    <w:t xml:space="preserve">Molloy et al. (2024)</w:t>
                  </w:r>
                </w:p>
              </w:tc>
              <w:tc>
                <w:tcPr/>
                <w:p>
                  <w:pPr>
                    <w:pStyle w:val="Compact"/>
                    <w:jc w:val="left"/>
                    <w:jc w:val="center"/>
                  </w:pPr>
                  <w:r>
                    <w:t xml:space="preserve">TRUE</w:t>
                  </w:r>
                </w:p>
              </w:tc>
              <w:tc>
                <w:tcPr/>
                <w:p>
                  <w:pPr>
                    <w:pStyle w:val="Compact"/>
                    <w:jc w:val="left"/>
                    <w:jc w:val="center"/>
                  </w:pPr>
                  <w:r>
                    <w:t xml:space="preserve">Transportation and</w:t>
                  </w:r>
                  <w:r>
                    <w:t xml:space="preserve"> </w:t>
                  </w:r>
                  <w:r>
                    <w:t xml:space="preserve">Budgets</w:t>
                  </w:r>
                </w:p>
              </w:tc>
            </w:tr>
            <w:tr>
              <w:tc>
                <w:tcPr/>
                <w:p>
                  <w:pPr>
                    <w:pStyle w:val="Compact"/>
                    <w:jc w:val="left"/>
                    <w:jc w:val="center"/>
                  </w:pPr>
                  <w:r>
                    <w:t xml:space="preserve">Bureau of Transportation Statistics (2024)</w:t>
                  </w:r>
                </w:p>
              </w:tc>
              <w:tc>
                <w:tcPr/>
                <w:p>
                  <w:pPr>
                    <w:pStyle w:val="Compact"/>
                    <w:jc w:val="left"/>
                    <w:jc w:val="center"/>
                  </w:pPr>
                  <w:r>
                    <w:t xml:space="preserve">TRUE</w:t>
                  </w:r>
                </w:p>
              </w:tc>
              <w:tc>
                <w:tcPr/>
                <w:p>
                  <w:pPr>
                    <w:pStyle w:val="Compact"/>
                    <w:jc w:val="left"/>
                    <w:jc w:val="center"/>
                  </w:pPr>
                  <w:r>
                    <w:t xml:space="preserve">Transportation and</w:t>
                  </w:r>
                  <w:r>
                    <w:t xml:space="preserve"> </w:t>
                  </w:r>
                  <w:r>
                    <w:t xml:space="preserve">Budgets</w:t>
                  </w:r>
                </w:p>
              </w:tc>
            </w:tr>
            <w:tr>
              <w:tc>
                <w:tcPr/>
                <w:p>
                  <w:pPr>
                    <w:pStyle w:val="Compact"/>
                    <w:jc w:val="left"/>
                    <w:jc w:val="center"/>
                  </w:pPr>
                  <w:r>
                    <w:t xml:space="preserve">Hargunani et al. (2024)</w:t>
                  </w:r>
                </w:p>
              </w:tc>
              <w:tc>
                <w:tcPr/>
                <w:p>
                  <w:pPr>
                    <w:pStyle w:val="Compact"/>
                    <w:jc w:val="left"/>
                    <w:jc w:val="center"/>
                  </w:pPr>
                  <w:r>
                    <w:t xml:space="preserve">FALSE</w:t>
                  </w:r>
                </w:p>
              </w:tc>
              <w:tc>
                <w:tcPr/>
                <w:p>
                  <w:pPr>
                    <w:pStyle w:val="Compact"/>
                    <w:jc w:val="left"/>
                    <w:jc w:val="center"/>
                  </w:pPr>
                  <w:r>
                    <w:t xml:space="preserve">Budgets</w:t>
                  </w:r>
                </w:p>
              </w:tc>
            </w:tr>
            <w:tr>
              <w:tc>
                <w:tcPr/>
                <w:p>
                  <w:pPr>
                    <w:pStyle w:val="Compact"/>
                    <w:jc w:val="left"/>
                    <w:jc w:val="center"/>
                  </w:pPr>
                  <w:r>
                    <w:t xml:space="preserve">Klein (2024)</w:t>
                  </w:r>
                </w:p>
              </w:tc>
              <w:tc>
                <w:tcPr/>
                <w:p>
                  <w:pPr>
                    <w:pStyle w:val="Compact"/>
                    <w:jc w:val="left"/>
                    <w:jc w:val="center"/>
                  </w:pPr>
                  <w:r>
                    <w:t xml:space="preserve">FALSE</w:t>
                  </w:r>
                </w:p>
              </w:tc>
              <w:tc>
                <w:tcPr/>
                <w:p>
                  <w:pPr>
                    <w:pStyle w:val="Compact"/>
                    <w:jc w:val="left"/>
                    <w:jc w:val="center"/>
                  </w:pPr>
                  <w:r>
                    <w:t xml:space="preserve">Transportation</w:t>
                  </w:r>
                </w:p>
              </w:tc>
            </w:tr>
            <w:tr>
              <w:tc>
                <w:tcPr/>
                <w:p>
                  <w:pPr>
                    <w:pStyle w:val="Compact"/>
                    <w:jc w:val="left"/>
                    <w:jc w:val="center"/>
                  </w:pPr>
                  <w:r>
                    <w:t xml:space="preserve">Bilgin et al. (2025)</w:t>
                  </w:r>
                </w:p>
              </w:tc>
              <w:tc>
                <w:tcPr/>
                <w:p>
                  <w:pPr>
                    <w:pStyle w:val="Compact"/>
                    <w:jc w:val="left"/>
                    <w:jc w:val="center"/>
                  </w:pPr>
                  <w:r>
                    <w:t xml:space="preserve">FALSE</w:t>
                  </w:r>
                </w:p>
              </w:tc>
              <w:tc>
                <w:tcPr/>
                <w:p>
                  <w:pPr>
                    <w:pStyle w:val="Compact"/>
                    <w:jc w:val="left"/>
                    <w:jc w:val="center"/>
                  </w:pPr>
                  <w:r>
                    <w:t xml:space="preserve">Transportation</w:t>
                  </w:r>
                </w:p>
              </w:tc>
            </w:tr>
          </w:tbl>
          <w:bookmarkEnd w:id="11"/>
          <w:p/>
        </w:tc>
      </w:tr>
    </w:tbl>
    <w:p>
      <w:pPr>
        <w:pStyle w:val="BodyText"/>
      </w:pPr>
      <w:r>
        <w:rPr>
          <w:vertAlign w:val="subscript"/>
        </w:rPr>
        <w:t xml:space="preserve">Source:</w:t>
      </w:r>
      <w:r>
        <w:rPr>
          <w:vertAlign w:val="subscript"/>
        </w:rPr>
        <w:t xml:space="preserve"> </w:t>
      </w:r>
      <w:hyperlink r:id="rId12">
        <w:r>
          <w:rPr>
            <w:rStyle w:val="Hyperlink"/>
            <w:vertAlign w:val="subscript"/>
          </w:rPr>
          <w:t xml:space="preserve">Lit Review Table</w:t>
        </w:r>
      </w:hyperlink>
    </w:p>
    <w:bookmarkStart w:id="13" w:name="X11645761b5b89cb5d510699a2f6a54e37840b1c"/>
    <w:p>
      <w:pPr>
        <w:pStyle w:val="Heading3"/>
      </w:pPr>
      <w:r>
        <w:t xml:space="preserve">2.1 Household Activities and Transportation Choices</w:t>
      </w:r>
    </w:p>
    <w:p>
      <w:pPr>
        <w:pStyle w:val="FirstParagraph"/>
      </w:pPr>
      <w:r>
        <w:t xml:space="preserve">The literature shows that household dynamics affect the activity patterns of those in the household, and many studies focus on the role children play in these household activities. Some studies aim to find how the presence of children affect the activities of the household</w:t>
      </w:r>
      <w:r>
        <w:t xml:space="preserve"> </w:t>
      </w:r>
      <w:r>
        <w:t xml:space="preserve">(Bernardo et al. 2015)</w:t>
      </w:r>
      <w:r>
        <w:t xml:space="preserve">, and many studies focus on how children’s activities are affected by household demographics</w:t>
      </w:r>
      <w:r>
        <w:t xml:space="preserve"> </w:t>
      </w:r>
      <w:r>
        <w:t xml:space="preserve">(see Sener and Bhat 2007; Rachel B. Copperman and Bhat 2007b; Sener et al. 2008; Paleti et al. 2011; Leung et al. 2019)</w:t>
      </w:r>
      <w:r>
        <w:t xml:space="preserve">. A common finding in these studies is that child activity participation is associated with the environment the child lives in along with household income, parent activities, and other household demographics.</w:t>
      </w:r>
    </w:p>
    <w:p>
      <w:pPr>
        <w:pStyle w:val="BodyText"/>
      </w:pPr>
      <w:r>
        <w:t xml:space="preserve">Among the studies on household choices is a group of literature with a specific focus on a household’s transportation decisions. A common finding in this group of literature is that household composition plays a role in its transportation choices. Some studies in this group are concerned with the way households use cars or the effect of car ownership on transportation decisions</w:t>
      </w:r>
      <w:r>
        <w:t xml:space="preserve"> </w:t>
      </w:r>
      <w:r>
        <w:t xml:space="preserve">(Lu et al. 2022; Amirnazmiafshar and Diana 2022; Klein 2024; Bilgin et al. 2025)</w:t>
      </w:r>
      <w:r>
        <w:t xml:space="preserve">. These studies show there is a major connection between car ownership and transportation decisions. Other studies are focused on travel choices more generally</w:t>
      </w:r>
      <w:r>
        <w:t xml:space="preserve"> </w:t>
      </w:r>
      <w:r>
        <w:t xml:space="preserve">(Rachel B. Copperman and Bhat 2007a; Souche 2010)</w:t>
      </w:r>
      <w:r>
        <w:t xml:space="preserve">. For an extensive literature review on the transportation choices of households with young children, see the study done by</w:t>
      </w:r>
      <w:r>
        <w:t xml:space="preserve"> </w:t>
      </w:r>
      <w:r>
        <w:t xml:space="preserve">McCarthy et al. (2017)</w:t>
      </w:r>
      <w:r>
        <w:t xml:space="preserve">.</w:t>
      </w:r>
    </w:p>
    <w:bookmarkEnd w:id="13"/>
    <w:bookmarkStart w:id="14" w:name="household-spending-and-budgets"/>
    <w:p>
      <w:pPr>
        <w:pStyle w:val="Heading3"/>
      </w:pPr>
      <w:r>
        <w:t xml:space="preserve">2.2 Household Spending and Budgets</w:t>
      </w:r>
    </w:p>
    <w:p>
      <w:pPr>
        <w:pStyle w:val="FirstParagraph"/>
      </w:pPr>
      <w:r>
        <w:t xml:space="preserve">Another set of studies focuses on household budgets and household spending patterns</w:t>
      </w:r>
      <w:r>
        <w:t xml:space="preserve"> </w:t>
      </w:r>
      <w:r>
        <w:t xml:space="preserve">(Skinner 1985; Nayga 1998; Fontes and Fan 2006; Sabelhaus et al. 2013)</w:t>
      </w:r>
      <w:r>
        <w:t xml:space="preserve">. Many of the studies reviewed had an emphasis on the budgets related to raising children.</w:t>
      </w:r>
      <w:r>
        <w:t xml:space="preserve"> </w:t>
      </w:r>
      <w:r>
        <w:t xml:space="preserve">Hargunani et al. (2024)</w:t>
      </w:r>
      <w:r>
        <w:t xml:space="preserve"> </w:t>
      </w:r>
      <w:r>
        <w:t xml:space="preserve">analyzed family spending patterns in Mumbai and concluded that many families focus their expenditures on the current and future wellbeing of their children. This is evidenced by money spent on basic necessities and setting aside money for the future.</w:t>
      </w:r>
    </w:p>
    <w:p>
      <w:pPr>
        <w:pStyle w:val="BodyText"/>
      </w:pPr>
      <w:r>
        <w:t xml:space="preserve">The United States Department of Agriculture (USDA) has produced reports that use the CEX to specifically analyze the costs of raising a child in the United States. The most recent report</w:t>
      </w:r>
      <w:r>
        <w:t xml:space="preserve"> </w:t>
      </w:r>
      <w:r>
        <w:t xml:space="preserve">(Lino et al. 2017)</w:t>
      </w:r>
      <w:r>
        <w:t xml:space="preserve"> </w:t>
      </w:r>
      <w:r>
        <w:t xml:space="preserve">found the top expenditure for married-couple families with two children to be housing. The rankings of other expenditures were different depending on the age of children, but food, child care/education, and transportation were always the next highest expenditures on children. Similar to the USDA report on the cost of raising children,</w:t>
      </w:r>
      <w:r>
        <w:t xml:space="preserve"> </w:t>
      </w:r>
      <w:r>
        <w:t xml:space="preserve">Osborne et al. (2021)</w:t>
      </w:r>
      <w:r>
        <w:t xml:space="preserve"> </w:t>
      </w:r>
      <w:r>
        <w:t xml:space="preserve">modeled the cost of raising children in Texas by following similar methodologies but using Texas-specific data for housing and childcare costs. They looked not only at married-couple families, but also at single-parent households and duel households where children spend time with both parents in different locations. They found differing expenditures on children among the different family make-ups and among different incomes.</w:t>
      </w:r>
    </w:p>
    <w:p>
      <w:pPr>
        <w:pStyle w:val="BodyText"/>
      </w:pPr>
      <w:r>
        <w:t xml:space="preserve">Duncan et al. (2023)</w:t>
      </w:r>
      <w:r>
        <w:t xml:space="preserve"> </w:t>
      </w:r>
      <w:r>
        <w:t xml:space="preserve">performed a study in Canada using the country’s Survey of Household Spending (SHS) to analyze family expenditures. They found similar results as previously mentioned studies. Different income groups had different amounts allocated to children, but housing was always the highest expenditure with food, child care/education, and transportation being the next highest expenditures.</w:t>
      </w:r>
    </w:p>
    <w:p>
      <w:pPr>
        <w:pStyle w:val="BodyText"/>
      </w:pPr>
      <w:r>
        <w:t xml:space="preserve">Other studies with similar analyses have had similar findings.</w:t>
      </w:r>
      <w:r>
        <w:t xml:space="preserve"> </w:t>
      </w:r>
      <w:r>
        <w:t xml:space="preserve">Hastings (2022)</w:t>
      </w:r>
      <w:r>
        <w:t xml:space="preserve"> </w:t>
      </w:r>
      <w:r>
        <w:t xml:space="preserve">used the CEX to compare expenditures between different racial and ethnic groups. When controlling for both family characteristics and income, he found that there was not a significant difference in total expenditures on children among racial and ethnic groups. This suggests that income and family characteristics play a larger role in family budgeting than race and ethnicity.</w:t>
      </w:r>
    </w:p>
    <w:bookmarkEnd w:id="14"/>
    <w:bookmarkStart w:id="15" w:name="Xdbd150ec55c0bf391b8fae8b7cb0c11bead4176"/>
    <w:p>
      <w:pPr>
        <w:pStyle w:val="Heading3"/>
      </w:pPr>
      <w:r>
        <w:t xml:space="preserve">2.3 Household Transportation Expenses and Budgets</w:t>
      </w:r>
    </w:p>
    <w:p>
      <w:pPr>
        <w:pStyle w:val="FirstParagraph"/>
      </w:pPr>
      <w:r>
        <w:t xml:space="preserve">There have been many studies on family budgets and transportation expenses</w:t>
      </w:r>
      <w:r>
        <w:t xml:space="preserve"> </w:t>
      </w:r>
      <w:r>
        <w:t xml:space="preserve">(Morris and Wigan 1979; Blumenberg 2003; Hong et al. 2005; Thakuriah (Vonu) and Liao 2006; Choo et al. 2007; Haas et al. 2008; Ferdous et al. 2010)</w:t>
      </w:r>
      <w:r>
        <w:t xml:space="preserve">.</w:t>
      </w:r>
    </w:p>
    <w:p>
      <w:pPr>
        <w:pStyle w:val="BodyText"/>
      </w:pPr>
      <w:r>
        <w:t xml:space="preserve">One study focused on transportation budgets was done by</w:t>
      </w:r>
      <w:r>
        <w:t xml:space="preserve"> </w:t>
      </w:r>
      <w:r>
        <w:t xml:space="preserve">Thakuriah and Liao (2005)</w:t>
      </w:r>
      <w:r>
        <w:t xml:space="preserve">. Using CEX data, they made multiple models to analyze the expenditures related to vehicle ownership of households in the United States. In each model, they used a variety of variables (income, household demographics, spatial factors, economic factors, and family condition factors) to predict the amount of money a household spends on vehicles. Their model results indicate 18 percent of additional household expenditures is a vehicle expense. The results also indicate many factors influence household vehicle expenses. The models showed that homeowners spend more on vehicle expenses. They also showed that vehicle expenses are connected with the sex of the head of household and the number of people in the household.</w:t>
      </w:r>
    </w:p>
    <w:p>
      <w:pPr>
        <w:pStyle w:val="BodyText"/>
      </w:pPr>
      <w:r>
        <w:t xml:space="preserve">In a study by</w:t>
      </w:r>
      <w:r>
        <w:t xml:space="preserve"> </w:t>
      </w:r>
      <w:r>
        <w:t xml:space="preserve">Deka (2015)</w:t>
      </w:r>
      <w:r>
        <w:t xml:space="preserve">, they used two years of the CEX to see the connection between housing expenses and transportation expenses. They created three least squares models: one to describe expenditures in dollar amounts, one to describe expenditures as percentages of income, and one to describe expenditures as shares of total household expenditures. They found a positive association between transportation expenses and housing expenses. Similarly, share of income on transportation was positively affected by share of income on housing, but there was no significant evidence showing the share of income on housing being affected by share of income on transportation. Both housing and transportation expenditures were found to be higher for those living in single-family detached homes and lower for those living in older homes.</w:t>
      </w:r>
    </w:p>
    <w:p>
      <w:pPr>
        <w:pStyle w:val="BodyText"/>
      </w:pPr>
      <w:r>
        <w:t xml:space="preserve">Mattson and Peterson (2019)</w:t>
      </w:r>
      <w:r>
        <w:t xml:space="preserve"> </w:t>
      </w:r>
      <w:r>
        <w:t xml:space="preserve">looked at how density, land use, transportation, and household expenditures are related. They developed a regression model using CEX data where transportation expenditures were estimated using type of housing, population, family characteristics, and other factors. Similar to other studies, they found that income is positively associated with transportation expenditures. Their model showed single-family homes to have higher transportation expenditures than other types of dwellings. Using data from the U.S. Census Bureau’s Annual Survey of State and Local Government Finances, they also created models to explore how land use might affect municipal spending. In these models, increase in density was associated with a decrease in many per capita operational costs, including fire protection, streets and highways, parks and recreation, and others.</w:t>
      </w:r>
    </w:p>
    <w:p>
      <w:pPr>
        <w:pStyle w:val="BodyText"/>
      </w:pPr>
      <w:r>
        <w:t xml:space="preserve">A similar study was published by</w:t>
      </w:r>
      <w:r>
        <w:t xml:space="preserve"> </w:t>
      </w:r>
      <w:r>
        <w:t xml:space="preserve">Mattson (2020)</w:t>
      </w:r>
      <w:r>
        <w:t xml:space="preserve"> </w:t>
      </w:r>
      <w:r>
        <w:t xml:space="preserve">where he modeled transportation expenditures using CEX data. The results showed, like the previous publication, that single-family dwellings spend more on transportation compared to other types. He also found that larger household sizes and newer homes contribute to higher transportation spending.</w:t>
      </w:r>
    </w:p>
    <w:p>
      <w:pPr>
        <w:pStyle w:val="BodyText"/>
      </w:pPr>
      <w:r>
        <w:t xml:space="preserve">In their study,</w:t>
      </w:r>
      <w:r>
        <w:t xml:space="preserve"> </w:t>
      </w:r>
      <w:r>
        <w:t xml:space="preserve">Molloy et al. (2024)</w:t>
      </w:r>
      <w:r>
        <w:t xml:space="preserve"> </w:t>
      </w:r>
      <w:r>
        <w:t xml:space="preserve">look at CEX data after proposing a new framework to look at transit users and vehicle users. In past studies, three categories have been used to analyze transportation users:</w:t>
      </w:r>
      <w:r>
        <w:t xml:space="preserve"> </w:t>
      </w:r>
      <w:r>
        <w:t xml:space="preserve">“drivers”</w:t>
      </w:r>
      <w:r>
        <w:t xml:space="preserve"> </w:t>
      </w:r>
      <w:r>
        <w:t xml:space="preserve">are those who own a car,</w:t>
      </w:r>
      <w:r>
        <w:t xml:space="preserve"> </w:t>
      </w:r>
      <w:r>
        <w:t xml:space="preserve">“captive riders”</w:t>
      </w:r>
      <w:r>
        <w:t xml:space="preserve"> </w:t>
      </w:r>
      <w:r>
        <w:t xml:space="preserve">are those who use transit because they ca not afford a car, and</w:t>
      </w:r>
      <w:r>
        <w:t xml:space="preserve"> </w:t>
      </w:r>
      <w:r>
        <w:t xml:space="preserve">“choice riders”</w:t>
      </w:r>
      <w:r>
        <w:t xml:space="preserve"> </w:t>
      </w:r>
      <w:r>
        <w:t xml:space="preserve">are those who can afford a car but do not. Instead of having one grouping for those that own cars,</w:t>
      </w:r>
      <w:r>
        <w:t xml:space="preserve"> </w:t>
      </w:r>
      <w:r>
        <w:t xml:space="preserve">Molloy et al. (2024)</w:t>
      </w:r>
      <w:r>
        <w:t xml:space="preserve"> </w:t>
      </w:r>
      <w:r>
        <w:t xml:space="preserve">propose splitting that category into</w:t>
      </w:r>
      <w:r>
        <w:t xml:space="preserve"> </w:t>
      </w:r>
      <w:r>
        <w:t xml:space="preserve">“captive drivers”</w:t>
      </w:r>
      <w:r>
        <w:t xml:space="preserve"> </w:t>
      </w:r>
      <w:r>
        <w:t xml:space="preserve">and</w:t>
      </w:r>
      <w:r>
        <w:t xml:space="preserve"> </w:t>
      </w:r>
      <w:r>
        <w:t xml:space="preserve">“choice drivers”</w:t>
      </w:r>
      <w:r>
        <w:t xml:space="preserve">. Captive drivers would be those in the population that are low income but have a car representing people with less transportation freedom. They analyzed the CEX with this new way of classifying transportation users and found that captive drivers carry the most transportation burden. The transportation expenditures of captive drivers average more than 16% of total household expenditures while the transportation expenditures of captive riders was only around 7% of total expenditures.</w:t>
      </w:r>
    </w:p>
    <w:bookmarkEnd w:id="15"/>
    <w:bookmarkStart w:id="19" w:name="the-current-study"/>
    <w:p>
      <w:pPr>
        <w:pStyle w:val="Heading3"/>
      </w:pPr>
      <w:r>
        <w:t xml:space="preserve">2.4 The Current Study</w:t>
      </w:r>
    </w:p>
    <w:p>
      <w:pPr>
        <w:pStyle w:val="FirstParagraph"/>
      </w:pPr>
      <w:r>
        <w:t xml:space="preserve">Like many of the existing studies described, the current study improves our understanding of household spending patterns and transportation choices. It adds to the literature in three main ways: Dataset, Methodology, and Research Question.</w:t>
      </w:r>
    </w:p>
    <w:bookmarkStart w:id="16" w:name="dataset"/>
    <w:p>
      <w:pPr>
        <w:pStyle w:val="Heading4"/>
      </w:pPr>
      <w:r>
        <w:t xml:space="preserve">2.4.1 Dataset</w:t>
      </w:r>
    </w:p>
    <w:p>
      <w:pPr>
        <w:pStyle w:val="FirstParagraph"/>
      </w:pPr>
      <w:r>
        <w:t xml:space="preserve">Many studies seek to understand household transportation choices with time use diaries or travel surveys. This study, on the other hand, seeks to answer similar questions using expenditure data. Instead of using day to day activities to understand where and how a household is getting around, we use households’ weekly expenses to find underlying patterns that explain, and perhaps shape, their travel choices.</w:t>
      </w:r>
    </w:p>
    <w:p>
      <w:pPr>
        <w:pStyle w:val="BodyText"/>
      </w:pPr>
      <w:r>
        <w:t xml:space="preserve">Another important thing to note is that all of the reviewed transportation studies using the CEX were using data from before 2020. Since much has changed since the COVID19 pandemic, the 2024 data used in the current study will provide a more timely analysis.</w:t>
      </w:r>
    </w:p>
    <w:bookmarkEnd w:id="16"/>
    <w:bookmarkStart w:id="17" w:name="methodology"/>
    <w:p>
      <w:pPr>
        <w:pStyle w:val="Heading4"/>
      </w:pPr>
      <w:r>
        <w:t xml:space="preserve">2.4.2 Methodology</w:t>
      </w:r>
    </w:p>
    <w:p>
      <w:pPr>
        <w:pStyle w:val="FirstParagraph"/>
      </w:pPr>
      <w:r>
        <w:t xml:space="preserve">The latent class analysis for the current study looks at unique exogenous and outcome variables. To perform the analysis, we created categories to reflect the type of expenditures made. We used these unique categories in the analysis. The exogenous and outcome variables we used in the analysis are listed below.</w:t>
      </w:r>
    </w:p>
    <w:p>
      <w:pPr>
        <w:pStyle w:val="Compact"/>
        <w:numPr>
          <w:ilvl w:val="0"/>
          <w:numId w:val="1002"/>
        </w:numPr>
      </w:pPr>
      <w:r>
        <w:t xml:space="preserve">List of variables used in analysis</w:t>
      </w:r>
    </w:p>
    <w:bookmarkEnd w:id="17"/>
    <w:bookmarkStart w:id="18" w:name="research-question"/>
    <w:p>
      <w:pPr>
        <w:pStyle w:val="Heading4"/>
      </w:pPr>
      <w:r>
        <w:t xml:space="preserve">2.4.3 Research Question</w:t>
      </w:r>
    </w:p>
    <w:p>
      <w:pPr>
        <w:pStyle w:val="FirstParagraph"/>
      </w:pPr>
      <w:r>
        <w:t xml:space="preserve">The purpose of the current study is to see how household budgets are structured around transportation decisions. We are going about it with the perspective that transportation expenditures help define a household. Looking at the data in this way will help us find trends that were perhaps missed in other studies on transportation decisions.</w:t>
      </w:r>
    </w:p>
    <w:bookmarkEnd w:id="18"/>
    <w:bookmarkEnd w:id="19"/>
    <w:bookmarkEnd w:id="20"/>
    <w:bookmarkStart w:id="31" w:name="data"/>
    <w:p>
      <w:pPr>
        <w:pStyle w:val="Heading2"/>
      </w:pPr>
      <w:r>
        <w:t xml:space="preserve">3 Data</w:t>
      </w:r>
    </w:p>
    <w:p>
      <w:pPr>
        <w:pStyle w:val="FirstParagraph"/>
      </w:pPr>
      <w:r>
        <w:t xml:space="preserve">Data for the following analysis were obtained from the 2024 Consumer Expenditure Survey (CEX) Public Use Microdata (PUMD). The CEX is administered continuously by the Bureau of Labor Statistics (BLS). The data are organized by quarter and published each year. The CEX consists of two surveys: the Interview Survey, and the Diary Survey. Each survey has it’s own unique sample, so the households in one will not appear in the other. The Interview Survey tracks a household’s major and recurring expenditures by reviewing their expenses from the past three months, and the Diary Survey captures more routine household spending by recording in detail a households expenditure across a two-week span.</w:t>
      </w:r>
    </w:p>
    <w:p>
      <w:pPr>
        <w:pStyle w:val="BodyText"/>
      </w:pPr>
      <w:r>
        <w:t xml:space="preserve">Because we were interested in the day-to-day expenditures of households, this study uses data from the Diary Survey of the CEX. To gather this data, BLS personnel contact a sample of US households, record household demographic data, and explain how to fill out the weekly expenditure diary. After two consecutive weeks of reporting expenditures, the household is removed from the sample and replaced by a new household. The combination of household demographics and detailed expenditures available in the Diary Survey makes this data set ideal for the current study.</w:t>
      </w:r>
    </w:p>
    <w:p>
      <w:pPr>
        <w:pStyle w:val="BodyText"/>
      </w:pPr>
      <w:hyperlink w:anchor="tbl-ce-files">
        <w:r>
          <w:rPr>
            <w:rStyle w:val="Hyperlink"/>
          </w:rPr>
          <w:t xml:space="preserve">Table 2</w:t>
        </w:r>
      </w:hyperlink>
      <w:r>
        <w:t xml:space="preserve"> </w:t>
      </w:r>
      <w:r>
        <w:t xml:space="preserve">shows the files in the PUMD that pertain to the Diary Survey. For this study, we specifically looked at the FMLD and the EXPD files from 2024 to get household</w:t>
      </w:r>
      <w:r>
        <w:rPr>
          <w:rStyle w:val="FootnoteReference"/>
        </w:rPr>
        <w:footnoteReference w:id="21"/>
      </w:r>
      <w:r>
        <w:t xml:space="preserve"> </w:t>
      </w:r>
      <w:r>
        <w:t xml:space="preserve">characteristics along with their detailed spending tables. In the 2024 data, there were a total of 6,334 households surveyed. To capture the most expenditures and keep consistency, we only kept households that had participated in the study for two consecutive weeks during the study period. We also excluded any households who had no recorded expenditures during the two survey weeks. After filtering out the 161 households with only one week of data and the 169 households with no expenditures, we were left with 6,004 households used in the analysis.</w:t>
      </w:r>
    </w:p>
    <w:tbl>
      <w:tblPr>
        <w:tblStyle w:val="Table"/>
        <w:tblW w:type="pct" w:w="5000"/>
        <w:tblLayout w:type="fixed"/>
        <w:tblLook w:firstRow="0" w:lastRow="0" w:firstColumn="0" w:lastColumn="0" w:noHBand="0" w:noVBand="0" w:val="0000"/>
      </w:tblPr>
      <w:tblGrid>
        <w:gridCol w:w="7920"/>
      </w:tblGrid>
      <w:tr>
        <w:tc>
          <w:tcPr/>
          <w:bookmarkStart w:id="22" w:name="tbl-ce-files"/>
          <w:p>
            <w:pPr>
              <w:jc w:val="center"/>
            </w:pPr>
            <w:pPr>
              <w:jc w:val="left"/>
              <w:spacing w:before="200"/>
              <w:pStyle w:val="ImageCaption"/>
            </w:pPr>
            <w:r>
              <w:t xml:space="preserve">Table 2: Diary Survey files available in the Public Use Microdata (PUMD)</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File Name</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Description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FMLD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Characteristics and summary expenditures for each household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MEMD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Characteristics for members of each household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Detailed expenditure data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DTBD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Detailed income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DTID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imputation iterations</w:t>
                  </w:r>
                </w:p>
              </w:tc>
            </w:tr>
          </w:tbl>
          <w:bookmarkEnd w:id="22"/>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r>
        <w:t xml:space="preserve">In the expenditures data, there were 410 unique types of expenditures recorded with each expenditure designated by a Universal Classification Code (UCC). We organized this into 7 categories as shown in</w:t>
      </w:r>
      <w:r>
        <w:t xml:space="preserve"> </w:t>
      </w:r>
      <w:hyperlink w:anchor="tbl-spending-categories">
        <w:r>
          <w:rPr>
            <w:rStyle w:val="Hyperlink"/>
          </w:rPr>
          <w:t xml:space="preserve">Table 3</w:t>
        </w:r>
      </w:hyperlink>
      <w:r>
        <w:t xml:space="preserve"> </w:t>
      </w:r>
      <w:r>
        <w:t xml:space="preserve">(for a more detailed breakdown of the expenditure categories, see</w:t>
      </w:r>
      <w:r>
        <w:t xml:space="preserve"> </w:t>
      </w:r>
      <w:hyperlink w:anchor="sec-appendix-a">
        <w:r>
          <w:rPr>
            <w:rStyle w:val="Hyperlink"/>
          </w:rPr>
          <w:t xml:space="preserve">Appendix A</w:t>
        </w:r>
      </w:hyperlink>
      <w:r>
        <w:t xml:space="preserve">). Since this study focuses on transportation expenditures, we further split the transportation category into smaller categories based on mode. The specific UCC codes for each item in the transportation categories are listed in</w:t>
      </w:r>
      <w:r>
        <w:t xml:space="preserve"> </w:t>
      </w:r>
      <w:hyperlink w:anchor="tbl-transpo-categories">
        <w:r>
          <w:rPr>
            <w:rStyle w:val="Hyperlink"/>
          </w:rPr>
          <w:t xml:space="preserve">Table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3" w:name="tbl-spending-categories"/>
          <w:p>
            <w:pPr>
              <w:jc w:val="center"/>
            </w:pPr>
            <w:pPr>
              <w:jc w:val="left"/>
              <w:spacing w:before="200"/>
              <w:pStyle w:val="ImageCaption"/>
            </w:pPr>
            <w:r>
              <w:t xml:space="preserve">Table 3: Details of spending categories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Category</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Types of Expenses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Purchases related to food and alcohol.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House Related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Rent, utilities, maintnance, furniture, etc.</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Leisure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At-home entertainment, sports and recreation equipment, etc.</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Mandatory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Clothing, hygiene, medical, etc.</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Other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Gifts, retirement plans, legal fees, tobaccos products, etc.</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School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Tuition, school supplies, etc.</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Transportation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Purchases related to transportation</w:t>
                  </w:r>
                </w:p>
              </w:tc>
            </w:tr>
          </w:tbl>
          <w:bookmarkEnd w:id="23"/>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tbl>
      <w:tblPr>
        <w:tblStyle w:val="Table"/>
        <w:tblW w:type="pct" w:w="5000"/>
        <w:tblLayout w:type="fixed"/>
        <w:tblLook w:firstRow="0" w:lastRow="0" w:firstColumn="0" w:lastColumn="0" w:noHBand="0" w:noVBand="0" w:val="0000"/>
      </w:tblPr>
      <w:tblGrid>
        <w:gridCol w:w="7920"/>
      </w:tblGrid>
      <w:tr>
        <w:tc>
          <w:tcPr/>
          <w:bookmarkStart w:id="24" w:name="tbl-transpo-categories"/>
          <w:p>
            <w:pPr>
              <w:jc w:val="center"/>
            </w:pPr>
            <w:pPr>
              <w:jc w:val="left"/>
              <w:spacing w:before="200"/>
              <w:pStyle w:val="ImageCaption"/>
            </w:pPr>
            <w:r>
              <w:t xml:space="preserve">Table 4: Unique Expenditures in Each Transportaiton Category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UCC Code</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Code Description</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Car Purchase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520516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Auto/truck rental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530903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Car/van pool &amp; non-motorized transportation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New cars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450210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New trucks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Used cars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460901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Used trucks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460902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Used motorcycles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520902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Motorcycle rental</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Car Maintenance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Vehicle maintainance and repair, excluding tires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Tires - purchased, replaced, installed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Misc. auto repair, servicing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490315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Brake adjustment (old)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620114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Automobile service clubs and GPS services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Vehicle maintenance/repair excluding tire purchase (new UCC Q20232)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Vehicle insurance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510115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Vehicle registration including property tax</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520310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Drivers' license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520410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Vehicle inspection</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Car Fuel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470111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Gasoline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470112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Diesel fuel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470114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Gasohol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520531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Parking fees in home city, excluding residence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520541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Tolls or electronic toll passes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520550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Towing charges</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Car Payment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450350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Car/truck lease payments</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Bus Travel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530902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School bus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530210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Intercity bus fares</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Train Travel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530311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Intracity mass transit fares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530510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Intercity train fares</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Taxi or Limo Travel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530412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Taxi fares and limousine services</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Bike or Scooter or other Single Rider Travel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600310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Bicycles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600315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Scooters, and other single rider transportation (new UCC Q20191)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600311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Bike and E-scooter sharing or rental (new UCC Q20192)</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Air Travel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520901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Docking and landing fees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Airline fares</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Ship Travel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530901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Ship fares</w:t>
                  </w:r>
                </w:p>
              </w:tc>
            </w:tr>
          </w:tbl>
          <w:bookmarkEnd w:id="24"/>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r>
        <w:t xml:space="preserve">The average spending in each of the major categories mentioned above is shown in</w:t>
      </w:r>
      <w:r>
        <w:t xml:space="preserve"> </w:t>
      </w:r>
      <w:hyperlink w:anchor="tbl-category-spending">
        <w:r>
          <w:rPr>
            <w:rStyle w:val="Hyperlink"/>
          </w:rPr>
          <w:t xml:space="preserve">Table 5</w:t>
        </w:r>
      </w:hyperlink>
      <w:r>
        <w:t xml:space="preserve">. As seen in the table, there were four categories in which more than 75% of the sample had expenditures: food, house, mandatory, and transportation. The portion of the sample with food-related expenditures was just under 100 percent, and those with house-related expenditures was over 80 percent. This shows that practically no household went two weeks without purchasing food, and only a small portion of the households went two weeks without having a house-related expense. When including all the households in the sample, the average spending on transportation is approximately $260, and that average increases to approximately $325 when looking at only the households who had transportation expenditures.</w:t>
      </w:r>
    </w:p>
    <w:p>
      <w:pPr>
        <w:pStyle w:val="BodyText"/>
      </w:pPr>
      <w:r>
        <w:t xml:space="preserve">The average spending in each of the specific transportation categories is found in</w:t>
      </w:r>
      <w:r>
        <w:t xml:space="preserve"> </w:t>
      </w:r>
      <w:hyperlink w:anchor="tbl-transpo-spending">
        <w:r>
          <w:rPr>
            <w:rStyle w:val="Hyperlink"/>
          </w:rPr>
          <w:t xml:space="preserve">Table 6</w:t>
        </w:r>
      </w:hyperlink>
      <w:r>
        <w:t xml:space="preserve">. Car fuel and car maintenance were the the expense categories that included the most households. The categories with the highest averages were car purchases, car payments, and ship travel, but these had relatively low numbers of households spending any money in the categories.</w:t>
      </w:r>
    </w:p>
    <w:tbl>
      <w:tblPr>
        <w:tblStyle w:val="Table"/>
        <w:tblW w:type="pct" w:w="5000"/>
        <w:tblLayout w:type="fixed"/>
        <w:tblLook w:firstRow="0" w:lastRow="0" w:firstColumn="0" w:lastColumn="0" w:noHBand="0" w:noVBand="0" w:val="0000"/>
      </w:tblPr>
      <w:tblGrid>
        <w:gridCol w:w="7920"/>
      </w:tblGrid>
      <w:tr>
        <w:tc>
          <w:tcPr/>
          <w:bookmarkStart w:id="25" w:name="tbl-category-spending"/>
          <w:p>
            <w:pPr>
              <w:jc w:val="center"/>
            </w:pPr>
            <w:pPr>
              <w:jc w:val="left"/>
              <w:spacing w:before="200"/>
              <w:pStyle w:val="ImageCaption"/>
            </w:pPr>
            <w:r>
              <w:t xml:space="preserve">Table 5: Average Spending per Household in Each Category</w:t>
            </w:r>
          </w:p>
          <w:bookmarkEnd w:id="25"/>
        </w:tc>
      </w:tr>
    </w:tbl>
    <w:p>
      <w:pPr>
        <w:pStyle w:val="BodyText"/>
      </w:pPr>
      <w:r>
        <w:rPr>
          <w:vertAlign w:val="subscript"/>
        </w:rPr>
        <w:t xml:space="preserve">Source:</w:t>
      </w:r>
      <w:r>
        <w:rPr>
          <w:vertAlign w:val="subscript"/>
        </w:rPr>
        <w:t xml:space="preserve"> </w:t>
      </w:r>
      <w:hyperlink r:id="rId26">
        <w:r>
          <w:rPr>
            <w:rStyle w:val="Hyperlink"/>
            <w:vertAlign w:val="subscript"/>
          </w:rPr>
          <w:t xml:space="preserve">Category Spending Tables</w:t>
        </w:r>
      </w:hyperlink>
    </w:p>
    <w:tbl>
      <w:tblPr>
        <w:tblStyle w:val="Table"/>
        <w:tblW w:type="pct" w:w="5000"/>
        <w:tblLayout w:type="fixed"/>
        <w:tblLook w:firstRow="0" w:lastRow="0" w:firstColumn="0" w:lastColumn="0" w:noHBand="0" w:noVBand="0" w:val="0000"/>
      </w:tblPr>
      <w:tblGrid>
        <w:gridCol w:w="7920"/>
      </w:tblGrid>
      <w:tr>
        <w:tc>
          <w:tcPr/>
          <w:bookmarkStart w:id="27" w:name="tbl-transpo-spending"/>
          <w:p>
            <w:pPr>
              <w:jc w:val="center"/>
            </w:pPr>
            <w:pPr>
              <w:jc w:val="left"/>
              <w:spacing w:before="200"/>
              <w:pStyle w:val="ImageCaption"/>
            </w:pPr>
            <w:r>
              <w:t xml:space="preserve">Table 6: Average Transportation Spending per Household in Each Category</w:t>
            </w:r>
          </w:p>
          <w:bookmarkEnd w:id="27"/>
        </w:tc>
      </w:tr>
    </w:tbl>
    <w:p>
      <w:pPr>
        <w:pStyle w:val="BodyText"/>
      </w:pPr>
      <w:r>
        <w:rPr>
          <w:vertAlign w:val="subscript"/>
        </w:rPr>
        <w:t xml:space="preserve">Source:</w:t>
      </w:r>
      <w:r>
        <w:rPr>
          <w:vertAlign w:val="subscript"/>
        </w:rPr>
        <w:t xml:space="preserve"> </w:t>
      </w:r>
      <w:hyperlink r:id="rId28">
        <w:r>
          <w:rPr>
            <w:rStyle w:val="Hyperlink"/>
            <w:vertAlign w:val="subscript"/>
          </w:rPr>
          <w:t xml:space="preserve">Category Spending Tables</w:t>
        </w:r>
      </w:hyperlink>
    </w:p>
    <w:p>
      <w:pPr>
        <w:pStyle w:val="BodyText"/>
      </w:pPr>
      <w:r>
        <w:t xml:space="preserve">Most of the census data was found using the</w:t>
      </w:r>
      <w:r>
        <w:t xml:space="preserve"> </w:t>
      </w:r>
      <w:hyperlink r:id="rId29">
        <w:r>
          <w:rPr>
            <w:rStyle w:val="Hyperlink"/>
          </w:rPr>
          <w:t xml:space="preserve">Census Bereau Tables</w:t>
        </w:r>
      </w:hyperlink>
      <w:r>
        <w:t xml:space="preserve">. For city population, I used the census</w:t>
      </w:r>
      <w:r>
        <w:t xml:space="preserve"> </w:t>
      </w:r>
      <w:hyperlink r:id="rId30">
        <w:r>
          <w:rPr>
            <w:rStyle w:val="Hyperlink"/>
          </w:rPr>
          <w:t xml:space="preserve">city and town population totals</w:t>
        </w:r>
      </w:hyperlink>
      <w:r>
        <w:t xml:space="preserve"> </w:t>
      </w:r>
      <w:r>
        <w:t xml:space="preserve">data.</w:t>
      </w:r>
    </w:p>
    <w:p>
      <w:pPr>
        <w:pStyle w:val="BodyText"/>
      </w:pPr>
      <w:r>
        <w:t xml:space="preserve">Highlights of</w:t>
      </w:r>
      <w:r>
        <w:t xml:space="preserve"> </w:t>
      </w:r>
      <w:hyperlink w:anchor="tbl-data-demographics">
        <w:r>
          <w:rPr>
            <w:rStyle w:val="Hyperlink"/>
          </w:rPr>
          <w:t xml:space="preserve">Table 7</w:t>
        </w:r>
      </w:hyperlink>
    </w:p>
    <w:p>
      <w:pPr>
        <w:numPr>
          <w:ilvl w:val="0"/>
          <w:numId w:val="1003"/>
        </w:numPr>
      </w:pPr>
      <w:r>
        <w:t xml:space="preserve">CES had more people in the &lt;$50K and less people in the &gt;$200k. This is most likely because it is harder to get people in the higher income bracket to participate in the survey.</w:t>
      </w:r>
    </w:p>
    <w:p>
      <w:pPr>
        <w:numPr>
          <w:ilvl w:val="0"/>
          <w:numId w:val="1003"/>
        </w:numPr>
      </w:pPr>
      <w:r>
        <w:t xml:space="preserve">CES had less people in the younger age group and more in the older age group. This is most likely because we are comparing reference person age to just age in general. It makes sense that there are more 54+ people as reference person since the odds of older people owning a house is larger.</w:t>
      </w:r>
    </w:p>
    <w:p>
      <w:pPr>
        <w:numPr>
          <w:ilvl w:val="0"/>
          <w:numId w:val="1003"/>
        </w:numPr>
      </w:pPr>
      <w:r>
        <w:t xml:space="preserve">CES had more people. with bachelors degree or higher. I don’t know why, but could be connected to the city population. Maybe people with degrees are more likely to live in large cities over a million people.</w:t>
      </w:r>
    </w:p>
    <w:p>
      <w:pPr>
        <w:numPr>
          <w:ilvl w:val="0"/>
          <w:numId w:val="1003"/>
        </w:numPr>
      </w:pPr>
      <w:r>
        <w:t xml:space="preserve">The unmarried group is slightly lower in the CES survey. I’m not sure why, but I’m not sure it even needs to be talked about.</w:t>
      </w:r>
    </w:p>
    <w:p>
      <w:pPr>
        <w:numPr>
          <w:ilvl w:val="0"/>
          <w:numId w:val="1003"/>
        </w:numPr>
      </w:pPr>
      <w:r>
        <w:t xml:space="preserve">The biggest discrepancy is the city population. I think it says somewhere that the ces surveys are over-representative of large cities??</w:t>
      </w:r>
    </w:p>
    <w:p>
      <w:pPr>
        <w:pStyle w:val="FirstParagraph"/>
      </w:pPr>
      <w:r>
        <w:t xml:space="preserve">Then there might still be some tables Katie wanted me to make. I will review those.</w:t>
      </w:r>
    </w:p>
    <w:p>
      <w:pPr>
        <w:pStyle w:val="Compact"/>
        <w:numPr>
          <w:ilvl w:val="0"/>
          <w:numId w:val="1004"/>
        </w:numPr>
      </w:pPr>
      <w:r>
        <w:t xml:space="preserve">Table with the buckets of transportation spending category splits.</w:t>
      </w:r>
    </w:p>
    <w:p>
      <w:pPr>
        <w:pStyle w:val="Compact"/>
        <w:numPr>
          <w:ilvl w:val="0"/>
          <w:numId w:val="1004"/>
        </w:numPr>
      </w:pPr>
      <w:r>
        <w:t xml:space="preserve">Same averages, but split them up by different household structures</w:t>
      </w:r>
    </w:p>
    <w:p>
      <w:pPr>
        <w:pStyle w:val="Compact"/>
        <w:numPr>
          <w:ilvl w:val="0"/>
          <w:numId w:val="1005"/>
        </w:numPr>
      </w:pPr>
      <w:r>
        <w:t xml:space="preserve">Refer to R code on how to do this efficiently.</w:t>
      </w:r>
    </w:p>
    <w:p>
      <w:pPr>
        <w:pStyle w:val="Compact"/>
        <w:numPr>
          <w:ilvl w:val="0"/>
          <w:numId w:val="1005"/>
        </w:numPr>
      </w:pPr>
      <w:r>
        <w:t xml:space="preserve">This is where we can start to tell the story that perhaps different household structures are spending their money in different transportation spending categories.</w:t>
      </w:r>
    </w:p>
    <w:bookmarkEnd w:id="31"/>
    <w:bookmarkStart w:id="46" w:name="results"/>
    <w:p>
      <w:pPr>
        <w:pStyle w:val="Heading2"/>
      </w:pPr>
      <w:r>
        <w:t xml:space="preserve">4 Results</w:t>
      </w:r>
    </w:p>
    <w:p>
      <w:pPr>
        <w:pStyle w:val="FirstParagraph"/>
      </w:pPr>
      <w:r>
        <w:t xml:space="preserve">The analysis resulted in three latent classes which we named based on the household distribution of each class. The latent classes are described as follows.</w:t>
      </w:r>
    </w:p>
    <w:bookmarkStart w:id="32" w:name="class-1-car-spenders-high-ch"/>
    <w:p>
      <w:pPr>
        <w:pStyle w:val="Heading3"/>
      </w:pPr>
      <w:r>
        <w:t xml:space="preserve">4.1 Class 1: Car Spenders High (CH)</w:t>
      </w:r>
    </w:p>
    <w:p>
      <w:pPr>
        <w:pStyle w:val="FirstParagraph"/>
      </w:pPr>
      <w:r>
        <w:t xml:space="preserve">This class mostly contains households that spend higher amounts of money on car-related travel. As shown in</w:t>
      </w:r>
      <w:r>
        <w:t xml:space="preserve"> </w:t>
      </w:r>
      <w:hyperlink w:anchor="tbl-model-classes">
        <w:r>
          <w:rPr>
            <w:rStyle w:val="Hyperlink"/>
          </w:rPr>
          <w:t xml:space="preserve">Table 8</w:t>
        </w:r>
      </w:hyperlink>
      <w:r>
        <w:t xml:space="preserve">, the</w:t>
      </w:r>
      <w:r>
        <w:t xml:space="preserve"> </w:t>
      </w:r>
      <w:r>
        <w:rPr>
          <w:i/>
          <w:iCs/>
        </w:rPr>
        <w:t xml:space="preserve">CH</w:t>
      </w:r>
      <w:r>
        <w:t xml:space="preserve"> </w:t>
      </w:r>
      <w:r>
        <w:t xml:space="preserve">class has a much larger percent of households that spent over $100 on both fuel and maintenance during the survey period. In those same categories, it had the smallest percent of households spending nothing in those categories. In terms of other modes of transportation, this class hardly had any households with expenses in the other transportation categories.</w:t>
      </w:r>
    </w:p>
    <w:bookmarkEnd w:id="32"/>
    <w:bookmarkStart w:id="33" w:name="class-2-multimodal-spenders-mm"/>
    <w:p>
      <w:pPr>
        <w:pStyle w:val="Heading3"/>
      </w:pPr>
      <w:r>
        <w:t xml:space="preserve">4.2 Class 2: Multimodal Spenders (MM)</w:t>
      </w:r>
    </w:p>
    <w:p>
      <w:pPr>
        <w:pStyle w:val="FirstParagraph"/>
      </w:pPr>
      <w:r>
        <w:t xml:space="preserve">Unlike the</w:t>
      </w:r>
      <w:r>
        <w:t xml:space="preserve"> </w:t>
      </w:r>
      <w:r>
        <w:rPr>
          <w:i/>
          <w:iCs/>
        </w:rPr>
        <w:t xml:space="preserve">CH</w:t>
      </w:r>
      <w:r>
        <w:t xml:space="preserve"> </w:t>
      </w:r>
      <w:r>
        <w:t xml:space="preserve">category, the</w:t>
      </w:r>
      <w:r>
        <w:t xml:space="preserve"> </w:t>
      </w:r>
      <w:r>
        <w:rPr>
          <w:i/>
          <w:iCs/>
        </w:rPr>
        <w:t xml:space="preserve">MM</w:t>
      </w:r>
      <w:r>
        <w:t xml:space="preserve"> </w:t>
      </w:r>
      <w:r>
        <w:t xml:space="preserve">class contains a higher percentage of households that had spending in the transportation categories not involved with cars. For example, while less than 2% of households in the</w:t>
      </w:r>
      <w:r>
        <w:t xml:space="preserve"> </w:t>
      </w:r>
      <w:r>
        <w:rPr>
          <w:i/>
          <w:iCs/>
        </w:rPr>
        <w:t xml:space="preserve">CH</w:t>
      </w:r>
      <w:r>
        <w:t xml:space="preserve"> </w:t>
      </w:r>
      <w:r>
        <w:t xml:space="preserve">class spent any money on train travel, more than 50% of households in this class spend money on train travel with about 30% of households spending over $20 on train travel.</w:t>
      </w:r>
    </w:p>
    <w:bookmarkEnd w:id="33"/>
    <w:bookmarkStart w:id="38" w:name="class-3-car-spenders-low-cl"/>
    <w:p>
      <w:pPr>
        <w:pStyle w:val="Heading3"/>
      </w:pPr>
      <w:r>
        <w:t xml:space="preserve">4.3 Class 3: Car Spenders Low (CL)</w:t>
      </w:r>
    </w:p>
    <w:p>
      <w:pPr>
        <w:pStyle w:val="FirstParagraph"/>
      </w:pPr>
      <w:r>
        <w:t xml:space="preserve">Similar to the</w:t>
      </w:r>
      <w:r>
        <w:t xml:space="preserve"> </w:t>
      </w:r>
      <w:r>
        <w:rPr>
          <w:i/>
          <w:iCs/>
        </w:rPr>
        <w:t xml:space="preserve">CH</w:t>
      </w:r>
      <w:r>
        <w:t xml:space="preserve"> </w:t>
      </w:r>
      <w:r>
        <w:t xml:space="preserve">class, the</w:t>
      </w:r>
      <w:r>
        <w:t xml:space="preserve"> </w:t>
      </w:r>
      <w:r>
        <w:rPr>
          <w:i/>
          <w:iCs/>
        </w:rPr>
        <w:t xml:space="preserve">CL</w:t>
      </w:r>
      <w:r>
        <w:t xml:space="preserve"> </w:t>
      </w:r>
      <w:r>
        <w:t xml:space="preserve">class had most expenditures in the car categories. However, there was a smaller percent of households with expenses in the higher ranges. For example, the</w:t>
      </w:r>
      <w:r>
        <w:t xml:space="preserve"> </w:t>
      </w:r>
      <w:r>
        <w:rPr>
          <w:i/>
          <w:iCs/>
        </w:rPr>
        <w:t xml:space="preserve">CH</w:t>
      </w:r>
      <w:r>
        <w:t xml:space="preserve"> </w:t>
      </w:r>
      <w:r>
        <w:t xml:space="preserve">class had over 45% households that spent over $100 on fuel while the</w:t>
      </w:r>
      <w:r>
        <w:t xml:space="preserve"> </w:t>
      </w:r>
      <w:r>
        <w:rPr>
          <w:i/>
          <w:iCs/>
        </w:rPr>
        <w:t xml:space="preserve">CL</w:t>
      </w:r>
      <w:r>
        <w:t xml:space="preserve"> </w:t>
      </w:r>
      <w:r>
        <w:t xml:space="preserve">class had less than 15% exceeding $100 in fuel. Like the</w:t>
      </w:r>
      <w:r>
        <w:t xml:space="preserve"> </w:t>
      </w:r>
      <w:r>
        <w:rPr>
          <w:i/>
          <w:iCs/>
        </w:rPr>
        <w:t xml:space="preserve">CH</w:t>
      </w:r>
      <w:r>
        <w:t xml:space="preserve">, the</w:t>
      </w:r>
      <w:r>
        <w:t xml:space="preserve"> </w:t>
      </w:r>
      <w:r>
        <w:rPr>
          <w:i/>
          <w:iCs/>
        </w:rPr>
        <w:t xml:space="preserve">CL</w:t>
      </w:r>
      <w:r>
        <w:t xml:space="preserve"> </w:t>
      </w:r>
      <w:r>
        <w:t xml:space="preserve">class had very low percentages of households that spent money on modes besides cars. In fact, there were no households in this class that spent money on trains or buses.</w:t>
      </w:r>
    </w:p>
    <w:tbl>
      <w:tblPr>
        <w:tblStyle w:val="Table"/>
        <w:tblW w:type="pct" w:w="5000"/>
        <w:tblLayout w:type="fixed"/>
        <w:tblLook w:firstRow="0" w:lastRow="0" w:firstColumn="0" w:lastColumn="0" w:noHBand="0" w:noVBand="0" w:val="0000"/>
      </w:tblPr>
      <w:tblGrid>
        <w:gridCol w:w="7920"/>
      </w:tblGrid>
      <w:tr>
        <w:tc>
          <w:tcPr/>
          <w:bookmarkStart w:id="34" w:name="tbl-model-classes"/>
          <w:p>
            <w:pPr>
              <w:jc w:val="center"/>
            </w:pPr>
            <w:pPr>
              <w:jc w:val="left"/>
              <w:spacing w:before="200"/>
              <w:pStyle w:val="ImageCaption"/>
            </w:pPr>
            <w:r>
              <w:t xml:space="preserve">Table 8: Class Distribution of Model</w:t>
            </w:r>
          </w:p>
          <w:bookmarkEnd w:id="34"/>
        </w:tc>
      </w:tr>
    </w:tbl>
    <w:p>
      <w:pPr>
        <w:pStyle w:val="BodyText"/>
      </w:pPr>
      <w:r>
        <w:rPr>
          <w:vertAlign w:val="subscript"/>
        </w:rPr>
        <w:t xml:space="preserve">Source:</w:t>
      </w:r>
      <w:r>
        <w:rPr>
          <w:vertAlign w:val="subscript"/>
        </w:rPr>
        <w:t xml:space="preserve"> </w:t>
      </w:r>
      <w:hyperlink r:id="rId35">
        <w:r>
          <w:rPr>
            <w:rStyle w:val="Hyperlink"/>
            <w:vertAlign w:val="subscript"/>
          </w:rPr>
          <w:t xml:space="preserve">LCA Tables</w:t>
        </w:r>
      </w:hyperlink>
    </w:p>
    <w:p>
      <w:pPr>
        <w:pStyle w:val="BodyText"/>
      </w:pPr>
      <w:hyperlink w:anchor="tbl-model-coeff">
        <w:r>
          <w:rPr>
            <w:rStyle w:val="Hyperlink"/>
          </w:rPr>
          <w:t xml:space="preserve">Table 9</w:t>
        </w:r>
      </w:hyperlink>
      <w:r>
        <w:t xml:space="preserve"> </w:t>
      </w:r>
      <w:r>
        <w:t xml:space="preserve">shows the regression results of the latent class model. As seen in the table, most of the model coefficients are statistically significant. The following sections discuss the findings in more detail.</w:t>
      </w:r>
    </w:p>
    <w:tbl>
      <w:tblPr>
        <w:tblStyle w:val="Table"/>
        <w:tblW w:type="pct" w:w="5000"/>
        <w:tblLayout w:type="fixed"/>
        <w:tblLook w:firstRow="0" w:lastRow="0" w:firstColumn="0" w:lastColumn="0" w:noHBand="0" w:noVBand="0" w:val="0000"/>
      </w:tblPr>
      <w:tblGrid>
        <w:gridCol w:w="7920"/>
      </w:tblGrid>
      <w:tr>
        <w:tc>
          <w:tcPr/>
          <w:bookmarkStart w:id="36" w:name="tbl-model-coeff"/>
          <w:p>
            <w:pPr>
              <w:jc w:val="center"/>
            </w:pPr>
            <w:pPr>
              <w:jc w:val="left"/>
              <w:spacing w:before="200"/>
              <w:pStyle w:val="ImageCaption"/>
            </w:pPr>
            <w:r>
              <w:t xml:space="preserve">Table 9: Regression Results of Model</w:t>
            </w:r>
          </w:p>
          <w:bookmarkEnd w:id="36"/>
        </w:tc>
      </w:tr>
    </w:tbl>
    <w:p>
      <w:pPr>
        <w:pStyle w:val="BodyText"/>
      </w:pPr>
      <w:r>
        <w:rPr>
          <w:vertAlign w:val="subscript"/>
        </w:rPr>
        <w:t xml:space="preserve">Source:</w:t>
      </w:r>
      <w:r>
        <w:rPr>
          <w:vertAlign w:val="subscript"/>
        </w:rPr>
        <w:t xml:space="preserve"> </w:t>
      </w:r>
      <w:hyperlink r:id="rId37">
        <w:r>
          <w:rPr>
            <w:rStyle w:val="Hyperlink"/>
            <w:vertAlign w:val="subscript"/>
          </w:rPr>
          <w:t xml:space="preserve">LCA Tables</w:t>
        </w:r>
      </w:hyperlink>
    </w:p>
    <w:bookmarkEnd w:id="38"/>
    <w:bookmarkStart w:id="39" w:name="household-make-up"/>
    <w:p>
      <w:pPr>
        <w:pStyle w:val="Heading3"/>
      </w:pPr>
      <w:r>
        <w:t xml:space="preserve">4.4 Household Make-up</w:t>
      </w:r>
    </w:p>
    <w:p>
      <w:pPr>
        <w:pStyle w:val="FirstParagraph"/>
      </w:pPr>
      <w:r>
        <w:t xml:space="preserve">Compared to single people with no children, both households with children and households with a married couple are more likely to be in the CH class than in the MM class. This makes sense to see that households with more people are more likely to have their transportation expenses oriented around cars because heavier travel demands and the balance of multiple schedules increases the convenience of a car. This also aligns with the study by</w:t>
      </w:r>
      <w:r>
        <w:t xml:space="preserve"> </w:t>
      </w:r>
      <w:r>
        <w:t xml:space="preserve">Thakuriah and Liao (2005)</w:t>
      </w:r>
      <w:r>
        <w:t xml:space="preserve"> </w:t>
      </w:r>
      <w:r>
        <w:t xml:space="preserve">which found vehicle expenses to be connected to the number of people in the household. Comparing the MM class to the CH class, the coefficient for</w:t>
      </w:r>
      <w:r>
        <w:t xml:space="preserve"> </w:t>
      </w:r>
      <w:r>
        <w:t xml:space="preserve">“married without children”</w:t>
      </w:r>
      <w:r>
        <w:t xml:space="preserve"> </w:t>
      </w:r>
      <w:r>
        <w:t xml:space="preserve">households has the smallest absolute value, this shows that having children in the household has a stronger effect on being in the CH class than having a married couple in the household does. This</w:t>
      </w:r>
      <w:r>
        <w:t xml:space="preserve"> </w:t>
      </w:r>
      <w:r>
        <w:t xml:space="preserve">“married without children”</w:t>
      </w:r>
      <w:r>
        <w:t xml:space="preserve"> </w:t>
      </w:r>
      <w:r>
        <w:t xml:space="preserve">variable is also the only one with a statistically significant coefficient when comparing the CL class to the CH class. This means that</w:t>
      </w:r>
      <w:r>
        <w:t xml:space="preserve"> </w:t>
      </w:r>
      <w:r>
        <w:t xml:space="preserve">“married without children”</w:t>
      </w:r>
      <w:r>
        <w:t xml:space="preserve"> </w:t>
      </w:r>
      <w:r>
        <w:t xml:space="preserve">households are more likely to be in the CH class than the CL class compared to</w:t>
      </w:r>
      <w:r>
        <w:t xml:space="preserve"> </w:t>
      </w:r>
      <w:r>
        <w:t xml:space="preserve">“single”</w:t>
      </w:r>
      <w:r>
        <w:t xml:space="preserve"> </w:t>
      </w:r>
      <w:r>
        <w:t xml:space="preserve">households. This also makes sense because married couples will most likely have more trips than a single person, and this will equate to more transportation spending.</w:t>
      </w:r>
    </w:p>
    <w:bookmarkEnd w:id="39"/>
    <w:bookmarkStart w:id="40" w:name="location"/>
    <w:p>
      <w:pPr>
        <w:pStyle w:val="Heading3"/>
      </w:pPr>
      <w:r>
        <w:t xml:space="preserve">4.5 Location</w:t>
      </w:r>
    </w:p>
    <w:p>
      <w:pPr>
        <w:pStyle w:val="FirstParagraph"/>
      </w:pPr>
      <w:r>
        <w:t xml:space="preserve">Compared to other areas of the country, households in the northeast are more likely to be in the MM class than in in the CH class. This also makes sense because the northeast is relatively dense and has some of the longest history of transit use. Additionally, household in cities of more than one million people are less likely to be in the CH class compared to the other classes. This makes sense for similar reason as the region findings.</w:t>
      </w:r>
    </w:p>
    <w:p>
      <w:pPr>
        <w:pStyle w:val="Compact"/>
        <w:numPr>
          <w:ilvl w:val="0"/>
          <w:numId w:val="1006"/>
        </w:numPr>
      </w:pPr>
      <w:r>
        <w:t xml:space="preserve">(There is probably a study on how the more populous areas have less car use.)</w:t>
      </w:r>
    </w:p>
    <w:p>
      <w:pPr>
        <w:pStyle w:val="FirstParagraph"/>
      </w:pPr>
      <w:r>
        <w:t xml:space="preserve">The findings from the coefficients for both the region and the city size support findings in other transportation studies.</w:t>
      </w:r>
      <w:r>
        <w:t xml:space="preserve"> </w:t>
      </w:r>
      <w:r>
        <w:t xml:space="preserve">Deka (2015)</w:t>
      </w:r>
      <w:r>
        <w:t xml:space="preserve"> </w:t>
      </w:r>
      <w:r>
        <w:t xml:space="preserve">found transportation expenditures to be higher for those living in single-family, detached homes and lower for those living in older homes.</w:t>
      </w:r>
      <w:r>
        <w:t xml:space="preserve"> </w:t>
      </w:r>
      <w:r>
        <w:t xml:space="preserve">Mattson and Peterson (2019)</w:t>
      </w:r>
      <w:r>
        <w:t xml:space="preserve"> </w:t>
      </w:r>
      <w:r>
        <w:t xml:space="preserve">and</w:t>
      </w:r>
      <w:r>
        <w:t xml:space="preserve"> </w:t>
      </w:r>
      <w:r>
        <w:t xml:space="preserve">Mattson (2020)</w:t>
      </w:r>
      <w:r>
        <w:t xml:space="preserve"> </w:t>
      </w:r>
      <w:r>
        <w:t xml:space="preserve">also found a positive correlation between transportation expenses and living in a single family home.</w:t>
      </w:r>
      <w:r>
        <w:t xml:space="preserve"> </w:t>
      </w:r>
      <w:r>
        <w:t xml:space="preserve">The density and history of the northeast region of the united states, and of most large cities, makes it more likely to have old homes and higher concentrations of multifamily homes. These places will be more likely to spend less on transportation and use modes other than cars.</w:t>
      </w:r>
    </w:p>
    <w:bookmarkEnd w:id="40"/>
    <w:bookmarkStart w:id="41" w:name="other-household-demographics"/>
    <w:p>
      <w:pPr>
        <w:pStyle w:val="Heading3"/>
      </w:pPr>
      <w:r>
        <w:t xml:space="preserve">4.6 Other Household Demographics</w:t>
      </w:r>
    </w:p>
    <w:p>
      <w:pPr>
        <w:pStyle w:val="FirstParagraph"/>
      </w:pPr>
      <w:r>
        <w:t xml:space="preserve">Compared to people that are 55 years old or older, households with a reference person younger than 55 are more likely to be in the MM class as opposed to the CH class. Additionally, households with a reference person younger than 55 are more likely to be in the CH class as apposed to the CL class. It makes sense that people older than 55 are more likely to use cars, but, compared to everyone who spends money on cars, they are more likely to be small spenders because they don’t have as many trips.</w:t>
      </w:r>
    </w:p>
    <w:p>
      <w:pPr>
        <w:pStyle w:val="Compact"/>
        <w:numPr>
          <w:ilvl w:val="0"/>
          <w:numId w:val="1007"/>
        </w:numPr>
      </w:pPr>
      <w:r>
        <w:t xml:space="preserve">(There is probably a study on how younger adults are more likely to take transit or active transportation)</w:t>
      </w:r>
    </w:p>
    <w:p>
      <w:pPr>
        <w:pStyle w:val="FirstParagraph"/>
      </w:pPr>
      <w:r>
        <w:t xml:space="preserve">Compared to those making more than $50,000 a year, those making less than $50,000 a year are less likely to be in CH as apposed to both MM and CL. This makes sense and aligns with previous studies. Household with less income will most likely spend less on transportation</w:t>
      </w:r>
      <w:r>
        <w:t xml:space="preserve"> </w:t>
      </w:r>
      <w:r>
        <w:t xml:space="preserve">(Molloy et al. 2024; Sener et al. 2008)</w:t>
      </w:r>
      <w:r>
        <w:t xml:space="preserve">.</w:t>
      </w:r>
    </w:p>
    <w:p>
      <w:pPr>
        <w:pStyle w:val="BodyText"/>
      </w:pPr>
      <w:r>
        <w:t xml:space="preserve">Compared with those who don’t have a college degree, those with a degree are more likely to be in the MM class as opposed to the CH class. Compared with those who don’t have a college education, those with bachelors degree are more likely to be in the CH class as opposed to the CL class while those with a doctorate degree are more likely to be in the CL compared to the CH class. This could be because people with doctorates have more opportunities to work from home or more flexibility to live close to their work.</w:t>
      </w:r>
    </w:p>
    <w:bookmarkEnd w:id="41"/>
    <w:bookmarkStart w:id="42" w:name="household-expenditures"/>
    <w:p>
      <w:pPr>
        <w:pStyle w:val="Heading3"/>
      </w:pPr>
      <w:r>
        <w:t xml:space="preserve">4.7 Household Expenditures</w:t>
      </w:r>
    </w:p>
    <w:p>
      <w:pPr>
        <w:pStyle w:val="FirstParagraph"/>
      </w:pPr>
      <w:r>
        <w:t xml:space="preserve">Compared to those who spend nothing in mandatory spending, those who have mandatory expenses, are more likely to be in the CH class as opposed to the MM class.</w:t>
      </w:r>
      <w:r>
        <w:t xml:space="preserve"> </w:t>
      </w:r>
      <w:r>
        <w:t xml:space="preserve">Compared to those who spend nothing in mandatory spending, those who have mandatory expenses, are more likely to be in the CH class as opposed to the CL class. The different coefficient values show that people spending over $500 on mandatory spending are more likely to be in CH class compared to the households spending less on mandatory things.</w:t>
      </w:r>
    </w:p>
    <w:p>
      <w:pPr>
        <w:pStyle w:val="BodyText"/>
      </w:pPr>
      <w:r>
        <w:t xml:space="preserve">Compared with households who have no house-related expenses, households with house related expenses are more likely to be in the CH class. It also looks like, in both comparisons, that the higher people are paying on house-related expenses, the more likely they are to be in the CH class compared to those without house-related expenses.</w:t>
      </w:r>
    </w:p>
    <w:p>
      <w:pPr>
        <w:pStyle w:val="BodyText"/>
      </w:pPr>
      <w:r>
        <w:t xml:space="preserve">Compared to those households who spend less than $100 on leisure, households who spend more than $100 are more likely to be in the CH class. It makes sense that spending on Leisure activities would be positively correlated with transportation spending since the more spend on leisure could very likely indicate more trips made.</w:t>
      </w:r>
    </w:p>
    <w:p>
      <w:pPr>
        <w:pStyle w:val="BodyText"/>
      </w:pPr>
      <w:r>
        <w:t xml:space="preserve">The coefficients related to household spending tend to increase in absolute value as the spending ranges increase. It is reasonable to see the probability of being in the high spending transportation class increase as other household expenses increase. More household expenses often mean more trips are being made.</w:t>
      </w:r>
    </w:p>
    <w:bookmarkEnd w:id="42"/>
    <w:bookmarkStart w:id="45" w:name="some-more-results"/>
    <w:p>
      <w:pPr>
        <w:pStyle w:val="Heading3"/>
      </w:pPr>
      <w:r>
        <w:t xml:space="preserve">4.8 Some More Results</w:t>
      </w:r>
    </w:p>
    <w:p>
      <w:pPr>
        <w:pStyle w:val="FirstParagraph"/>
      </w:pPr>
      <w:r>
        <w:t xml:space="preserve">I think</w:t>
      </w:r>
      <w:r>
        <w:t xml:space="preserve"> </w:t>
      </w:r>
      <w:hyperlink w:anchor="tbl-model-covarpcts">
        <w:r>
          <w:rPr>
            <w:rStyle w:val="Hyperlink"/>
          </w:rPr>
          <w:t xml:space="preserve">Table 10</w:t>
        </w:r>
      </w:hyperlink>
      <w:r>
        <w:t xml:space="preserve"> </w:t>
      </w:r>
      <w:r>
        <w:t xml:space="preserve">is showing what percent of households fall into each category in each class. But I just put this in here to look at it. It won’t be in the final paper.</w:t>
      </w:r>
    </w:p>
    <w:tbl>
      <w:tblPr>
        <w:tblStyle w:val="Table"/>
        <w:tblW w:type="pct" w:w="5000"/>
        <w:tblLayout w:type="fixed"/>
        <w:tblLook w:firstRow="0" w:lastRow="0" w:firstColumn="0" w:lastColumn="0" w:noHBand="0" w:noVBand="0" w:val="0000"/>
      </w:tblPr>
      <w:tblGrid>
        <w:gridCol w:w="7920"/>
      </w:tblGrid>
      <w:tr>
        <w:tc>
          <w:tcPr/>
          <w:bookmarkStart w:id="43" w:name="tbl-model-covarpcts"/>
          <w:p>
            <w:pPr>
              <w:jc w:val="center"/>
            </w:pPr>
            <w:pPr>
              <w:jc w:val="left"/>
              <w:spacing w:before="200"/>
              <w:pStyle w:val="ImageCaption"/>
            </w:pPr>
            <w:r>
              <w:t xml:space="preserve">Table 10: The table that Katie gave me the code to make.</w:t>
            </w:r>
          </w:p>
          <w:bookmarkEnd w:id="43"/>
        </w:tc>
      </w:tr>
    </w:tbl>
    <w:p>
      <w:pPr>
        <w:pStyle w:val="BodyText"/>
      </w:pPr>
      <w:r>
        <w:rPr>
          <w:vertAlign w:val="subscript"/>
        </w:rPr>
        <w:t xml:space="preserve">Source:</w:t>
      </w:r>
      <w:r>
        <w:rPr>
          <w:vertAlign w:val="subscript"/>
        </w:rPr>
        <w:t xml:space="preserve"> </w:t>
      </w:r>
      <w:hyperlink r:id="rId44">
        <w:r>
          <w:rPr>
            <w:rStyle w:val="Hyperlink"/>
            <w:vertAlign w:val="subscript"/>
          </w:rPr>
          <w:t xml:space="preserve">LCA Tables</w:t>
        </w:r>
      </w:hyperlink>
    </w:p>
    <w:bookmarkEnd w:id="45"/>
    <w:bookmarkEnd w:id="46"/>
    <w:bookmarkStart w:id="115" w:name="references"/>
    <w:p>
      <w:pPr>
        <w:pStyle w:val="Heading2"/>
      </w:pPr>
      <w:r>
        <w:t xml:space="preserve">5 References</w:t>
      </w:r>
    </w:p>
    <w:bookmarkStart w:id="114" w:name="refs"/>
    <w:bookmarkStart w:id="48" w:name="ref-amirnazmiafshar_review_2022"/>
    <w:p>
      <w:pPr>
        <w:pStyle w:val="Bibliography"/>
      </w:pPr>
      <w:r>
        <w:t xml:space="preserve">Amirnazmiafshar, Ehsan, and Marco Diana. 2022.</w:t>
      </w:r>
      <w:r>
        <w:t xml:space="preserve"> </w:t>
      </w:r>
      <w:r>
        <w:t xml:space="preserve">“A Review of the Socio-Demographic Characteristics Affecting the Demand for Different Car-Sharing Operational Schemes.”</w:t>
      </w:r>
      <w:r>
        <w:t xml:space="preserve"> </w:t>
      </w:r>
      <w:r>
        <w:rPr>
          <w:i/>
          <w:iCs/>
        </w:rPr>
        <w:t xml:space="preserve">Transportation Research Interdisciplinary Perspectives</w:t>
      </w:r>
      <w:r>
        <w:t xml:space="preserve"> </w:t>
      </w:r>
      <w:r>
        <w:t xml:space="preserve">14 (June): 100616.</w:t>
      </w:r>
      <w:r>
        <w:t xml:space="preserve"> </w:t>
      </w:r>
      <w:hyperlink r:id="rId47">
        <w:r>
          <w:rPr>
            <w:rStyle w:val="Hyperlink"/>
          </w:rPr>
          <w:t xml:space="preserve">https://doi.org/10.1016/j.trip.2022.100616</w:t>
        </w:r>
      </w:hyperlink>
      <w:r>
        <w:t xml:space="preserve">.</w:t>
      </w:r>
    </w:p>
    <w:bookmarkEnd w:id="48"/>
    <w:bookmarkStart w:id="50" w:name="ref-bernardo_empirical_2015"/>
    <w:p>
      <w:pPr>
        <w:pStyle w:val="Bibliography"/>
      </w:pPr>
      <w:r>
        <w:t xml:space="preserve">Bernardo, Christina, Rajesh Paleti, Megan Hoklas, and Chandra Bhat. 2015.</w:t>
      </w:r>
      <w:r>
        <w:t xml:space="preserve"> </w:t>
      </w:r>
      <w:r>
        <w:t xml:space="preserve">“An Empirical Investigation into the Time-Use and Activity Patterns of Dual-Earner Couples with and Without Young Children.”</w:t>
      </w:r>
      <w:r>
        <w:t xml:space="preserve"> </w:t>
      </w:r>
      <w:r>
        <w:rPr>
          <w:i/>
          <w:iCs/>
        </w:rPr>
        <w:t xml:space="preserve">Transportation Research Part A: Policy and Practice</w:t>
      </w:r>
      <w:r>
        <w:t xml:space="preserve"> </w:t>
      </w:r>
      <w:r>
        <w:t xml:space="preserve">76 (June): 71–91.</w:t>
      </w:r>
      <w:r>
        <w:t xml:space="preserve"> </w:t>
      </w:r>
      <w:hyperlink r:id="rId49">
        <w:r>
          <w:rPr>
            <w:rStyle w:val="Hyperlink"/>
          </w:rPr>
          <w:t xml:space="preserve">https://doi.org/10.1016/j.tra.2014.12.006</w:t>
        </w:r>
      </w:hyperlink>
      <w:r>
        <w:t xml:space="preserve">.</w:t>
      </w:r>
    </w:p>
    <w:bookmarkEnd w:id="50"/>
    <w:bookmarkStart w:id="52" w:name="ref-bilgin_investigating_2025"/>
    <w:p>
      <w:pPr>
        <w:pStyle w:val="Bibliography"/>
      </w:pPr>
      <w:r>
        <w:t xml:space="preserve">Bilgin, Pinar, Giulio Mattioli, Malcolm Morgan, and Zia Wadud. 2025.</w:t>
      </w:r>
      <w:r>
        <w:t xml:space="preserve"> </w:t>
      </w:r>
      <w:r>
        <w:t xml:space="preserve">“Investigating the Effects of Ridesourcing on the Dynamics of Household Car Ownership.”</w:t>
      </w:r>
      <w:r>
        <w:t xml:space="preserve"> </w:t>
      </w:r>
      <w:r>
        <w:rPr>
          <w:i/>
          <w:iCs/>
        </w:rPr>
        <w:t xml:space="preserve">Transportation Research Part D: Transport and Environment</w:t>
      </w:r>
      <w:r>
        <w:t xml:space="preserve"> </w:t>
      </w:r>
      <w:r>
        <w:t xml:space="preserve">146 (September): 104886.</w:t>
      </w:r>
      <w:r>
        <w:t xml:space="preserve"> </w:t>
      </w:r>
      <w:hyperlink r:id="rId51">
        <w:r>
          <w:rPr>
            <w:rStyle w:val="Hyperlink"/>
          </w:rPr>
          <w:t xml:space="preserve">https://doi.org/10.1016/j.trd.2025.104886</w:t>
        </w:r>
      </w:hyperlink>
      <w:r>
        <w:t xml:space="preserve">.</w:t>
      </w:r>
    </w:p>
    <w:bookmarkEnd w:id="52"/>
    <w:bookmarkStart w:id="53" w:name="ref-blumenberg_transportation_2003"/>
    <w:p>
      <w:pPr>
        <w:pStyle w:val="Bibliography"/>
      </w:pPr>
      <w:r>
        <w:t xml:space="preserve">Blumenberg, Evelyn. 2003.</w:t>
      </w:r>
      <w:r>
        <w:t xml:space="preserve"> </w:t>
      </w:r>
      <w:r>
        <w:rPr>
          <w:i/>
          <w:iCs/>
        </w:rPr>
        <w:t xml:space="preserve">Transportation</w:t>
      </w:r>
      <w:r>
        <w:rPr>
          <w:i/>
          <w:iCs/>
        </w:rPr>
        <w:t xml:space="preserve"> </w:t>
      </w:r>
      <w:r>
        <w:rPr>
          <w:i/>
          <w:iCs/>
        </w:rPr>
        <w:t xml:space="preserve">Costs</w:t>
      </w:r>
      <w:r>
        <w:rPr>
          <w:i/>
          <w:iCs/>
        </w:rPr>
        <w:t xml:space="preserve"> </w:t>
      </w:r>
      <w:r>
        <w:rPr>
          <w:i/>
          <w:iCs/>
        </w:rPr>
        <w:t xml:space="preserve">and</w:t>
      </w:r>
      <w:r>
        <w:rPr>
          <w:i/>
          <w:iCs/>
        </w:rPr>
        <w:t xml:space="preserve"> </w:t>
      </w:r>
      <w:r>
        <w:rPr>
          <w:i/>
          <w:iCs/>
        </w:rPr>
        <w:t xml:space="preserve">Economic</w:t>
      </w:r>
      <w:r>
        <w:rPr>
          <w:i/>
          <w:iCs/>
        </w:rPr>
        <w:t xml:space="preserve"> </w:t>
      </w:r>
      <w:r>
        <w:rPr>
          <w:i/>
          <w:iCs/>
        </w:rPr>
        <w:t xml:space="preserve">Opportunity</w:t>
      </w:r>
      <w:r>
        <w:rPr>
          <w:i/>
          <w:iCs/>
        </w:rPr>
        <w:t xml:space="preserve"> </w:t>
      </w:r>
      <w:r>
        <w:rPr>
          <w:i/>
          <w:iCs/>
        </w:rPr>
        <w:t xml:space="preserve">Among</w:t>
      </w:r>
      <w:r>
        <w:rPr>
          <w:i/>
          <w:iCs/>
        </w:rPr>
        <w:t xml:space="preserve"> </w:t>
      </w:r>
      <w:r>
        <w:rPr>
          <w:i/>
          <w:iCs/>
        </w:rPr>
        <w:t xml:space="preserve">the</w:t>
      </w:r>
      <w:r>
        <w:rPr>
          <w:i/>
          <w:iCs/>
        </w:rPr>
        <w:t xml:space="preserve"> </w:t>
      </w:r>
      <w:r>
        <w:rPr>
          <w:i/>
          <w:iCs/>
        </w:rPr>
        <w:t xml:space="preserve">Poor</w:t>
      </w:r>
      <w:r>
        <w:t xml:space="preserve">. October.</w:t>
      </w:r>
    </w:p>
    <w:bookmarkEnd w:id="53"/>
    <w:bookmarkStart w:id="55" w:name="Xa66e51dc7d1b5a25f9f65477025553c1efad10b"/>
    <w:p>
      <w:pPr>
        <w:pStyle w:val="Bibliography"/>
      </w:pPr>
      <w:r>
        <w:t xml:space="preserve">Bureau of Transportation Statistics. 2024.</w:t>
      </w:r>
      <w:r>
        <w:t xml:space="preserve"> </w:t>
      </w:r>
      <w:r>
        <w:rPr>
          <w:i/>
          <w:iCs/>
        </w:rPr>
        <w:t xml:space="preserve">Transportation</w:t>
      </w:r>
      <w:r>
        <w:rPr>
          <w:i/>
          <w:iCs/>
        </w:rPr>
        <w:t xml:space="preserve"> </w:t>
      </w:r>
      <w:r>
        <w:rPr>
          <w:i/>
          <w:iCs/>
        </w:rPr>
        <w:t xml:space="preserve">Statistics</w:t>
      </w:r>
      <w:r>
        <w:rPr>
          <w:i/>
          <w:iCs/>
        </w:rPr>
        <w:t xml:space="preserve"> </w:t>
      </w:r>
      <w:r>
        <w:rPr>
          <w:i/>
          <w:iCs/>
        </w:rPr>
        <w:t xml:space="preserve">Annual</w:t>
      </w:r>
      <w:r>
        <w:rPr>
          <w:i/>
          <w:iCs/>
        </w:rPr>
        <w:t xml:space="preserve"> </w:t>
      </w:r>
      <w:r>
        <w:rPr>
          <w:i/>
          <w:iCs/>
        </w:rPr>
        <w:t xml:space="preserve">Report</w:t>
      </w:r>
      <w:r>
        <w:rPr>
          <w:i/>
          <w:iCs/>
        </w:rPr>
        <w:t xml:space="preserve"> </w:t>
      </w:r>
      <w:r>
        <w:rPr>
          <w:i/>
          <w:iCs/>
        </w:rPr>
        <w:t xml:space="preserve">2024</w:t>
      </w:r>
      <w:r>
        <w:t xml:space="preserve">. Bureau of Transportation Statistics.</w:t>
      </w:r>
      <w:r>
        <w:t xml:space="preserve"> </w:t>
      </w:r>
      <w:hyperlink r:id="rId54">
        <w:r>
          <w:rPr>
            <w:rStyle w:val="Hyperlink"/>
          </w:rPr>
          <w:t xml:space="preserve">https://doi.org/10.21949/E0KQ-GF72</w:t>
        </w:r>
      </w:hyperlink>
      <w:r>
        <w:t xml:space="preserve">.</w:t>
      </w:r>
    </w:p>
    <w:bookmarkEnd w:id="55"/>
    <w:bookmarkStart w:id="57" w:name="ref-choo_transportation_2007"/>
    <w:p>
      <w:pPr>
        <w:pStyle w:val="Bibliography"/>
      </w:pPr>
      <w:r>
        <w:t xml:space="preserve">Choo, Sangho, Taihyeong Lee, and Patricia L. Mokhtarian. 2007.</w:t>
      </w:r>
      <w:r>
        <w:t xml:space="preserve"> </w:t>
      </w:r>
      <w:r>
        <w:t xml:space="preserve">“Do</w:t>
      </w:r>
      <w:r>
        <w:t xml:space="preserve"> </w:t>
      </w:r>
      <w:r>
        <w:t xml:space="preserve">Transportation</w:t>
      </w:r>
      <w:r>
        <w:t xml:space="preserve"> </w:t>
      </w:r>
      <w:r>
        <w:t xml:space="preserve">and</w:t>
      </w:r>
      <w:r>
        <w:t xml:space="preserve"> </w:t>
      </w:r>
      <w:r>
        <w:t xml:space="preserve">Communications</w:t>
      </w:r>
      <w:r>
        <w:t xml:space="preserve"> </w:t>
      </w:r>
      <w:r>
        <w:t xml:space="preserve">Tend</w:t>
      </w:r>
      <w:r>
        <w:t xml:space="preserve"> </w:t>
      </w:r>
      <w:r>
        <w:t xml:space="preserve">to Be</w:t>
      </w:r>
      <w:r>
        <w:t xml:space="preserve"> </w:t>
      </w:r>
      <w:r>
        <w:t xml:space="preserve">Substitutes</w:t>
      </w:r>
      <w:r>
        <w:t xml:space="preserve">,</w:t>
      </w:r>
      <w:r>
        <w:t xml:space="preserve"> </w:t>
      </w:r>
      <w:r>
        <w:t xml:space="preserve">Complements</w:t>
      </w:r>
      <w:r>
        <w:t xml:space="preserve">, or</w:t>
      </w:r>
      <w:r>
        <w:t xml:space="preserve"> </w:t>
      </w:r>
      <w:r>
        <w:t xml:space="preserve">Neither</w:t>
      </w:r>
      <w:r>
        <w:t xml:space="preserve">?:</w:t>
      </w:r>
      <w:r>
        <w:t xml:space="preserve"> </w:t>
      </w:r>
      <w:r>
        <w:t xml:space="preserve">U</w:t>
      </w:r>
      <w:r>
        <w:t xml:space="preserve">.</w:t>
      </w:r>
      <w:r>
        <w:t xml:space="preserve">S</w:t>
      </w:r>
      <w:r>
        <w:t xml:space="preserve">.</w:t>
      </w:r>
      <w:r>
        <w:t xml:space="preserve"> </w:t>
      </w:r>
      <w:r>
        <w:t xml:space="preserve">Consumer</w:t>
      </w:r>
      <w:r>
        <w:t xml:space="preserve"> </w:t>
      </w:r>
      <w:r>
        <w:t xml:space="preserve">Expenditures</w:t>
      </w:r>
      <w:r>
        <w:t xml:space="preserve"> </w:t>
      </w:r>
      <w:r>
        <w:t xml:space="preserve">Perspective</w:t>
      </w:r>
      <w:r>
        <w:t xml:space="preserve">, 1984–2002.”</w:t>
      </w:r>
      <w:r>
        <w:t xml:space="preserve"> </w:t>
      </w:r>
      <w:r>
        <w:rPr>
          <w:i/>
          <w:iCs/>
        </w:rPr>
        <w:t xml:space="preserve">Transportation Research Record</w:t>
      </w:r>
      <w:r>
        <w:t xml:space="preserve"> </w:t>
      </w:r>
      <w:r>
        <w:t xml:space="preserve">2010 (1): 121–32.</w:t>
      </w:r>
      <w:r>
        <w:t xml:space="preserve"> </w:t>
      </w:r>
      <w:hyperlink r:id="rId56">
        <w:r>
          <w:rPr>
            <w:rStyle w:val="Hyperlink"/>
          </w:rPr>
          <w:t xml:space="preserve">https://doi.org/10.3141/2010-14</w:t>
        </w:r>
      </w:hyperlink>
      <w:r>
        <w:t xml:space="preserve">.</w:t>
      </w:r>
    </w:p>
    <w:bookmarkEnd w:id="57"/>
    <w:bookmarkStart w:id="59" w:name="ref-copperman_analysis_2007"/>
    <w:p>
      <w:pPr>
        <w:pStyle w:val="Bibliography"/>
      </w:pPr>
      <w:r>
        <w:t xml:space="preserve">Copperman, Rachel B., and Chandra R. Bhat. 2007a.</w:t>
      </w:r>
      <w:r>
        <w:t xml:space="preserve"> </w:t>
      </w:r>
      <w:r>
        <w:t xml:space="preserve">“An Analysis of the Determinants of Children’s Weekend Physical Activity Participation.”</w:t>
      </w:r>
      <w:r>
        <w:t xml:space="preserve"> </w:t>
      </w:r>
      <w:r>
        <w:rPr>
          <w:i/>
          <w:iCs/>
        </w:rPr>
        <w:t xml:space="preserve">Transportation</w:t>
      </w:r>
      <w:r>
        <w:t xml:space="preserve"> </w:t>
      </w:r>
      <w:r>
        <w:t xml:space="preserve">34 (1): 67–87.</w:t>
      </w:r>
      <w:r>
        <w:t xml:space="preserve"> </w:t>
      </w:r>
      <w:hyperlink r:id="rId58">
        <w:r>
          <w:rPr>
            <w:rStyle w:val="Hyperlink"/>
          </w:rPr>
          <w:t xml:space="preserve">https://doi.org/10.1007/s11116-006-0005-5</w:t>
        </w:r>
      </w:hyperlink>
      <w:r>
        <w:t xml:space="preserve">.</w:t>
      </w:r>
    </w:p>
    <w:bookmarkEnd w:id="59"/>
    <w:bookmarkStart w:id="60" w:name="ref-copperman_exploratory_2007"/>
    <w:p>
      <w:pPr>
        <w:pStyle w:val="Bibliography"/>
      </w:pPr>
      <w:r>
        <w:t xml:space="preserve">Copperman, Rachel B, and Chandra R Bhat. 2007b.</w:t>
      </w:r>
      <w:r>
        <w:t xml:space="preserve"> </w:t>
      </w:r>
      <w:r>
        <w:rPr>
          <w:i/>
          <w:iCs/>
        </w:rPr>
        <w:t xml:space="preserve">An</w:t>
      </w:r>
      <w:r>
        <w:rPr>
          <w:i/>
          <w:iCs/>
        </w:rPr>
        <w:t xml:space="preserve"> </w:t>
      </w:r>
      <w:r>
        <w:rPr>
          <w:i/>
          <w:iCs/>
        </w:rPr>
        <w:t xml:space="preserve">Exploratory</w:t>
      </w:r>
      <w:r>
        <w:rPr>
          <w:i/>
          <w:iCs/>
        </w:rPr>
        <w:t xml:space="preserve"> </w:t>
      </w:r>
      <w:r>
        <w:rPr>
          <w:i/>
          <w:iCs/>
        </w:rPr>
        <w:t xml:space="preserve">Analysis</w:t>
      </w:r>
      <w:r>
        <w:rPr>
          <w:i/>
          <w:iCs/>
        </w:rPr>
        <w:t xml:space="preserve"> </w:t>
      </w:r>
      <w:r>
        <w:rPr>
          <w:i/>
          <w:iCs/>
        </w:rPr>
        <w:t xml:space="preserve">of</w:t>
      </w:r>
      <w:r>
        <w:rPr>
          <w:i/>
          <w:iCs/>
        </w:rPr>
        <w:t xml:space="preserve"> </w:t>
      </w:r>
      <w:r>
        <w:rPr>
          <w:i/>
          <w:iCs/>
        </w:rPr>
        <w:t xml:space="preserve">Children</w:t>
      </w:r>
      <w:r>
        <w:rPr>
          <w:i/>
          <w:iCs/>
        </w:rPr>
        <w:t xml:space="preserve">’s</w:t>
      </w:r>
      <w:r>
        <w:rPr>
          <w:i/>
          <w:iCs/>
        </w:rPr>
        <w:t xml:space="preserve"> </w:t>
      </w:r>
      <w:r>
        <w:rPr>
          <w:i/>
          <w:iCs/>
        </w:rPr>
        <w:t xml:space="preserve">Daily</w:t>
      </w:r>
      <w:r>
        <w:rPr>
          <w:i/>
          <w:iCs/>
        </w:rPr>
        <w:t xml:space="preserve"> </w:t>
      </w:r>
      <w:r>
        <w:rPr>
          <w:i/>
          <w:iCs/>
        </w:rPr>
        <w:t xml:space="preserve">Time</w:t>
      </w:r>
      <w:r>
        <w:rPr>
          <w:i/>
          <w:iCs/>
        </w:rPr>
        <w:t xml:space="preserve">-</w:t>
      </w:r>
      <w:r>
        <w:rPr>
          <w:i/>
          <w:iCs/>
        </w:rPr>
        <w:t xml:space="preserve">Use</w:t>
      </w:r>
      <w:r>
        <w:rPr>
          <w:i/>
          <w:iCs/>
        </w:rPr>
        <w:t xml:space="preserve"> </w:t>
      </w:r>
      <w:r>
        <w:rPr>
          <w:i/>
          <w:iCs/>
        </w:rPr>
        <w:t xml:space="preserve">and</w:t>
      </w:r>
      <w:r>
        <w:rPr>
          <w:i/>
          <w:iCs/>
        </w:rPr>
        <w:t xml:space="preserve"> </w:t>
      </w:r>
      <w:r>
        <w:rPr>
          <w:i/>
          <w:iCs/>
        </w:rPr>
        <w:t xml:space="preserve">Activity</w:t>
      </w:r>
      <w:r>
        <w:rPr>
          <w:i/>
          <w:iCs/>
        </w:rPr>
        <w:t xml:space="preserve"> </w:t>
      </w:r>
      <w:r>
        <w:rPr>
          <w:i/>
          <w:iCs/>
        </w:rPr>
        <w:t xml:space="preserve">Patterns</w:t>
      </w:r>
      <w:r>
        <w:rPr>
          <w:i/>
          <w:iCs/>
        </w:rPr>
        <w:t xml:space="preserve"> </w:t>
      </w:r>
      <w:r>
        <w:rPr>
          <w:i/>
          <w:iCs/>
        </w:rPr>
        <w:t xml:space="preserve">Using</w:t>
      </w:r>
      <w:r>
        <w:rPr>
          <w:i/>
          <w:iCs/>
        </w:rPr>
        <w:t xml:space="preserve"> </w:t>
      </w:r>
      <w:r>
        <w:rPr>
          <w:i/>
          <w:iCs/>
        </w:rPr>
        <w:t xml:space="preserve">the</w:t>
      </w:r>
      <w:r>
        <w:rPr>
          <w:i/>
          <w:iCs/>
        </w:rPr>
        <w:t xml:space="preserve"> </w:t>
      </w:r>
      <w:r>
        <w:rPr>
          <w:i/>
          <w:iCs/>
        </w:rPr>
        <w:t xml:space="preserve">Child</w:t>
      </w:r>
      <w:r>
        <w:rPr>
          <w:i/>
          <w:iCs/>
        </w:rPr>
        <w:t xml:space="preserve"> </w:t>
      </w:r>
      <w:r>
        <w:rPr>
          <w:i/>
          <w:iCs/>
        </w:rPr>
        <w:t xml:space="preserve">Development</w:t>
      </w:r>
      <w:r>
        <w:rPr>
          <w:i/>
          <w:iCs/>
        </w:rPr>
        <w:t xml:space="preserve"> </w:t>
      </w:r>
      <w:r>
        <w:rPr>
          <w:i/>
          <w:iCs/>
        </w:rPr>
        <w:t xml:space="preserve">Supplement</w:t>
      </w:r>
      <w:r>
        <w:rPr>
          <w:i/>
          <w:iCs/>
        </w:rPr>
        <w:t xml:space="preserve"> </w:t>
      </w:r>
      <w:r>
        <w:rPr>
          <w:i/>
          <w:iCs/>
        </w:rPr>
        <w:t xml:space="preserve">(</w:t>
      </w:r>
      <w:r>
        <w:rPr>
          <w:i/>
          <w:iCs/>
        </w:rPr>
        <w:t xml:space="preserve">CDS</w:t>
      </w:r>
      <w:r>
        <w:rPr>
          <w:i/>
          <w:iCs/>
        </w:rPr>
        <w:t xml:space="preserve">) to the</w:t>
      </w:r>
      <w:r>
        <w:rPr>
          <w:i/>
          <w:iCs/>
        </w:rPr>
        <w:t xml:space="preserve"> </w:t>
      </w:r>
      <w:r>
        <w:rPr>
          <w:i/>
          <w:iCs/>
        </w:rPr>
        <w:t xml:space="preserve">US</w:t>
      </w:r>
      <w:r>
        <w:rPr>
          <w:i/>
          <w:iCs/>
        </w:rPr>
        <w:t xml:space="preserve"> </w:t>
      </w:r>
      <w:r>
        <w:rPr>
          <w:i/>
          <w:iCs/>
        </w:rPr>
        <w:t xml:space="preserve">Panel</w:t>
      </w:r>
      <w:r>
        <w:rPr>
          <w:i/>
          <w:iCs/>
        </w:rPr>
        <w:t xml:space="preserve"> </w:t>
      </w:r>
      <w:r>
        <w:rPr>
          <w:i/>
          <w:iCs/>
        </w:rPr>
        <w:t xml:space="preserve">Study</w:t>
      </w:r>
      <w:r>
        <w:rPr>
          <w:i/>
          <w:iCs/>
        </w:rPr>
        <w:t xml:space="preserve"> </w:t>
      </w:r>
      <w:r>
        <w:rPr>
          <w:i/>
          <w:iCs/>
        </w:rPr>
        <w:t xml:space="preserve">of</w:t>
      </w:r>
      <w:r>
        <w:rPr>
          <w:i/>
          <w:iCs/>
        </w:rPr>
        <w:t xml:space="preserve"> </w:t>
      </w:r>
      <w:r>
        <w:rPr>
          <w:i/>
          <w:iCs/>
        </w:rPr>
        <w:t xml:space="preserve">Income</w:t>
      </w:r>
      <w:r>
        <w:rPr>
          <w:i/>
          <w:iCs/>
        </w:rPr>
        <w:t xml:space="preserve"> </w:t>
      </w:r>
      <w:r>
        <w:rPr>
          <w:i/>
          <w:iCs/>
        </w:rPr>
        <w:t xml:space="preserve">Dynamics</w:t>
      </w:r>
      <w:r>
        <w:rPr>
          <w:i/>
          <w:iCs/>
        </w:rPr>
        <w:t xml:space="preserve"> </w:t>
      </w:r>
      <w:r>
        <w:rPr>
          <w:i/>
          <w:iCs/>
        </w:rPr>
        <w:t xml:space="preserve">(</w:t>
      </w:r>
      <w:r>
        <w:rPr>
          <w:i/>
          <w:iCs/>
        </w:rPr>
        <w:t xml:space="preserve">PSID</w:t>
      </w:r>
      <w:r>
        <w:rPr>
          <w:i/>
          <w:iCs/>
        </w:rPr>
        <w:t xml:space="preserve">)</w:t>
      </w:r>
      <w:r>
        <w:t xml:space="preserve">.</w:t>
      </w:r>
    </w:p>
    <w:bookmarkEnd w:id="60"/>
    <w:bookmarkStart w:id="62" w:name="ref-deka_relationship_2015"/>
    <w:p>
      <w:pPr>
        <w:pStyle w:val="Bibliography"/>
      </w:pPr>
      <w:r>
        <w:t xml:space="preserve">Deka, Devajyoti. 2015.</w:t>
      </w:r>
      <w:r>
        <w:t xml:space="preserve"> </w:t>
      </w:r>
      <w:r>
        <w:t xml:space="preserve">“Relationship Between</w:t>
      </w:r>
      <w:r>
        <w:t xml:space="preserve"> </w:t>
      </w:r>
      <w:r>
        <w:t xml:space="preserve">Households</w:t>
      </w:r>
      <w:r>
        <w:t xml:space="preserve">’</w:t>
      </w:r>
      <w:r>
        <w:t xml:space="preserve"> </w:t>
      </w:r>
      <w:r>
        <w:t xml:space="preserve">Housing</w:t>
      </w:r>
      <w:r>
        <w:t xml:space="preserve"> </w:t>
      </w:r>
      <w:r>
        <w:t xml:space="preserve">and</w:t>
      </w:r>
      <w:r>
        <w:t xml:space="preserve"> </w:t>
      </w:r>
      <w:r>
        <w:t xml:space="preserve">Transportation</w:t>
      </w:r>
      <w:r>
        <w:t xml:space="preserve"> </w:t>
      </w:r>
      <w:r>
        <w:t xml:space="preserve">Expenditures</w:t>
      </w:r>
      <w:r>
        <w:t xml:space="preserve">:</w:t>
      </w:r>
      <w:r>
        <w:t xml:space="preserve"> </w:t>
      </w:r>
      <w:r>
        <w:t xml:space="preserve">Examination</w:t>
      </w:r>
      <w:r>
        <w:t xml:space="preserve"> </w:t>
      </w:r>
      <w:r>
        <w:t xml:space="preserve">from</w:t>
      </w:r>
      <w:r>
        <w:t xml:space="preserve"> </w:t>
      </w:r>
      <w:r>
        <w:t xml:space="preserve">Lifestyle</w:t>
      </w:r>
      <w:r>
        <w:t xml:space="preserve"> </w:t>
      </w:r>
      <w:r>
        <w:t xml:space="preserve">Perspective</w:t>
      </w:r>
      <w:r>
        <w:t xml:space="preserve">.”</w:t>
      </w:r>
      <w:r>
        <w:t xml:space="preserve"> </w:t>
      </w:r>
      <w:r>
        <w:rPr>
          <w:i/>
          <w:iCs/>
        </w:rPr>
        <w:t xml:space="preserve">Transportation Research Record</w:t>
      </w:r>
      <w:r>
        <w:t xml:space="preserve"> </w:t>
      </w:r>
      <w:r>
        <w:t xml:space="preserve">2531 (1): 26–35.</w:t>
      </w:r>
      <w:r>
        <w:t xml:space="preserve"> </w:t>
      </w:r>
      <w:hyperlink r:id="rId61">
        <w:r>
          <w:rPr>
            <w:rStyle w:val="Hyperlink"/>
          </w:rPr>
          <w:t xml:space="preserve">https://doi.org/10.3141/2531-04</w:t>
        </w:r>
      </w:hyperlink>
      <w:r>
        <w:t xml:space="preserve">.</w:t>
      </w:r>
    </w:p>
    <w:bookmarkEnd w:id="62"/>
    <w:bookmarkStart w:id="64" w:name="ref-duncan_estimating_2023"/>
    <w:p>
      <w:pPr>
        <w:pStyle w:val="Bibliography"/>
      </w:pPr>
      <w:r>
        <w:t xml:space="preserve">Duncan, Karen A., Kristyn Frank, and Anne Guèvremont. 2023.</w:t>
      </w:r>
      <w:r>
        <w:t xml:space="preserve"> </w:t>
      </w:r>
      <w:r>
        <w:rPr>
          <w:i/>
          <w:iCs/>
        </w:rPr>
        <w:t xml:space="preserve">Estimating</w:t>
      </w:r>
      <w:r>
        <w:rPr>
          <w:i/>
          <w:iCs/>
        </w:rPr>
        <w:t xml:space="preserve"> </w:t>
      </w:r>
      <w:r>
        <w:rPr>
          <w:i/>
          <w:iCs/>
        </w:rPr>
        <w:t xml:space="preserve">Expenditures</w:t>
      </w:r>
      <w:r>
        <w:rPr>
          <w:i/>
          <w:iCs/>
        </w:rPr>
        <w:t xml:space="preserve"> </w:t>
      </w:r>
      <w:r>
        <w:rPr>
          <w:i/>
          <w:iCs/>
        </w:rPr>
        <w:t xml:space="preserve">on</w:t>
      </w:r>
      <w:r>
        <w:rPr>
          <w:i/>
          <w:iCs/>
        </w:rPr>
        <w:t xml:space="preserve"> </w:t>
      </w:r>
      <w:r>
        <w:rPr>
          <w:i/>
          <w:iCs/>
        </w:rPr>
        <w:t xml:space="preserve">Children</w:t>
      </w:r>
      <w:r>
        <w:rPr>
          <w:i/>
          <w:iCs/>
        </w:rPr>
        <w:t xml:space="preserve"> </w:t>
      </w:r>
      <w:r>
        <w:rPr>
          <w:i/>
          <w:iCs/>
        </w:rPr>
        <w:t xml:space="preserve">by</w:t>
      </w:r>
      <w:r>
        <w:rPr>
          <w:i/>
          <w:iCs/>
        </w:rPr>
        <w:t xml:space="preserve"> </w:t>
      </w:r>
      <w:r>
        <w:rPr>
          <w:i/>
          <w:iCs/>
        </w:rPr>
        <w:t xml:space="preserve">Families</w:t>
      </w:r>
      <w:r>
        <w:rPr>
          <w:i/>
          <w:iCs/>
        </w:rPr>
        <w:t xml:space="preserve"> </w:t>
      </w:r>
      <w:r>
        <w:rPr>
          <w:i/>
          <w:iCs/>
        </w:rPr>
        <w:t xml:space="preserve">in</w:t>
      </w:r>
      <w:r>
        <w:rPr>
          <w:i/>
          <w:iCs/>
        </w:rPr>
        <w:t xml:space="preserve"> </w:t>
      </w:r>
      <w:r>
        <w:rPr>
          <w:i/>
          <w:iCs/>
        </w:rPr>
        <w:t xml:space="preserve">Canada</w:t>
      </w:r>
      <w:r>
        <w:rPr>
          <w:i/>
          <w:iCs/>
        </w:rPr>
        <w:t xml:space="preserve">, 2014 to 2017</w:t>
      </w:r>
      <w:r>
        <w:t xml:space="preserve">. September.</w:t>
      </w:r>
      <w:r>
        <w:t xml:space="preserve"> </w:t>
      </w:r>
      <w:hyperlink r:id="rId63">
        <w:r>
          <w:rPr>
            <w:rStyle w:val="Hyperlink"/>
          </w:rPr>
          <w:t xml:space="preserve">https://doi.org/10.25318/11F0019M2023007-ENG</w:t>
        </w:r>
      </w:hyperlink>
      <w:r>
        <w:t xml:space="preserve">.</w:t>
      </w:r>
    </w:p>
    <w:bookmarkEnd w:id="64"/>
    <w:bookmarkStart w:id="66" w:name="ref-ferdous_comprehensive_2010"/>
    <w:p>
      <w:pPr>
        <w:pStyle w:val="Bibliography"/>
      </w:pPr>
      <w:r>
        <w:t xml:space="preserve">Ferdous, Nazneen, Abdul Rawoof Pinjari, Chandra R. Bhat, and Ram M. Pendyala. 2010.</w:t>
      </w:r>
      <w:r>
        <w:t xml:space="preserve"> </w:t>
      </w:r>
      <w:r>
        <w:t xml:space="preserve">“A Comprehensive Analysis of Household Transportation Expenditures Relative to Other Goods and Services: An Application to</w:t>
      </w:r>
      <w:r>
        <w:t xml:space="preserve"> </w:t>
      </w:r>
      <w:r>
        <w:t xml:space="preserve">United</w:t>
      </w:r>
      <w:r>
        <w:t xml:space="preserve"> </w:t>
      </w:r>
      <w:r>
        <w:t xml:space="preserve">States</w:t>
      </w:r>
      <w:r>
        <w:t xml:space="preserve"> </w:t>
      </w:r>
      <w:r>
        <w:t xml:space="preserve">Consumer Expenditure Data.”</w:t>
      </w:r>
      <w:r>
        <w:t xml:space="preserve"> </w:t>
      </w:r>
      <w:r>
        <w:rPr>
          <w:i/>
          <w:iCs/>
        </w:rPr>
        <w:t xml:space="preserve">Transportation</w:t>
      </w:r>
      <w:r>
        <w:t xml:space="preserve"> </w:t>
      </w:r>
      <w:r>
        <w:t xml:space="preserve">37 (3): 363–90.</w:t>
      </w:r>
      <w:r>
        <w:t xml:space="preserve"> </w:t>
      </w:r>
      <w:hyperlink r:id="rId65">
        <w:r>
          <w:rPr>
            <w:rStyle w:val="Hyperlink"/>
          </w:rPr>
          <w:t xml:space="preserve">https://doi.org/10.1007/s11116-010-9264-2</w:t>
        </w:r>
      </w:hyperlink>
      <w:r>
        <w:t xml:space="preserve">.</w:t>
      </w:r>
    </w:p>
    <w:bookmarkEnd w:id="66"/>
    <w:bookmarkStart w:id="68" w:name="ref-fontes_effects_2006"/>
    <w:p>
      <w:pPr>
        <w:pStyle w:val="Bibliography"/>
      </w:pPr>
      <w:r>
        <w:t xml:space="preserve">Fontes, Angela, and Jessie Fan. 2006.</w:t>
      </w:r>
      <w:r>
        <w:t xml:space="preserve"> </w:t>
      </w:r>
      <w:r>
        <w:t xml:space="preserve">“The</w:t>
      </w:r>
      <w:r>
        <w:t xml:space="preserve"> </w:t>
      </w:r>
      <w:r>
        <w:t xml:space="preserve">Effects</w:t>
      </w:r>
      <w:r>
        <w:t xml:space="preserve"> </w:t>
      </w:r>
      <w:r>
        <w:t xml:space="preserve">of</w:t>
      </w:r>
      <w:r>
        <w:t xml:space="preserve"> </w:t>
      </w:r>
      <w:r>
        <w:t xml:space="preserve">Ethnic</w:t>
      </w:r>
      <w:r>
        <w:t xml:space="preserve"> </w:t>
      </w:r>
      <w:r>
        <w:t xml:space="preserve">Identity</w:t>
      </w:r>
      <w:r>
        <w:t xml:space="preserve"> </w:t>
      </w:r>
      <w:r>
        <w:t xml:space="preserve">on</w:t>
      </w:r>
      <w:r>
        <w:t xml:space="preserve"> </w:t>
      </w:r>
      <w:r>
        <w:t xml:space="preserve">Household</w:t>
      </w:r>
      <w:r>
        <w:t xml:space="preserve"> </w:t>
      </w:r>
      <w:r>
        <w:t xml:space="preserve">Budget</w:t>
      </w:r>
      <w:r>
        <w:t xml:space="preserve"> </w:t>
      </w:r>
      <w:r>
        <w:t xml:space="preserve">Allocation</w:t>
      </w:r>
      <w:r>
        <w:t xml:space="preserve"> </w:t>
      </w:r>
      <w:r>
        <w:t xml:space="preserve">to</w:t>
      </w:r>
      <w:r>
        <w:t xml:space="preserve"> </w:t>
      </w:r>
      <w:r>
        <w:t xml:space="preserve">Status</w:t>
      </w:r>
      <w:r>
        <w:t xml:space="preserve"> </w:t>
      </w:r>
      <w:r>
        <w:t xml:space="preserve">Conveying</w:t>
      </w:r>
      <w:r>
        <w:t xml:space="preserve"> </w:t>
      </w:r>
      <w:r>
        <w:t xml:space="preserve">Goods</w:t>
      </w:r>
      <w:r>
        <w:t xml:space="preserve">.”</w:t>
      </w:r>
      <w:r>
        <w:t xml:space="preserve"> </w:t>
      </w:r>
      <w:r>
        <w:rPr>
          <w:i/>
          <w:iCs/>
        </w:rPr>
        <w:t xml:space="preserve">Journal of Family and Economic Issues</w:t>
      </w:r>
      <w:r>
        <w:t xml:space="preserve"> </w:t>
      </w:r>
      <w:r>
        <w:t xml:space="preserve">27 (February): 643–63.</w:t>
      </w:r>
      <w:r>
        <w:t xml:space="preserve"> </w:t>
      </w:r>
      <w:hyperlink r:id="rId67">
        <w:r>
          <w:rPr>
            <w:rStyle w:val="Hyperlink"/>
          </w:rPr>
          <w:t xml:space="preserve">https://doi.org/10.1007/s10834-006-9031-x</w:t>
        </w:r>
      </w:hyperlink>
      <w:r>
        <w:t xml:space="preserve">.</w:t>
      </w:r>
    </w:p>
    <w:bookmarkEnd w:id="68"/>
    <w:bookmarkStart w:id="70" w:name="ref-haas_estimating_2008"/>
    <w:p>
      <w:pPr>
        <w:pStyle w:val="Bibliography"/>
      </w:pPr>
      <w:r>
        <w:t xml:space="preserve">Haas, Peter M., Carrie Makarewicz, Albert Benedict, and Scott Bernstein. 2008.</w:t>
      </w:r>
      <w:r>
        <w:t xml:space="preserve"> </w:t>
      </w:r>
      <w:r>
        <w:t xml:space="preserve">“Estimating</w:t>
      </w:r>
      <w:r>
        <w:t xml:space="preserve"> </w:t>
      </w:r>
      <w:r>
        <w:t xml:space="preserve">Transportation</w:t>
      </w:r>
      <w:r>
        <w:t xml:space="preserve"> </w:t>
      </w:r>
      <w:r>
        <w:t xml:space="preserve">Costs</w:t>
      </w:r>
      <w:r>
        <w:t xml:space="preserve"> </w:t>
      </w:r>
      <w:r>
        <w:t xml:space="preserve">by</w:t>
      </w:r>
      <w:r>
        <w:t xml:space="preserve"> </w:t>
      </w:r>
      <w:r>
        <w:t xml:space="preserve">Characteristics</w:t>
      </w:r>
      <w:r>
        <w:t xml:space="preserve"> </w:t>
      </w:r>
      <w:r>
        <w:t xml:space="preserve">of</w:t>
      </w:r>
      <w:r>
        <w:t xml:space="preserve"> </w:t>
      </w:r>
      <w:r>
        <w:t xml:space="preserve">Neighborhood</w:t>
      </w:r>
      <w:r>
        <w:t xml:space="preserve"> </w:t>
      </w:r>
      <w:r>
        <w:t xml:space="preserve">and</w:t>
      </w:r>
      <w:r>
        <w:t xml:space="preserve"> </w:t>
      </w:r>
      <w:r>
        <w:t xml:space="preserve">Household</w:t>
      </w:r>
      <w:r>
        <w:t xml:space="preserve">.”</w:t>
      </w:r>
      <w:r>
        <w:t xml:space="preserve"> </w:t>
      </w:r>
      <w:r>
        <w:rPr>
          <w:i/>
          <w:iCs/>
        </w:rPr>
        <w:t xml:space="preserve">Transportation Research Record</w:t>
      </w:r>
      <w:r>
        <w:t xml:space="preserve"> </w:t>
      </w:r>
      <w:r>
        <w:t xml:space="preserve">2077 (1): 62–70.</w:t>
      </w:r>
      <w:r>
        <w:t xml:space="preserve"> </w:t>
      </w:r>
      <w:hyperlink r:id="rId69">
        <w:r>
          <w:rPr>
            <w:rStyle w:val="Hyperlink"/>
          </w:rPr>
          <w:t xml:space="preserve">https://doi.org/10.3141/2077-09</w:t>
        </w:r>
      </w:hyperlink>
      <w:r>
        <w:t xml:space="preserve">.</w:t>
      </w:r>
    </w:p>
    <w:bookmarkEnd w:id="70"/>
    <w:bookmarkStart w:id="71" w:name="ref-hargunani_study_2024"/>
    <w:p>
      <w:pPr>
        <w:pStyle w:val="Bibliography"/>
      </w:pPr>
      <w:r>
        <w:t xml:space="preserve">Hargunani, Chahat, Sachin Vernekar, and Shradha Vernekar. 2024.</w:t>
      </w:r>
      <w:r>
        <w:t xml:space="preserve"> </w:t>
      </w:r>
      <w:r>
        <w:rPr>
          <w:i/>
          <w:iCs/>
        </w:rPr>
        <w:t xml:space="preserve">A</w:t>
      </w:r>
      <w:r>
        <w:rPr>
          <w:i/>
          <w:iCs/>
        </w:rPr>
        <w:t xml:space="preserve"> </w:t>
      </w:r>
      <w:r>
        <w:rPr>
          <w:i/>
          <w:iCs/>
        </w:rPr>
        <w:t xml:space="preserve">STUDY</w:t>
      </w:r>
      <w:r>
        <w:rPr>
          <w:i/>
          <w:iCs/>
        </w:rPr>
        <w:t xml:space="preserve"> </w:t>
      </w:r>
      <w:r>
        <w:rPr>
          <w:i/>
          <w:iCs/>
        </w:rPr>
        <w:t xml:space="preserve">OF</w:t>
      </w:r>
      <w:r>
        <w:rPr>
          <w:i/>
          <w:iCs/>
        </w:rPr>
        <w:t xml:space="preserve"> </w:t>
      </w:r>
      <w:r>
        <w:rPr>
          <w:i/>
          <w:iCs/>
        </w:rPr>
        <w:t xml:space="preserve">SPENDING</w:t>
      </w:r>
      <w:r>
        <w:rPr>
          <w:i/>
          <w:iCs/>
        </w:rPr>
        <w:t xml:space="preserve">,</w:t>
      </w:r>
      <w:r>
        <w:rPr>
          <w:i/>
          <w:iCs/>
        </w:rPr>
        <w:t xml:space="preserve"> </w:t>
      </w:r>
      <w:r>
        <w:rPr>
          <w:i/>
          <w:iCs/>
        </w:rPr>
        <w:t xml:space="preserve">SAVING</w:t>
      </w:r>
      <w:r>
        <w:rPr>
          <w:i/>
          <w:iCs/>
        </w:rPr>
        <w:t xml:space="preserve"> </w:t>
      </w:r>
      <w:r>
        <w:rPr>
          <w:i/>
          <w:iCs/>
        </w:rPr>
        <w:t xml:space="preserve">AND</w:t>
      </w:r>
      <w:r>
        <w:rPr>
          <w:i/>
          <w:iCs/>
        </w:rPr>
        <w:t xml:space="preserve"> </w:t>
      </w:r>
      <w:r>
        <w:rPr>
          <w:i/>
          <w:iCs/>
        </w:rPr>
        <w:t xml:space="preserve">INVESTMENT</w:t>
      </w:r>
      <w:r>
        <w:rPr>
          <w:i/>
          <w:iCs/>
        </w:rPr>
        <w:t xml:space="preserve"> </w:t>
      </w:r>
      <w:r>
        <w:rPr>
          <w:i/>
          <w:iCs/>
        </w:rPr>
        <w:t xml:space="preserve">PATTERNS</w:t>
      </w:r>
      <w:r>
        <w:rPr>
          <w:i/>
          <w:iCs/>
        </w:rPr>
        <w:t xml:space="preserve"> </w:t>
      </w:r>
      <w:r>
        <w:rPr>
          <w:i/>
          <w:iCs/>
        </w:rPr>
        <w:t xml:space="preserve">OF</w:t>
      </w:r>
      <w:r>
        <w:rPr>
          <w:i/>
          <w:iCs/>
        </w:rPr>
        <w:t xml:space="preserve"> </w:t>
      </w:r>
      <w:r>
        <w:rPr>
          <w:i/>
          <w:iCs/>
        </w:rPr>
        <w:t xml:space="preserve">MARRIED</w:t>
      </w:r>
      <w:r>
        <w:rPr>
          <w:i/>
          <w:iCs/>
        </w:rPr>
        <w:t xml:space="preserve"> </w:t>
      </w:r>
      <w:r>
        <w:rPr>
          <w:i/>
          <w:iCs/>
        </w:rPr>
        <w:t xml:space="preserve">COUPLES</w:t>
      </w:r>
      <w:r>
        <w:rPr>
          <w:i/>
          <w:iCs/>
        </w:rPr>
        <w:t xml:space="preserve"> </w:t>
      </w:r>
      <w:r>
        <w:rPr>
          <w:i/>
          <w:iCs/>
        </w:rPr>
        <w:t xml:space="preserve">WITH</w:t>
      </w:r>
      <w:r>
        <w:rPr>
          <w:i/>
          <w:iCs/>
        </w:rPr>
        <w:t xml:space="preserve"> </w:t>
      </w:r>
      <w:r>
        <w:rPr>
          <w:i/>
          <w:iCs/>
        </w:rPr>
        <w:t xml:space="preserve">CHILDREN</w:t>
      </w:r>
      <w:r>
        <w:rPr>
          <w:i/>
          <w:iCs/>
        </w:rPr>
        <w:t xml:space="preserve">(</w:t>
      </w:r>
      <w:r>
        <w:rPr>
          <w:i/>
          <w:iCs/>
        </w:rPr>
        <w:t xml:space="preserve">NON</w:t>
      </w:r>
      <w:r>
        <w:rPr>
          <w:i/>
          <w:iCs/>
        </w:rPr>
        <w:t xml:space="preserve">-</w:t>
      </w:r>
      <w:r>
        <w:rPr>
          <w:i/>
          <w:iCs/>
        </w:rPr>
        <w:t xml:space="preserve">DINK</w:t>
      </w:r>
      <w:r>
        <w:rPr>
          <w:i/>
          <w:iCs/>
        </w:rPr>
        <w:t xml:space="preserve">)</w:t>
      </w:r>
      <w:r>
        <w:rPr>
          <w:i/>
          <w:iCs/>
        </w:rPr>
        <w:t xml:space="preserve"> </w:t>
      </w:r>
      <w:r>
        <w:rPr>
          <w:i/>
          <w:iCs/>
        </w:rPr>
        <w:t xml:space="preserve">IN</w:t>
      </w:r>
      <w:r>
        <w:rPr>
          <w:i/>
          <w:iCs/>
        </w:rPr>
        <w:t xml:space="preserve"> </w:t>
      </w:r>
      <w:r>
        <w:rPr>
          <w:i/>
          <w:iCs/>
        </w:rPr>
        <w:t xml:space="preserve">MUMBAI</w:t>
      </w:r>
      <w:r>
        <w:t xml:space="preserve">. 20 (1).</w:t>
      </w:r>
    </w:p>
    <w:bookmarkEnd w:id="71"/>
    <w:bookmarkStart w:id="73" w:name="ref-hastings_parental_2022"/>
    <w:p>
      <w:pPr>
        <w:pStyle w:val="Bibliography"/>
      </w:pPr>
      <w:r>
        <w:t xml:space="preserve">Hastings, Orestes P. 2022.</w:t>
      </w:r>
      <w:r>
        <w:t xml:space="preserve"> </w:t>
      </w:r>
      <w:r>
        <w:t xml:space="preserve">“Parental</w:t>
      </w:r>
      <w:r>
        <w:t xml:space="preserve"> </w:t>
      </w:r>
      <w:r>
        <w:t xml:space="preserve">Investments</w:t>
      </w:r>
      <w:r>
        <w:t xml:space="preserve"> </w:t>
      </w:r>
      <w:r>
        <w:t xml:space="preserve">of</w:t>
      </w:r>
      <w:r>
        <w:t xml:space="preserve"> </w:t>
      </w:r>
      <w:r>
        <w:t xml:space="preserve">Money</w:t>
      </w:r>
      <w:r>
        <w:t xml:space="preserve"> </w:t>
      </w:r>
      <w:r>
        <w:t xml:space="preserve">for</w:t>
      </w:r>
      <w:r>
        <w:t xml:space="preserve"> </w:t>
      </w:r>
      <w:r>
        <w:t xml:space="preserve">White</w:t>
      </w:r>
      <w:r>
        <w:t xml:space="preserve">,</w:t>
      </w:r>
      <w:r>
        <w:t xml:space="preserve"> </w:t>
      </w:r>
      <w:r>
        <w:t xml:space="preserve">Black</w:t>
      </w:r>
      <w:r>
        <w:t xml:space="preserve">, and</w:t>
      </w:r>
      <w:r>
        <w:t xml:space="preserve"> </w:t>
      </w:r>
      <w:r>
        <w:t xml:space="preserve">Hispanic</w:t>
      </w:r>
      <w:r>
        <w:t xml:space="preserve"> </w:t>
      </w:r>
      <w:r>
        <w:t xml:space="preserve">Children</w:t>
      </w:r>
      <w:r>
        <w:t xml:space="preserve"> </w:t>
      </w:r>
      <w:r>
        <w:t xml:space="preserve">in the</w:t>
      </w:r>
      <w:r>
        <w:t xml:space="preserve"> </w:t>
      </w:r>
      <w:r>
        <w:t xml:space="preserve">United</w:t>
      </w:r>
      <w:r>
        <w:t xml:space="preserve"> </w:t>
      </w:r>
      <w:r>
        <w:t xml:space="preserve">States</w:t>
      </w:r>
      <w:r>
        <w:t xml:space="preserve">.”</w:t>
      </w:r>
      <w:r>
        <w:t xml:space="preserve"> </w:t>
      </w:r>
      <w:r>
        <w:rPr>
          <w:i/>
          <w:iCs/>
        </w:rPr>
        <w:t xml:space="preserve">Socius: Sociological Research for a Dynamic World</w:t>
      </w:r>
      <w:r>
        <w:t xml:space="preserve"> </w:t>
      </w:r>
      <w:r>
        <w:t xml:space="preserve">8 (January): 23780231221103054.</w:t>
      </w:r>
      <w:r>
        <w:t xml:space="preserve"> </w:t>
      </w:r>
      <w:hyperlink r:id="rId72">
        <w:r>
          <w:rPr>
            <w:rStyle w:val="Hyperlink"/>
          </w:rPr>
          <w:t xml:space="preserve">https://doi.org/10.1177/23780231221103054</w:t>
        </w:r>
      </w:hyperlink>
      <w:r>
        <w:t xml:space="preserve">.</w:t>
      </w:r>
    </w:p>
    <w:bookmarkEnd w:id="73"/>
    <w:bookmarkStart w:id="75" w:name="ref-hong_leisure_2005"/>
    <w:p>
      <w:pPr>
        <w:pStyle w:val="Bibliography"/>
      </w:pPr>
      <w:r>
        <w:t xml:space="preserve">Hong, Gong-Soog, Jessie X. Fan, Lance Palmer, and Vibha Bhargava. 2005.</w:t>
      </w:r>
      <w:r>
        <w:t xml:space="preserve"> </w:t>
      </w:r>
      <w:r>
        <w:t xml:space="preserve">“Leisure</w:t>
      </w:r>
      <w:r>
        <w:t xml:space="preserve"> </w:t>
      </w:r>
      <w:r>
        <w:t xml:space="preserve">Travel</w:t>
      </w:r>
      <w:r>
        <w:t xml:space="preserve"> </w:t>
      </w:r>
      <w:r>
        <w:t xml:space="preserve">Expenditure</w:t>
      </w:r>
      <w:r>
        <w:t xml:space="preserve"> </w:t>
      </w:r>
      <w:r>
        <w:t xml:space="preserve">Patterns</w:t>
      </w:r>
      <w:r>
        <w:t xml:space="preserve"> </w:t>
      </w:r>
      <w:r>
        <w:t xml:space="preserve">by</w:t>
      </w:r>
      <w:r>
        <w:t xml:space="preserve"> </w:t>
      </w:r>
      <w:r>
        <w:t xml:space="preserve">Family</w:t>
      </w:r>
      <w:r>
        <w:t xml:space="preserve"> </w:t>
      </w:r>
      <w:r>
        <w:t xml:space="preserve">Life</w:t>
      </w:r>
      <w:r>
        <w:t xml:space="preserve"> </w:t>
      </w:r>
      <w:r>
        <w:t xml:space="preserve">Cycle</w:t>
      </w:r>
      <w:r>
        <w:t xml:space="preserve"> </w:t>
      </w:r>
      <w:r>
        <w:t xml:space="preserve">Stages</w:t>
      </w:r>
      <w:r>
        <w:t xml:space="preserve">.”</w:t>
      </w:r>
      <w:r>
        <w:t xml:space="preserve"> </w:t>
      </w:r>
      <w:r>
        <w:rPr>
          <w:i/>
          <w:iCs/>
        </w:rPr>
        <w:t xml:space="preserve">Journal of Travel &amp; Tourism Marketing</w:t>
      </w:r>
      <w:r>
        <w:t xml:space="preserve"> </w:t>
      </w:r>
      <w:r>
        <w:t xml:space="preserve">18 (2): 15–30.</w:t>
      </w:r>
      <w:r>
        <w:t xml:space="preserve"> </w:t>
      </w:r>
      <w:hyperlink r:id="rId74">
        <w:r>
          <w:rPr>
            <w:rStyle w:val="Hyperlink"/>
          </w:rPr>
          <w:t xml:space="preserve">https://doi.org/10.1300/J073v18n02_02</w:t>
        </w:r>
      </w:hyperlink>
      <w:r>
        <w:t xml:space="preserve">.</w:t>
      </w:r>
    </w:p>
    <w:bookmarkEnd w:id="75"/>
    <w:bookmarkStart w:id="77" w:name="ref-johnson_century_2001"/>
    <w:p>
      <w:pPr>
        <w:pStyle w:val="Bibliography"/>
      </w:pPr>
      <w:r>
        <w:t xml:space="preserve">Johnson, David S., John M. Rogers, and Lucilla Tan. 2001.</w:t>
      </w:r>
      <w:r>
        <w:t xml:space="preserve"> </w:t>
      </w:r>
      <w:r>
        <w:t xml:space="preserve">“A</w:t>
      </w:r>
      <w:r>
        <w:t xml:space="preserve"> </w:t>
      </w:r>
      <w:r>
        <w:t xml:space="preserve">Century</w:t>
      </w:r>
      <w:r>
        <w:t xml:space="preserve"> </w:t>
      </w:r>
      <w:r>
        <w:t xml:space="preserve">of</w:t>
      </w:r>
      <w:r>
        <w:t xml:space="preserve"> </w:t>
      </w:r>
      <w:r>
        <w:t xml:space="preserve">Family</w:t>
      </w:r>
      <w:r>
        <w:t xml:space="preserve"> </w:t>
      </w:r>
      <w:r>
        <w:t xml:space="preserve">Budgets</w:t>
      </w:r>
      <w:r>
        <w:t xml:space="preserve"> </w:t>
      </w:r>
      <w:r>
        <w:t xml:space="preserve">in the</w:t>
      </w:r>
      <w:r>
        <w:t xml:space="preserve"> </w:t>
      </w:r>
      <w:r>
        <w:t xml:space="preserve">United</w:t>
      </w:r>
      <w:r>
        <w:t xml:space="preserve"> </w:t>
      </w:r>
      <w:r>
        <w:t xml:space="preserve">States</w:t>
      </w:r>
      <w:r>
        <w:t xml:space="preserve">.”</w:t>
      </w:r>
      <w:r>
        <w:t xml:space="preserve"> </w:t>
      </w:r>
      <w:r>
        <w:rPr>
          <w:i/>
          <w:iCs/>
        </w:rPr>
        <w:t xml:space="preserve">Monthly Labor Review</w:t>
      </w:r>
      <w:r>
        <w:t xml:space="preserve"> </w:t>
      </w:r>
      <w:r>
        <w:t xml:space="preserve">124 (5): 28–45.</w:t>
      </w:r>
      <w:r>
        <w:t xml:space="preserve"> </w:t>
      </w:r>
      <w:hyperlink r:id="rId76">
        <w:r>
          <w:rPr>
            <w:rStyle w:val="Hyperlink"/>
          </w:rPr>
          <w:t xml:space="preserve">https://heinonline.org/HOL/P?h=hein.journals/month124&amp;i=482</w:t>
        </w:r>
      </w:hyperlink>
      <w:r>
        <w:t xml:space="preserve">.</w:t>
      </w:r>
    </w:p>
    <w:bookmarkEnd w:id="77"/>
    <w:bookmarkStart w:id="79" w:name="ref-klein_subsidizing_2024"/>
    <w:p>
      <w:pPr>
        <w:pStyle w:val="Bibliography"/>
      </w:pPr>
      <w:r>
        <w:t xml:space="preserve">Klein, Nicholas J. 2024.</w:t>
      </w:r>
      <w:r>
        <w:t xml:space="preserve"> </w:t>
      </w:r>
      <w:r>
        <w:t xml:space="preserve">“Subsidizing</w:t>
      </w:r>
      <w:r>
        <w:t xml:space="preserve"> </w:t>
      </w:r>
      <w:r>
        <w:t xml:space="preserve">Car</w:t>
      </w:r>
      <w:r>
        <w:t xml:space="preserve"> </w:t>
      </w:r>
      <w:r>
        <w:t xml:space="preserve">Ownership</w:t>
      </w:r>
      <w:r>
        <w:t xml:space="preserve"> </w:t>
      </w:r>
      <w:r>
        <w:t xml:space="preserve">for</w:t>
      </w:r>
      <w:r>
        <w:t xml:space="preserve"> </w:t>
      </w:r>
      <w:r>
        <w:t xml:space="preserve">Low</w:t>
      </w:r>
      <w:r>
        <w:t xml:space="preserve">-</w:t>
      </w:r>
      <w:r>
        <w:t xml:space="preserve">Income</w:t>
      </w:r>
      <w:r>
        <w:t xml:space="preserve"> </w:t>
      </w:r>
      <w:r>
        <w:t xml:space="preserve">Individuals</w:t>
      </w:r>
      <w:r>
        <w:t xml:space="preserve"> </w:t>
      </w:r>
      <w:r>
        <w:t xml:space="preserve">and</w:t>
      </w:r>
      <w:r>
        <w:t xml:space="preserve"> </w:t>
      </w:r>
      <w:r>
        <w:t xml:space="preserve">Households</w:t>
      </w:r>
      <w:r>
        <w:t xml:space="preserve">.”</w:t>
      </w:r>
      <w:r>
        <w:t xml:space="preserve"> </w:t>
      </w:r>
      <w:r>
        <w:rPr>
          <w:i/>
          <w:iCs/>
        </w:rPr>
        <w:t xml:space="preserve">Journal of Planning Education and Research</w:t>
      </w:r>
      <w:r>
        <w:t xml:space="preserve"> </w:t>
      </w:r>
      <w:r>
        <w:t xml:space="preserve">44 (1): 165–77.</w:t>
      </w:r>
      <w:r>
        <w:t xml:space="preserve"> </w:t>
      </w:r>
      <w:hyperlink r:id="rId78">
        <w:r>
          <w:rPr>
            <w:rStyle w:val="Hyperlink"/>
          </w:rPr>
          <w:t xml:space="preserve">https://doi.org/10.1177/0739456X20950428</w:t>
        </w:r>
      </w:hyperlink>
      <w:r>
        <w:t xml:space="preserve">.</w:t>
      </w:r>
    </w:p>
    <w:bookmarkEnd w:id="79"/>
    <w:bookmarkStart w:id="81" w:name="ref-leung_environment-people_2019"/>
    <w:p>
      <w:pPr>
        <w:pStyle w:val="Bibliography"/>
      </w:pPr>
      <w:r>
        <w:t xml:space="preserve">Leung, Kevin Y. K., Sebastian Astroza, Becky P. Y. Loo, and Chandra R. Bhat. 2019.</w:t>
      </w:r>
      <w:r>
        <w:t xml:space="preserve"> </w:t>
      </w:r>
      <w:r>
        <w:t xml:space="preserve">“An Environment-People Interactions Framework for Analysing Children’s Extra-Curricular Activities and Active Transport.”</w:t>
      </w:r>
      <w:r>
        <w:t xml:space="preserve"> </w:t>
      </w:r>
      <w:r>
        <w:rPr>
          <w:i/>
          <w:iCs/>
        </w:rPr>
        <w:t xml:space="preserve">Journal of Transport Geography</w:t>
      </w:r>
      <w:r>
        <w:t xml:space="preserve"> </w:t>
      </w:r>
      <w:r>
        <w:t xml:space="preserve">74 (January): 341–58.</w:t>
      </w:r>
      <w:r>
        <w:t xml:space="preserve"> </w:t>
      </w:r>
      <w:hyperlink r:id="rId80">
        <w:r>
          <w:rPr>
            <w:rStyle w:val="Hyperlink"/>
          </w:rPr>
          <w:t xml:space="preserve">https://doi.org/10.1016/j.jtrangeo.2018.12.015</w:t>
        </w:r>
      </w:hyperlink>
      <w:r>
        <w:t xml:space="preserve">.</w:t>
      </w:r>
    </w:p>
    <w:bookmarkEnd w:id="81"/>
    <w:bookmarkStart w:id="83" w:name="ref-lino_expenditures_2017"/>
    <w:p>
      <w:pPr>
        <w:pStyle w:val="Bibliography"/>
      </w:pPr>
      <w:r>
        <w:t xml:space="preserve">Lino, Mark, Kevin Kuczynski, Nestor Rodriguez, and TusaRebecca Schap. 2017.</w:t>
      </w:r>
      <w:r>
        <w:t xml:space="preserve"> </w:t>
      </w:r>
      <w:r>
        <w:rPr>
          <w:i/>
          <w:iCs/>
        </w:rPr>
        <w:t xml:space="preserve">Expenditures on</w:t>
      </w:r>
      <w:r>
        <w:rPr>
          <w:i/>
          <w:iCs/>
        </w:rPr>
        <w:t xml:space="preserve"> </w:t>
      </w:r>
      <w:r>
        <w:rPr>
          <w:i/>
          <w:iCs/>
        </w:rPr>
        <w:t xml:space="preserve">Children</w:t>
      </w:r>
      <w:r>
        <w:rPr>
          <w:i/>
          <w:iCs/>
        </w:rPr>
        <w:t xml:space="preserve"> </w:t>
      </w:r>
      <w:r>
        <w:rPr>
          <w:i/>
          <w:iCs/>
        </w:rPr>
        <w:t xml:space="preserve">by</w:t>
      </w:r>
      <w:r>
        <w:rPr>
          <w:i/>
          <w:iCs/>
        </w:rPr>
        <w:t xml:space="preserve"> </w:t>
      </w:r>
      <w:r>
        <w:rPr>
          <w:i/>
          <w:iCs/>
        </w:rPr>
        <w:t xml:space="preserve">Families</w:t>
      </w:r>
      <w:r>
        <w:rPr>
          <w:i/>
          <w:iCs/>
        </w:rPr>
        <w:t xml:space="preserve">, 2015</w:t>
      </w:r>
      <w:r>
        <w:t xml:space="preserve">. United States Department of Agriculture.</w:t>
      </w:r>
      <w:r>
        <w:t xml:space="preserve"> </w:t>
      </w:r>
      <w:hyperlink r:id="rId82">
        <w:r>
          <w:rPr>
            <w:rStyle w:val="Hyperlink"/>
          </w:rPr>
          <w:t xml:space="preserve">https://doi.org/10.22004/ag.econ.327257</w:t>
        </w:r>
      </w:hyperlink>
      <w:r>
        <w:t xml:space="preserve">.</w:t>
      </w:r>
    </w:p>
    <w:bookmarkEnd w:id="83"/>
    <w:bookmarkStart w:id="85" w:name="ref-lu_role_2022"/>
    <w:p>
      <w:pPr>
        <w:pStyle w:val="Bibliography"/>
      </w:pPr>
      <w:r>
        <w:t xml:space="preserve">Lu, Ying, Carlo G. Prato, Neil Sipe, Anthony Kimpton, and Jonathan Corcoran. 2022.</w:t>
      </w:r>
      <w:r>
        <w:t xml:space="preserve"> </w:t>
      </w:r>
      <w:r>
        <w:t xml:space="preserve">“The Role of Household Modality Style in First and Last Mile Travel Mode Choice.”</w:t>
      </w:r>
      <w:r>
        <w:t xml:space="preserve"> </w:t>
      </w:r>
      <w:r>
        <w:rPr>
          <w:i/>
          <w:iCs/>
        </w:rPr>
        <w:t xml:space="preserve">Transportation Research Part A: Policy and Practice</w:t>
      </w:r>
      <w:r>
        <w:t xml:space="preserve"> </w:t>
      </w:r>
      <w:r>
        <w:t xml:space="preserve">158 (April): 95–109.</w:t>
      </w:r>
      <w:r>
        <w:t xml:space="preserve"> </w:t>
      </w:r>
      <w:hyperlink r:id="rId84">
        <w:r>
          <w:rPr>
            <w:rStyle w:val="Hyperlink"/>
          </w:rPr>
          <w:t xml:space="preserve">https://doi.org/10.1016/j.tra.2022.02.003</w:t>
        </w:r>
      </w:hyperlink>
      <w:r>
        <w:t xml:space="preserve">.</w:t>
      </w:r>
    </w:p>
    <w:bookmarkEnd w:id="85"/>
    <w:bookmarkStart w:id="87" w:name="ref-mattson_relationships_2020"/>
    <w:p>
      <w:pPr>
        <w:pStyle w:val="Bibliography"/>
      </w:pPr>
      <w:r>
        <w:t xml:space="preserve">Mattson, Jeremy. 2020.</w:t>
      </w:r>
      <w:r>
        <w:t xml:space="preserve"> </w:t>
      </w:r>
      <w:r>
        <w:t xml:space="preserve">“Relationships Between Density, Transit, and Household Expenditures in Small Urban Areas.”</w:t>
      </w:r>
      <w:r>
        <w:t xml:space="preserve"> </w:t>
      </w:r>
      <w:r>
        <w:rPr>
          <w:i/>
          <w:iCs/>
        </w:rPr>
        <w:t xml:space="preserve">Transportation Research Interdisciplinary Perspectives</w:t>
      </w:r>
      <w:r>
        <w:t xml:space="preserve"> </w:t>
      </w:r>
      <w:r>
        <w:t xml:space="preserve">8 (November): 100260.</w:t>
      </w:r>
      <w:r>
        <w:t xml:space="preserve"> </w:t>
      </w:r>
      <w:hyperlink r:id="rId86">
        <w:r>
          <w:rPr>
            <w:rStyle w:val="Hyperlink"/>
          </w:rPr>
          <w:t xml:space="preserve">https://doi.org/10.1016/j.trip.2020.100260</w:t>
        </w:r>
      </w:hyperlink>
      <w:r>
        <w:t xml:space="preserve">.</w:t>
      </w:r>
    </w:p>
    <w:bookmarkEnd w:id="87"/>
    <w:bookmarkStart w:id="88" w:name="ref-mattson_relationships_2019"/>
    <w:p>
      <w:pPr>
        <w:pStyle w:val="Bibliography"/>
      </w:pPr>
      <w:r>
        <w:t xml:space="preserve">Mattson, Jeremy, and Del Peterson. 2019.</w:t>
      </w:r>
      <w:r>
        <w:t xml:space="preserve"> </w:t>
      </w:r>
      <w:r>
        <w:rPr>
          <w:i/>
          <w:iCs/>
        </w:rPr>
        <w:t xml:space="preserve">Relationships Between</w:t>
      </w:r>
      <w:r>
        <w:rPr>
          <w:i/>
          <w:iCs/>
        </w:rPr>
        <w:t xml:space="preserve"> </w:t>
      </w:r>
      <w:r>
        <w:rPr>
          <w:i/>
          <w:iCs/>
        </w:rPr>
        <w:t xml:space="preserve">Land</w:t>
      </w:r>
      <w:r>
        <w:rPr>
          <w:i/>
          <w:iCs/>
        </w:rPr>
        <w:t xml:space="preserve"> </w:t>
      </w:r>
      <w:r>
        <w:rPr>
          <w:i/>
          <w:iCs/>
        </w:rPr>
        <w:t xml:space="preserve">Use</w:t>
      </w:r>
      <w:r>
        <w:rPr>
          <w:i/>
          <w:iCs/>
        </w:rPr>
        <w:t xml:space="preserve">,</w:t>
      </w:r>
      <w:r>
        <w:rPr>
          <w:i/>
          <w:iCs/>
        </w:rPr>
        <w:t xml:space="preserve"> </w:t>
      </w:r>
      <w:r>
        <w:rPr>
          <w:i/>
          <w:iCs/>
        </w:rPr>
        <w:t xml:space="preserve">Transportation</w:t>
      </w:r>
      <w:r>
        <w:rPr>
          <w:i/>
          <w:iCs/>
        </w:rPr>
        <w:t xml:space="preserve">,</w:t>
      </w:r>
      <w:r>
        <w:rPr>
          <w:i/>
          <w:iCs/>
        </w:rPr>
        <w:t xml:space="preserve"> </w:t>
      </w:r>
      <w:r>
        <w:rPr>
          <w:i/>
          <w:iCs/>
        </w:rPr>
        <w:t xml:space="preserve">Household</w:t>
      </w:r>
      <w:r>
        <w:rPr>
          <w:i/>
          <w:iCs/>
        </w:rPr>
        <w:t xml:space="preserve"> </w:t>
      </w:r>
      <w:r>
        <w:rPr>
          <w:i/>
          <w:iCs/>
        </w:rPr>
        <w:t xml:space="preserve">Expenditures</w:t>
      </w:r>
      <w:r>
        <w:rPr>
          <w:i/>
          <w:iCs/>
        </w:rPr>
        <w:t xml:space="preserve">, and</w:t>
      </w:r>
      <w:r>
        <w:rPr>
          <w:i/>
          <w:iCs/>
        </w:rPr>
        <w:t xml:space="preserve"> </w:t>
      </w:r>
      <w:r>
        <w:rPr>
          <w:i/>
          <w:iCs/>
        </w:rPr>
        <w:t xml:space="preserve">Municipal</w:t>
      </w:r>
      <w:r>
        <w:rPr>
          <w:i/>
          <w:iCs/>
        </w:rPr>
        <w:t xml:space="preserve"> </w:t>
      </w:r>
      <w:r>
        <w:rPr>
          <w:i/>
          <w:iCs/>
        </w:rPr>
        <w:t xml:space="preserve">Spending</w:t>
      </w:r>
      <w:r>
        <w:rPr>
          <w:i/>
          <w:iCs/>
        </w:rPr>
        <w:t xml:space="preserve"> </w:t>
      </w:r>
      <w:r>
        <w:rPr>
          <w:i/>
          <w:iCs/>
        </w:rPr>
        <w:t xml:space="preserve">in</w:t>
      </w:r>
      <w:r>
        <w:rPr>
          <w:i/>
          <w:iCs/>
        </w:rPr>
        <w:t xml:space="preserve"> </w:t>
      </w:r>
      <w:r>
        <w:rPr>
          <w:i/>
          <w:iCs/>
        </w:rPr>
        <w:t xml:space="preserve">Small</w:t>
      </w:r>
      <w:r>
        <w:rPr>
          <w:i/>
          <w:iCs/>
        </w:rPr>
        <w:t xml:space="preserve"> </w:t>
      </w:r>
      <w:r>
        <w:rPr>
          <w:i/>
          <w:iCs/>
        </w:rPr>
        <w:t xml:space="preserve">Urban</w:t>
      </w:r>
      <w:r>
        <w:rPr>
          <w:i/>
          <w:iCs/>
        </w:rPr>
        <w:t xml:space="preserve"> </w:t>
      </w:r>
      <w:r>
        <w:rPr>
          <w:i/>
          <w:iCs/>
        </w:rPr>
        <w:t xml:space="preserve">Areas</w:t>
      </w:r>
      <w:r>
        <w:t xml:space="preserve">. December.</w:t>
      </w:r>
    </w:p>
    <w:bookmarkEnd w:id="88"/>
    <w:bookmarkStart w:id="90" w:name="ref-mccarthy_factors_2017"/>
    <w:p>
      <w:pPr>
        <w:pStyle w:val="Bibliography"/>
      </w:pPr>
      <w:r>
        <w:t xml:space="preserve">McCarthy, Laura, Alexa Delbosc, Graham Currie, and Andrew Molloy. 2017.</w:t>
      </w:r>
      <w:r>
        <w:t xml:space="preserve"> </w:t>
      </w:r>
      <w:r>
        <w:t xml:space="preserve">“Factors Influencing Travel Mode Choice Among Families with Young Children (Aged 0–4): A Review of the Literature.”</w:t>
      </w:r>
      <w:r>
        <w:t xml:space="preserve"> </w:t>
      </w:r>
      <w:r>
        <w:rPr>
          <w:i/>
          <w:iCs/>
        </w:rPr>
        <w:t xml:space="preserve">Transport Reviews</w:t>
      </w:r>
      <w:r>
        <w:t xml:space="preserve"> </w:t>
      </w:r>
      <w:r>
        <w:t xml:space="preserve">37 (6): 767–81.</w:t>
      </w:r>
      <w:r>
        <w:t xml:space="preserve"> </w:t>
      </w:r>
      <w:hyperlink r:id="rId89">
        <w:r>
          <w:rPr>
            <w:rStyle w:val="Hyperlink"/>
          </w:rPr>
          <w:t xml:space="preserve">https://doi.org/10.1080/01441647.2017.1354942</w:t>
        </w:r>
      </w:hyperlink>
      <w:r>
        <w:t xml:space="preserve">.</w:t>
      </w:r>
    </w:p>
    <w:bookmarkEnd w:id="90"/>
    <w:bookmarkStart w:id="92" w:name="ref-molloy_new_2024"/>
    <w:p>
      <w:pPr>
        <w:pStyle w:val="Bibliography"/>
      </w:pPr>
      <w:r>
        <w:t xml:space="preserve">Molloy, Quinn, Norman Garrick, and Carol Atkinson-Palombo. 2024.</w:t>
      </w:r>
      <w:r>
        <w:t xml:space="preserve"> </w:t>
      </w:r>
      <w:r>
        <w:t xml:space="preserve">“A</w:t>
      </w:r>
      <w:r>
        <w:t xml:space="preserve"> </w:t>
      </w:r>
      <w:r>
        <w:t xml:space="preserve">New</w:t>
      </w:r>
      <w:r>
        <w:t xml:space="preserve"> </w:t>
      </w:r>
      <w:r>
        <w:t xml:space="preserve">Approach</w:t>
      </w:r>
      <w:r>
        <w:t xml:space="preserve"> </w:t>
      </w:r>
      <w:r>
        <w:t xml:space="preserve">to</w:t>
      </w:r>
      <w:r>
        <w:t xml:space="preserve"> </w:t>
      </w:r>
      <w:r>
        <w:t xml:space="preserve">Understanding</w:t>
      </w:r>
      <w:r>
        <w:t xml:space="preserve"> </w:t>
      </w:r>
      <w:r>
        <w:t xml:space="preserve">the</w:t>
      </w:r>
      <w:r>
        <w:t xml:space="preserve"> </w:t>
      </w:r>
      <w:r>
        <w:t xml:space="preserve">Impact</w:t>
      </w:r>
      <w:r>
        <w:t xml:space="preserve"> </w:t>
      </w:r>
      <w:r>
        <w:t xml:space="preserve">of</w:t>
      </w:r>
      <w:r>
        <w:t xml:space="preserve"> </w:t>
      </w:r>
      <w:r>
        <w:t xml:space="preserve">Automobile</w:t>
      </w:r>
      <w:r>
        <w:t xml:space="preserve"> </w:t>
      </w:r>
      <w:r>
        <w:t xml:space="preserve">Ownership</w:t>
      </w:r>
      <w:r>
        <w:t xml:space="preserve"> </w:t>
      </w:r>
      <w:r>
        <w:t xml:space="preserve">on</w:t>
      </w:r>
      <w:r>
        <w:t xml:space="preserve"> </w:t>
      </w:r>
      <w:r>
        <w:t xml:space="preserve">Transportation</w:t>
      </w:r>
      <w:r>
        <w:t xml:space="preserve"> </w:t>
      </w:r>
      <w:r>
        <w:t xml:space="preserve">Equity</w:t>
      </w:r>
      <w:r>
        <w:t xml:space="preserve">.”</w:t>
      </w:r>
      <w:r>
        <w:t xml:space="preserve"> </w:t>
      </w:r>
      <w:r>
        <w:rPr>
          <w:i/>
          <w:iCs/>
        </w:rPr>
        <w:t xml:space="preserve">Transportation Research Record</w:t>
      </w:r>
      <w:r>
        <w:t xml:space="preserve"> </w:t>
      </w:r>
      <w:r>
        <w:t xml:space="preserve">2678 (2): 366–76.</w:t>
      </w:r>
      <w:r>
        <w:t xml:space="preserve"> </w:t>
      </w:r>
      <w:hyperlink r:id="rId91">
        <w:r>
          <w:rPr>
            <w:rStyle w:val="Hyperlink"/>
          </w:rPr>
          <w:t xml:space="preserve">https://doi.org/10.1177/03611981231174444</w:t>
        </w:r>
      </w:hyperlink>
      <w:r>
        <w:t xml:space="preserve">.</w:t>
      </w:r>
    </w:p>
    <w:bookmarkEnd w:id="92"/>
    <w:bookmarkStart w:id="94" w:name="ref-morris_family_1979"/>
    <w:p>
      <w:pPr>
        <w:pStyle w:val="Bibliography"/>
      </w:pPr>
      <w:r>
        <w:t xml:space="preserve">Morris, J. M., and M. R. Wigan. 1979.</w:t>
      </w:r>
      <w:r>
        <w:t xml:space="preserve"> </w:t>
      </w:r>
      <w:r>
        <w:t xml:space="preserve">“A Family Expenditure Perspective on Transport Planning:</w:t>
      </w:r>
      <w:r>
        <w:t xml:space="preserve"> </w:t>
      </w:r>
      <w:r>
        <w:t xml:space="preserve">Australian</w:t>
      </w:r>
      <w:r>
        <w:t xml:space="preserve"> </w:t>
      </w:r>
      <w:r>
        <w:t xml:space="preserve">Evidence in Context.”</w:t>
      </w:r>
      <w:r>
        <w:t xml:space="preserve"> </w:t>
      </w:r>
      <w:r>
        <w:rPr>
          <w:i/>
          <w:iCs/>
        </w:rPr>
        <w:t xml:space="preserve">Transportation Research Part A: General</w:t>
      </w:r>
      <w:r>
        <w:t xml:space="preserve"> </w:t>
      </w:r>
      <w:r>
        <w:t xml:space="preserve">13 (4): 249–85.</w:t>
      </w:r>
      <w:r>
        <w:t xml:space="preserve"> </w:t>
      </w:r>
      <w:hyperlink r:id="rId93">
        <w:r>
          <w:rPr>
            <w:rStyle w:val="Hyperlink"/>
          </w:rPr>
          <w:t xml:space="preserve">https://doi.org/10.1016/0191-2607(79)90051-7</w:t>
        </w:r>
      </w:hyperlink>
      <w:r>
        <w:t xml:space="preserve">.</w:t>
      </w:r>
    </w:p>
    <w:bookmarkEnd w:id="94"/>
    <w:bookmarkStart w:id="96" w:name="ref-nayga_sample_1998"/>
    <w:p>
      <w:pPr>
        <w:pStyle w:val="Bibliography"/>
      </w:pPr>
      <w:r>
        <w:t xml:space="preserve">Nayga, Rodolfo M. 1998.</w:t>
      </w:r>
      <w:r>
        <w:t xml:space="preserve"> </w:t>
      </w:r>
      <w:r>
        <w:t xml:space="preserve">“A Sample Selection Model for Prepared Food Expenditures.”</w:t>
      </w:r>
      <w:r>
        <w:t xml:space="preserve"> </w:t>
      </w:r>
      <w:r>
        <w:rPr>
          <w:i/>
          <w:iCs/>
        </w:rPr>
        <w:t xml:space="preserve">Applied Economics</w:t>
      </w:r>
      <w:r>
        <w:t xml:space="preserve"> </w:t>
      </w:r>
      <w:r>
        <w:t xml:space="preserve">30 (3): 345–52.</w:t>
      </w:r>
      <w:r>
        <w:t xml:space="preserve"> </w:t>
      </w:r>
      <w:hyperlink r:id="rId95">
        <w:r>
          <w:rPr>
            <w:rStyle w:val="Hyperlink"/>
          </w:rPr>
          <w:t xml:space="preserve">https://doi.org/10.1080/000368498325868</w:t>
        </w:r>
      </w:hyperlink>
      <w:r>
        <w:t xml:space="preserve">.</w:t>
      </w:r>
    </w:p>
    <w:bookmarkEnd w:id="96"/>
    <w:bookmarkStart w:id="97" w:name="ref-osborne_updated_2021"/>
    <w:p>
      <w:pPr>
        <w:pStyle w:val="Bibliography"/>
      </w:pPr>
      <w:r>
        <w:t xml:space="preserve">Osborne, Cynthia, Erin Wu, and Kaeley Benson. 2021.</w:t>
      </w:r>
      <w:r>
        <w:t xml:space="preserve"> </w:t>
      </w:r>
      <w:r>
        <w:rPr>
          <w:i/>
          <w:iCs/>
        </w:rPr>
        <w:t xml:space="preserve">An</w:t>
      </w:r>
      <w:r>
        <w:rPr>
          <w:i/>
          <w:iCs/>
        </w:rPr>
        <w:t xml:space="preserve"> </w:t>
      </w:r>
      <w:r>
        <w:rPr>
          <w:i/>
          <w:iCs/>
        </w:rPr>
        <w:t xml:space="preserve">Updated</w:t>
      </w:r>
      <w:r>
        <w:rPr>
          <w:i/>
          <w:iCs/>
        </w:rPr>
        <w:t xml:space="preserve"> </w:t>
      </w:r>
      <w:r>
        <w:rPr>
          <w:i/>
          <w:iCs/>
        </w:rPr>
        <w:t xml:space="preserve">Estimation</w:t>
      </w:r>
      <w:r>
        <w:rPr>
          <w:i/>
          <w:iCs/>
        </w:rPr>
        <w:t xml:space="preserve"> </w:t>
      </w:r>
      <w:r>
        <w:rPr>
          <w:i/>
          <w:iCs/>
        </w:rPr>
        <w:t xml:space="preserve">Model</w:t>
      </w:r>
      <w:r>
        <w:rPr>
          <w:i/>
          <w:iCs/>
        </w:rPr>
        <w:t xml:space="preserve"> </w:t>
      </w:r>
      <w:r>
        <w:rPr>
          <w:i/>
          <w:iCs/>
        </w:rPr>
        <w:t xml:space="preserve">of the</w:t>
      </w:r>
      <w:r>
        <w:rPr>
          <w:i/>
          <w:iCs/>
        </w:rPr>
        <w:t xml:space="preserve"> </w:t>
      </w:r>
      <w:r>
        <w:rPr>
          <w:i/>
          <w:iCs/>
        </w:rPr>
        <w:t xml:space="preserve">Cost</w:t>
      </w:r>
      <w:r>
        <w:rPr>
          <w:i/>
          <w:iCs/>
        </w:rPr>
        <w:t xml:space="preserve"> </w:t>
      </w:r>
      <w:r>
        <w:rPr>
          <w:i/>
          <w:iCs/>
        </w:rPr>
        <w:t xml:space="preserve">of</w:t>
      </w:r>
      <w:r>
        <w:rPr>
          <w:i/>
          <w:iCs/>
        </w:rPr>
        <w:t xml:space="preserve"> </w:t>
      </w:r>
      <w:r>
        <w:rPr>
          <w:i/>
          <w:iCs/>
        </w:rPr>
        <w:t xml:space="preserve">Raising</w:t>
      </w:r>
      <w:r>
        <w:rPr>
          <w:i/>
          <w:iCs/>
        </w:rPr>
        <w:t xml:space="preserve"> </w:t>
      </w:r>
      <w:r>
        <w:rPr>
          <w:i/>
          <w:iCs/>
        </w:rPr>
        <w:t xml:space="preserve">Children</w:t>
      </w:r>
      <w:r>
        <w:rPr>
          <w:i/>
          <w:iCs/>
        </w:rPr>
        <w:t xml:space="preserve"> </w:t>
      </w:r>
      <w:r>
        <w:rPr>
          <w:i/>
          <w:iCs/>
        </w:rPr>
        <w:t xml:space="preserve">in</w:t>
      </w:r>
      <w:r>
        <w:rPr>
          <w:i/>
          <w:iCs/>
        </w:rPr>
        <w:t xml:space="preserve"> </w:t>
      </w:r>
      <w:r>
        <w:rPr>
          <w:i/>
          <w:iCs/>
        </w:rPr>
        <w:t xml:space="preserve">Texas</w:t>
      </w:r>
      <w:r>
        <w:t xml:space="preserve">.</w:t>
      </w:r>
    </w:p>
    <w:bookmarkEnd w:id="97"/>
    <w:bookmarkStart w:id="99" w:name="ref-paleti_empirical_2011"/>
    <w:p>
      <w:pPr>
        <w:pStyle w:val="Bibliography"/>
      </w:pPr>
      <w:r>
        <w:t xml:space="preserve">Paleti, Rajesh, Rachel B. Copperman, and Chandra R. Bhat. 2011.</w:t>
      </w:r>
      <w:r>
        <w:t xml:space="preserve"> </w:t>
      </w:r>
      <w:r>
        <w:t xml:space="preserve">“An Empirical Analysis of Children’s After School Out-of-Home Activity-Location Engagement Patterns and Time Allocation.”</w:t>
      </w:r>
      <w:r>
        <w:t xml:space="preserve"> </w:t>
      </w:r>
      <w:r>
        <w:rPr>
          <w:i/>
          <w:iCs/>
        </w:rPr>
        <w:t xml:space="preserve">Transportation</w:t>
      </w:r>
      <w:r>
        <w:t xml:space="preserve"> </w:t>
      </w:r>
      <w:r>
        <w:t xml:space="preserve">38 (2): 273–303.</w:t>
      </w:r>
      <w:r>
        <w:t xml:space="preserve"> </w:t>
      </w:r>
      <w:hyperlink r:id="rId98">
        <w:r>
          <w:rPr>
            <w:rStyle w:val="Hyperlink"/>
          </w:rPr>
          <w:t xml:space="preserve">https://doi.org/10.1007/s11116-010-9300-2</w:t>
        </w:r>
      </w:hyperlink>
      <w:r>
        <w:t xml:space="preserve">.</w:t>
      </w:r>
    </w:p>
    <w:bookmarkEnd w:id="99"/>
    <w:bookmarkStart w:id="101" w:name="ref-sabelhaus_is_2013"/>
    <w:p>
      <w:pPr>
        <w:pStyle w:val="Bibliography"/>
      </w:pPr>
      <w:r>
        <w:t xml:space="preserve">Sabelhaus, John, David Johnson, Stephen Ash, et al. 2013.</w:t>
      </w:r>
      <w:r>
        <w:t xml:space="preserve"> </w:t>
      </w:r>
      <w:r>
        <w:rPr>
          <w:i/>
          <w:iCs/>
        </w:rPr>
        <w:t xml:space="preserve">Is the</w:t>
      </w:r>
      <w:r>
        <w:rPr>
          <w:i/>
          <w:iCs/>
        </w:rPr>
        <w:t xml:space="preserve"> </w:t>
      </w:r>
      <w:r>
        <w:rPr>
          <w:i/>
          <w:iCs/>
        </w:rPr>
        <w:t xml:space="preserve">Consumer</w:t>
      </w:r>
      <w:r>
        <w:rPr>
          <w:i/>
          <w:iCs/>
        </w:rPr>
        <w:t xml:space="preserve"> </w:t>
      </w:r>
      <w:r>
        <w:rPr>
          <w:i/>
          <w:iCs/>
        </w:rPr>
        <w:t xml:space="preserve">Expenditure</w:t>
      </w:r>
      <w:r>
        <w:rPr>
          <w:i/>
          <w:iCs/>
        </w:rPr>
        <w:t xml:space="preserve"> </w:t>
      </w:r>
      <w:r>
        <w:rPr>
          <w:i/>
          <w:iCs/>
        </w:rPr>
        <w:t xml:space="preserve">Survey</w:t>
      </w:r>
      <w:r>
        <w:rPr>
          <w:i/>
          <w:iCs/>
        </w:rPr>
        <w:t xml:space="preserve"> </w:t>
      </w:r>
      <w:r>
        <w:rPr>
          <w:i/>
          <w:iCs/>
        </w:rPr>
        <w:t xml:space="preserve">Representative</w:t>
      </w:r>
      <w:r>
        <w:rPr>
          <w:i/>
          <w:iCs/>
        </w:rPr>
        <w:t xml:space="preserve"> </w:t>
      </w:r>
      <w:r>
        <w:rPr>
          <w:i/>
          <w:iCs/>
        </w:rPr>
        <w:t xml:space="preserve">by</w:t>
      </w:r>
      <w:r>
        <w:rPr>
          <w:i/>
          <w:iCs/>
        </w:rPr>
        <w:t xml:space="preserve"> </w:t>
      </w:r>
      <w:r>
        <w:rPr>
          <w:i/>
          <w:iCs/>
        </w:rPr>
        <w:t xml:space="preserve">Income</w:t>
      </w:r>
      <w:r>
        <w:rPr>
          <w:i/>
          <w:iCs/>
        </w:rPr>
        <w:t xml:space="preserve">?</w:t>
      </w:r>
      <w:r>
        <w:t xml:space="preserve"> No. w19589. National Bureau of Economic Research.</w:t>
      </w:r>
      <w:r>
        <w:t xml:space="preserve"> </w:t>
      </w:r>
      <w:hyperlink r:id="rId100">
        <w:r>
          <w:rPr>
            <w:rStyle w:val="Hyperlink"/>
          </w:rPr>
          <w:t xml:space="preserve">https://doi.org/10.3386/w19589</w:t>
        </w:r>
      </w:hyperlink>
      <w:r>
        <w:t xml:space="preserve">.</w:t>
      </w:r>
    </w:p>
    <w:bookmarkEnd w:id="101"/>
    <w:bookmarkStart w:id="103" w:name="ref-sener_analysis_2007"/>
    <w:p>
      <w:pPr>
        <w:pStyle w:val="Bibliography"/>
      </w:pPr>
      <w:r>
        <w:t xml:space="preserve">Sener, Ipek N., and Chandra R. Bhat. 2007.</w:t>
      </w:r>
      <w:r>
        <w:t xml:space="preserve"> </w:t>
      </w:r>
      <w:r>
        <w:t xml:space="preserve">“An Analysis of the Social Context of Children’s Weekend Discretionary Activity Participation.”</w:t>
      </w:r>
      <w:r>
        <w:t xml:space="preserve"> </w:t>
      </w:r>
      <w:r>
        <w:rPr>
          <w:i/>
          <w:iCs/>
        </w:rPr>
        <w:t xml:space="preserve">Transportation</w:t>
      </w:r>
      <w:r>
        <w:t xml:space="preserve"> </w:t>
      </w:r>
      <w:r>
        <w:t xml:space="preserve">34 (6): 697–721.</w:t>
      </w:r>
      <w:r>
        <w:t xml:space="preserve"> </w:t>
      </w:r>
      <w:hyperlink r:id="rId102">
        <w:r>
          <w:rPr>
            <w:rStyle w:val="Hyperlink"/>
          </w:rPr>
          <w:t xml:space="preserve">https://doi.org/10.1007/s11116-007-9125-9</w:t>
        </w:r>
      </w:hyperlink>
      <w:r>
        <w:t xml:space="preserve">.</w:t>
      </w:r>
    </w:p>
    <w:bookmarkEnd w:id="103"/>
    <w:bookmarkStart w:id="105" w:name="ref-sener_analysis_2008"/>
    <w:p>
      <w:pPr>
        <w:pStyle w:val="Bibliography"/>
      </w:pPr>
      <w:r>
        <w:t xml:space="preserve">Sener, Ipek N., Rachel B. Copperman, Ram M. Pendyala, and Chandra R. Bhat. 2008.</w:t>
      </w:r>
      <w:r>
        <w:t xml:space="preserve"> </w:t>
      </w:r>
      <w:r>
        <w:t xml:space="preserve">“An Analysis of Children’s Leisure Activity Engagement: Examining the Day of Week, Location, Physical Activity Level, and Fixity Dimensions.”</w:t>
      </w:r>
      <w:r>
        <w:t xml:space="preserve"> </w:t>
      </w:r>
      <w:r>
        <w:rPr>
          <w:i/>
          <w:iCs/>
        </w:rPr>
        <w:t xml:space="preserve">Transportation</w:t>
      </w:r>
      <w:r>
        <w:t xml:space="preserve"> </w:t>
      </w:r>
      <w:r>
        <w:t xml:space="preserve">35 (5): 673–96.</w:t>
      </w:r>
      <w:r>
        <w:t xml:space="preserve"> </w:t>
      </w:r>
      <w:hyperlink r:id="rId104">
        <w:r>
          <w:rPr>
            <w:rStyle w:val="Hyperlink"/>
          </w:rPr>
          <w:t xml:space="preserve">https://doi.org/10.1007/s11116-008-9173-9</w:t>
        </w:r>
      </w:hyperlink>
      <w:r>
        <w:t xml:space="preserve">.</w:t>
      </w:r>
    </w:p>
    <w:bookmarkEnd w:id="105"/>
    <w:bookmarkStart w:id="107" w:name="ref-skinner_variable_1985"/>
    <w:p>
      <w:pPr>
        <w:pStyle w:val="Bibliography"/>
      </w:pPr>
      <w:r>
        <w:t xml:space="preserve">Skinner, Jonathan. 1985.</w:t>
      </w:r>
      <w:r>
        <w:t xml:space="preserve"> </w:t>
      </w:r>
      <w:r>
        <w:t xml:space="preserve">“Variable</w:t>
      </w:r>
      <w:r>
        <w:t xml:space="preserve"> </w:t>
      </w:r>
      <w:r>
        <w:t xml:space="preserve">Lifespan</w:t>
      </w:r>
      <w:r>
        <w:t xml:space="preserve"> </w:t>
      </w:r>
      <w:r>
        <w:t xml:space="preserve">and the</w:t>
      </w:r>
      <w:r>
        <w:t xml:space="preserve"> </w:t>
      </w:r>
      <w:r>
        <w:t xml:space="preserve">Intertemporal</w:t>
      </w:r>
      <w:r>
        <w:t xml:space="preserve"> </w:t>
      </w:r>
      <w:r>
        <w:t xml:space="preserve">Elasticity</w:t>
      </w:r>
      <w:r>
        <w:t xml:space="preserve"> </w:t>
      </w:r>
      <w:r>
        <w:t xml:space="preserve">of</w:t>
      </w:r>
      <w:r>
        <w:t xml:space="preserve"> </w:t>
      </w:r>
      <w:r>
        <w:t xml:space="preserve">Consumption</w:t>
      </w:r>
      <w:r>
        <w:t xml:space="preserve">.”</w:t>
      </w:r>
      <w:r>
        <w:t xml:space="preserve"> </w:t>
      </w:r>
      <w:r>
        <w:rPr>
          <w:i/>
          <w:iCs/>
        </w:rPr>
        <w:t xml:space="preserve">The Review of Economics and Statistics</w:t>
      </w:r>
      <w:r>
        <w:t xml:space="preserve"> </w:t>
      </w:r>
      <w:r>
        <w:t xml:space="preserve">67 (4): 616–23.</w:t>
      </w:r>
      <w:r>
        <w:t xml:space="preserve"> </w:t>
      </w:r>
      <w:hyperlink r:id="rId106">
        <w:r>
          <w:rPr>
            <w:rStyle w:val="Hyperlink"/>
          </w:rPr>
          <w:t xml:space="preserve">https://doi.org/10.2307/1924806</w:t>
        </w:r>
      </w:hyperlink>
      <w:r>
        <w:t xml:space="preserve">.</w:t>
      </w:r>
    </w:p>
    <w:bookmarkEnd w:id="107"/>
    <w:bookmarkStart w:id="109" w:name="ref-souche_measuring_2010"/>
    <w:p>
      <w:pPr>
        <w:pStyle w:val="Bibliography"/>
      </w:pPr>
      <w:r>
        <w:t xml:space="preserve">Souche, Stéphanie. 2010.</w:t>
      </w:r>
      <w:r>
        <w:t xml:space="preserve"> </w:t>
      </w:r>
      <w:r>
        <w:t xml:space="preserve">“Measuring the Structural Determinants of Urban Travel Demand.”</w:t>
      </w:r>
      <w:r>
        <w:t xml:space="preserve"> </w:t>
      </w:r>
      <w:r>
        <w:rPr>
          <w:i/>
          <w:iCs/>
        </w:rPr>
        <w:t xml:space="preserve">Transport Policy</w:t>
      </w:r>
      <w:r>
        <w:t xml:space="preserve"> </w:t>
      </w:r>
      <w:r>
        <w:t xml:space="preserve">17 (3): 127–34.</w:t>
      </w:r>
      <w:r>
        <w:t xml:space="preserve"> </w:t>
      </w:r>
      <w:hyperlink r:id="rId108">
        <w:r>
          <w:rPr>
            <w:rStyle w:val="Hyperlink"/>
          </w:rPr>
          <w:t xml:space="preserve">https://doi.org/10.1016/j.tranpol.2009.12.003</w:t>
        </w:r>
      </w:hyperlink>
      <w:r>
        <w:t xml:space="preserve">.</w:t>
      </w:r>
    </w:p>
    <w:bookmarkEnd w:id="109"/>
    <w:bookmarkStart w:id="111" w:name="ref-thakuriah_analysis_2005"/>
    <w:p>
      <w:pPr>
        <w:pStyle w:val="Bibliography"/>
      </w:pPr>
      <w:r>
        <w:t xml:space="preserve">Thakuriah, Piyushimita (Vonu), and Yihua Liao. 2005.</w:t>
      </w:r>
      <w:r>
        <w:t xml:space="preserve"> </w:t>
      </w:r>
      <w:r>
        <w:t xml:space="preserve">“Analysis of</w:t>
      </w:r>
      <w:r>
        <w:t xml:space="preserve"> </w:t>
      </w:r>
      <w:r>
        <w:t xml:space="preserve">Variations</w:t>
      </w:r>
      <w:r>
        <w:t xml:space="preserve"> </w:t>
      </w:r>
      <w:r>
        <w:t xml:space="preserve">in</w:t>
      </w:r>
      <w:r>
        <w:t xml:space="preserve"> </w:t>
      </w:r>
      <w:r>
        <w:t xml:space="preserve">Vehicle</w:t>
      </w:r>
      <w:r>
        <w:t xml:space="preserve"> </w:t>
      </w:r>
      <w:r>
        <w:t xml:space="preserve">Ownership</w:t>
      </w:r>
      <w:r>
        <w:t xml:space="preserve"> </w:t>
      </w:r>
      <w:r>
        <w:t xml:space="preserve">Expenditures</w:t>
      </w:r>
      <w:r>
        <w:t xml:space="preserve">.”</w:t>
      </w:r>
      <w:r>
        <w:t xml:space="preserve"> </w:t>
      </w:r>
      <w:r>
        <w:rPr>
          <w:i/>
          <w:iCs/>
        </w:rPr>
        <w:t xml:space="preserve">Transportation Research Record: Journal of the Transportation Research Board</w:t>
      </w:r>
      <w:r>
        <w:t xml:space="preserve"> </w:t>
      </w:r>
      <w:r>
        <w:t xml:space="preserve">1926 (1): 1–9.</w:t>
      </w:r>
      <w:r>
        <w:t xml:space="preserve"> </w:t>
      </w:r>
      <w:hyperlink r:id="rId110">
        <w:r>
          <w:rPr>
            <w:rStyle w:val="Hyperlink"/>
          </w:rPr>
          <w:t xml:space="preserve">https://doi.org/10.1177/0361198105192600101</w:t>
        </w:r>
      </w:hyperlink>
      <w:r>
        <w:t xml:space="preserve">.</w:t>
      </w:r>
    </w:p>
    <w:bookmarkEnd w:id="111"/>
    <w:bookmarkStart w:id="113" w:name="ref-thakuriah_vonu_transportation_2006"/>
    <w:p>
      <w:pPr>
        <w:pStyle w:val="Bibliography"/>
      </w:pPr>
      <w:r>
        <w:t xml:space="preserve">Thakuriah (Vonu), Piyushimita, and Yihua Liao. 2006.</w:t>
      </w:r>
      <w:r>
        <w:t xml:space="preserve"> </w:t>
      </w:r>
      <w:r>
        <w:t xml:space="preserve">“Transportation</w:t>
      </w:r>
      <w:r>
        <w:t xml:space="preserve"> </w:t>
      </w:r>
      <w:r>
        <w:t xml:space="preserve">Expenditures</w:t>
      </w:r>
      <w:r>
        <w:t xml:space="preserve"> </w:t>
      </w:r>
      <w:r>
        <w:t xml:space="preserve">and</w:t>
      </w:r>
      <w:r>
        <w:t xml:space="preserve"> </w:t>
      </w:r>
      <w:r>
        <w:t xml:space="preserve">Ability</w:t>
      </w:r>
      <w:r>
        <w:t xml:space="preserve"> </w:t>
      </w:r>
      <w:r>
        <w:t xml:space="preserve">to</w:t>
      </w:r>
      <w:r>
        <w:t xml:space="preserve"> </w:t>
      </w:r>
      <w:r>
        <w:t xml:space="preserve">Pay</w:t>
      </w:r>
      <w:r>
        <w:t xml:space="preserve">:</w:t>
      </w:r>
      <w:r>
        <w:t xml:space="preserve"> </w:t>
      </w:r>
      <w:r>
        <w:t xml:space="preserve">Evidence</w:t>
      </w:r>
      <w:r>
        <w:t xml:space="preserve"> </w:t>
      </w:r>
      <w:r>
        <w:t xml:space="preserve">from</w:t>
      </w:r>
      <w:r>
        <w:t xml:space="preserve"> </w:t>
      </w:r>
      <w:r>
        <w:t xml:space="preserve">Consumer</w:t>
      </w:r>
      <w:r>
        <w:t xml:space="preserve"> </w:t>
      </w:r>
      <w:r>
        <w:t xml:space="preserve">Expenditure</w:t>
      </w:r>
      <w:r>
        <w:t xml:space="preserve"> </w:t>
      </w:r>
      <w:r>
        <w:t xml:space="preserve">Survey</w:t>
      </w:r>
      <w:r>
        <w:t xml:space="preserve">.”</w:t>
      </w:r>
      <w:r>
        <w:t xml:space="preserve"> </w:t>
      </w:r>
      <w:r>
        <w:rPr>
          <w:i/>
          <w:iCs/>
        </w:rPr>
        <w:t xml:space="preserve">Transportation Research Record</w:t>
      </w:r>
      <w:r>
        <w:t xml:space="preserve"> </w:t>
      </w:r>
      <w:r>
        <w:t xml:space="preserve">1985 (1): 257–65.</w:t>
      </w:r>
      <w:r>
        <w:t xml:space="preserve"> </w:t>
      </w:r>
      <w:hyperlink r:id="rId112">
        <w:r>
          <w:rPr>
            <w:rStyle w:val="Hyperlink"/>
          </w:rPr>
          <w:t xml:space="preserve">https://doi.org/10.1177/0361198106198500128</w:t>
        </w:r>
      </w:hyperlink>
      <w:r>
        <w:t xml:space="preserve">.</w:t>
      </w:r>
    </w:p>
    <w:bookmarkEnd w:id="113"/>
    <w:bookmarkEnd w:id="114"/>
    <w:bookmarkEnd w:id="115"/>
    <w:bookmarkStart w:id="117" w:name="sec-appendix-a"/>
    <w:p>
      <w:pPr>
        <w:pStyle w:val="Heading2"/>
      </w:pPr>
      <w:r>
        <w:t xml:space="preserve">6 Appendix A: Spending Category Breakdown</w:t>
      </w:r>
    </w:p>
    <w:tbl>
      <w:tblPr>
        <w:tblStyle w:val="Table"/>
        <w:tblW w:type="pct" w:w="5000"/>
        <w:tblLayout w:type="fixed"/>
        <w:tblLook w:firstRow="0" w:lastRow="0" w:firstColumn="0" w:lastColumn="0" w:noHBand="0" w:noVBand="0" w:val="0000"/>
      </w:tblPr>
      <w:tblGrid>
        <w:gridCol w:w="7920"/>
      </w:tblGrid>
      <w:tr>
        <w:tc>
          <w:tcPr/>
          <w:bookmarkStart w:id="116" w:name="tbl-detailed-categories"/>
          <w:p>
            <w:pPr>
              <w:jc w:val="center"/>
            </w:pPr>
            <w:pPr>
              <w:jc w:val="left"/>
              <w:spacing w:before="200"/>
              <w:pStyle w:val="ImageCaption"/>
            </w:pPr>
            <w:r>
              <w:t xml:space="preserve">Table 11: Unique expenditures and UCC codes for each expenditure category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UCC Code</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Code Description</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Transportation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520901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Docking and landing fees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Airline fares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600310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Bicycles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600315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Scooters, and other single rider transportation (new UCC Q20191)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600311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Bike and E-scooter sharing or rental (new UCC Q20192)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530902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School bus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530210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Intercity bus fares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470111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Gasoline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470112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Diesel fuel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470114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Gasohol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Vehicle maintainance and repair, excluding tires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Tires - purchased, replaced, installed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Misc. auto repair, servicing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490315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Brake adjustment (old)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620114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Automobile service clubs and GPS services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Vehicle maintenance/repair excluding tire purchase (new UCC Q20232)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Vehicle insurance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510115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Vehicle registration including property tax</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520310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Drivers' license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520410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Vehicle inspection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520516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Auto/truck rental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520531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Parking fees in home city, excluding residence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520541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Tolls or electronic toll passes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520550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Towing charges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530903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Car/van pool &amp; non-motorized transportation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450350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Car/truck lease payments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New cars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450210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New trucks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Used cars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460901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Used trucks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460902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Used motorcycles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520902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Motorcycle rental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530901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Ship fares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530412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Taxi fares and limousine services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530311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Intracity mass transit fares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530510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Intercity train fares</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Food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200310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Includes all wine and wine based low alcohol refreshers purchased for home use.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790420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Alcoholic beverages at restaurants or taverns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200119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Beer, ale, and other malt beverage (new UCC Q20231)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200219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Distilled spirits (new UCC Q20231)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190400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 and nonalcoholic beverages at fast food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190500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 and nonalcoholic beverages at full service restaurants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190600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 and nonalcoholic beverages at vending machines and mobile vendors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190700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 and nonalcoholic beverages at employer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190902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Catered Events, and Other Food Away From Home includes catered events, and any other food away from home not classified elsewhere.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010119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Flour and flour mixes, includes all types and varieties of flour. Examples of flour include all purpose, self-rising, barley, bran, buckwheat, corn, graham, potato, rye, soybean, wheat, rice, and cake flour.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Ready-to-eat and cooked cereals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010310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Rice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010320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Pasta, cornmeal and other cereal products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020310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Biscuits and rolls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020410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Cakes and cupcakes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020510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Cookies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020610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Crackers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020620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Bread and cracker products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020710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Sweet rolls, coffee cakes, doughnuts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020810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Frozen and refrigerated bakery products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020820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Pies, tarts, turnovers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Ground beef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030219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Includes all fresh or frozen roasts from the beef carcass. Includes kosher beef.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030519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 fresh or frozen steaks from the beef carcass. Includes kosher beef.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030810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Includes all fresh or frozen uncooked beef except ground beef, beef roasts, and beef steaks. Includes all fresh or frozen veal.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040119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Bacon, breakfast sausage, and related meats, Canadian bacon and bacon substitutes such as turkey bacon, beef bacon, vegetarian bacon, etc.</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040210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Includes all cuts of pork chops whether fresh, frozen, or smoked. Stuffed pork chops are also eligible.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040319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Includes all ham, fresh, cured, or smoked, etc. Ham comes from the hind leg of the pig. Includes cooked and uncooked ham.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040410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Includes all pork roasts, both fresh and cured, picnics, and other pork excluding canned.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Frankfurters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060119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Includes all uncooked, fresh and frozen chicken. Uncooked chicken that has been seasoned or marinated is included.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060310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Includes fresh and frozen turkeys, turkey parts, turkey roasts, Cornish game hens, duck, goose, and other poultry.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070119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Processed fish and seafood, includes canned and frozen fish and seafood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070230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Includes all fish and seafood items sold as fresh by the outlet. Typically, items may be labeled "fresh/frozen" or previously frozen and are generally sold in the fresh fish and seafood section.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Eggs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Fresh milk, all types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100119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Butter and margarine, includes all refrigerated types of butter and margarine.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Cheese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100410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Ice cream and related products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Apples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Bananas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110319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 citrus fruit, includes all fresh oranges. Also includes "fresh cut" and "peeled" fresh citrus fruit.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110410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Includes all fresh fruits except apples, bananas, and citrus fruits. (e.g., apricots, avocados, berries, cherries, coconut, grapes, kiwifruit, mangoes, melons, papaya, peaches, pears, pineapples, plums, and pomegranates)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Includes all fresh potatoes such as white, sweet, yams, and others.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Includes all fresh lettuce varieties including packaged, so called "fresh cut" 100% lettuce salads and salad mixes, provided lettuce is the ONLY vegetable. (Salads that include vegetables other than lettuce belong in FL041).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120310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 fresh tomatoes, any type or variety.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120410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Other fresh vegetables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130119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Frozen noncarbonated juices and drinks, includes all types and varieties of frozen noncarbonated juices and drinks. Examples are frozen juices, frozen ades such as lemonade, frozen drinks, and frozen fruit-flavored drinks.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130129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Frozen fruits and vegetables.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Candy and chewing gum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150219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Sugars and artificial sweeteners.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150310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Includes jellies, jams, preserves, marmalades, fruit butters, molasses, honey, pancake syrup, fudge mixes, chocolate syrup, ice cream toppings, icings, cake decorations, marshmallows, and similar products.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160211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Includes lard, shortening, salad or cooking oil, and cooking sprays.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160212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 products labeled as dressings, salad dressings, vinaigrettes, mayonnaise, and sandwich spreads. If an item is a combination of a dressing/marinade, dressing/sauce, or dressing/dip, it is still eligible.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160320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Includes all types of nut butters which contain peanuts, almonds, cashews, macadamia, and other nuts. Also included are nut butters combined with jelly, chocolate, honey, maple syrup, raisins, spices, and other such ingredients.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Other carbonated drinks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170520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 forms and varieties of tea. Examples of these items are loose tea, tea bags, powders/crystals, and herbal tea.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170531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Powders, crystals, tablets, and syrups used to make beverages other than coffee and tea. Also includes cocktail mixes and ice.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170539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Nonfrozen, noncarbonated juices and drinks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Canned and packaged soups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Frozen meals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180220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Frozen foods that are not complete meals.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180310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 types of potato chips and snacks such as chips, popcorn kernels, popped corn, cheese flavored snacks, potato sticks, pork rinds, trail mix etc.</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180320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 varieties of nuts, whether in shell or out of shell.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180410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Salt, pepper, seasonings/seasoning blends, spices, and dried herbs. Cooking bags with seasonings, grinders, and dry rubs are also eligible.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180420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 types and varieties of olives, pickles, and relishes.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180510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Includes catsup and other tomato sauces, prepared mustard, barbeque sauces, hot sauces, steak sauces, spaghetti sauces, all types of gravies and other sauces in bottles or cans. This also includes dry mixes.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180520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Baking needs and miscellaneous products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180611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Includes all ready-to-eat salads such as potato salad, coleslaw, and Jello salad. Items in this UCC are often sold at the deli counter or in a refrigerated section. This UCC also includes everything sold as part of a salad bar.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180612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Includes any non-frozen prepared desserts not priced elsewhere in Food at Home. Items generally include refrigerated or shelf-stable packaged desserts.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180620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Baby food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180710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Miscellaneous prepared foods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190905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School meals and board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020219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Bread (new UCC Q20231)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050319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Lunchmeats (new UCC Q20231)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050419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Lamb, organ meat, and game (new UCC Q20231)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100519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Other dairy and related products (new UCC Q20231)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140219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Canned fruits and vegetables (new UCC Q20231)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140349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Dried fruits and vegetables (new UCC Q20231)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170319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Coffee (new UCC Q20231)</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Leisure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Telephone service, including public pay phones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270310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Cable and satellite television services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270311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 prerecorded audio media (other than audio books) on satellite radio.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310140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Televisions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VCR's and video disc players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310220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Video cassettes, tapes, and discs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310230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Video game hardware and software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310231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Video game software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310232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Video game hardware and accessories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310241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STREAMING VIDEO FILES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310242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DOWNLOADING VIDEO FILES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310314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Audio media players, recorders, systems, and other equipment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310315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Other video equipment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310316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Stereos, radios, speakers, and sound components including those in vehicles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310331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Miscellaneous sound equipment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310332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Sound equipment accessories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310334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Satellite dishes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310335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Miscellaneous video equipment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310340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 prerecorded audio media (other than audio books).¬¨‚Ä†Some audio formats, such as DVD-audio may have a relatively small portion of graphical content and still be eligible.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310351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STREAMING AUDIO FILES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310352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DOWNLOADING AUDIO FILES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310400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 types of applications, games, and ringtones for handheld devices. This includes "Apps" purchased directly from cell phones or online "app" stores.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310900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Accessories for electronic equipment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340610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Repair of tv, radio, and sound equipment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340909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Rental of TV or radio sound equipment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Newspapers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590210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Magazines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590220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Books thru book clubs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590230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Books not thru book clubs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620930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Online gaming services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680904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Dating services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690111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Computers and computer hardware for nonbusiness use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690114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Computer information services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690116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Internet services away from home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690117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Portable memory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690118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Digital book readers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690119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Computer software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690120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Computer accessories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Outboard motor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600120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Unpowered boats, trailers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600130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Powered sports vehicles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Athletic gear, game tables, and exercise equipment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600410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Camping equipment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600420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Hunting and fishing equipment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600430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Winter sports equipment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600900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Water sports and miscellaneous sports equipment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600903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Global positioning system devices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Toys, games, arts and crafts, and tricycles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610120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Playground equipment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610130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Musical instruments and accessories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610901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Fireworks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610902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Souvenirs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610903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Visual goods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620111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Social, recreation, health club membership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620121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Fees for participant sports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620213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Play, theater, opera, concert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620214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Movies, parks, museums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620221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to sporting events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620310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Fees for recreational lessons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620320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Photographer fees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620330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Photo processing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620410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Pet services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620420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Vet services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620510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Miscellaneous fees for admissions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620610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Miscellaneous entertainment services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620710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Camp fees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620810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Rental and repair of sports, photographic and music equipment, passport fees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620915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Miscellaneous rental, repair of sports and photography equipment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620925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Miscellaneous fees</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Mandatory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Men's suits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360120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Men's sportcoats, tailored jackets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360210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Men's coats and jackets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360330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Men's accessories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360420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Men's shirts, sweaters, and vests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360513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Men's pants and shorts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360901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Men's uniforms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360902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Men's costumes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Boys' coats and jackets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370125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Boy's shirts and sweaters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370220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Boys' accessories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370902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Boys' costumes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370903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Boys' uniforms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Women's coats and jackets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380210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Women's dresses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380430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Women's hosiery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380510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Women's suits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380901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Women's accessories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Girls' coats and jackets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390120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Girls' dresses and suits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390210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Girls' shirts, blouses, sweaters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390223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Girls' skirts, pants, and shorts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390322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Girls' accessories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390901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Girls' uniforms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390902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Girls' costumes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Men's footwear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400210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Boys' footwear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400220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Girls' footwear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400310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Women's footwear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Infant coat, jacket, snowsuit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410130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Infant underwear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Watches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430120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Jewelry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Shoe repair and other shoe service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440120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Coin-operated apparel laundry and dry cleaning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440130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Alteration, repair and tailoring of apparel and accessories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440140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Clothing rental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440150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Watch and jewelry repair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440210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Apparel laundry and dry cleaning not coin-operated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440900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Clothing storage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360319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Men's underwear, hoisery, nightwear, and swimwear (new UCC Q20231)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370219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Boy's underwear, hoisery, nightwear, and swimwear (new UCC Q20231)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370319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Boy's suits, sportcoats, pants, and shorts (new UCC Q20231)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380319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Women's tops (new UCC Q20231)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380339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Women's skirts, pants, and shorts (new UCC Q20231)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380429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Women's undergarments, nightwear, and swimwear (new UCC Q20231)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380909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Women's costumes and uniforms (new UCC Q20231)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390319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Girl's underwear, nightwear, hoisery, and swimwear (new UCC Q20231)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410119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Infant's and toddler's outerwear, dresses, nightwear, and accessories (new UCC Q20231)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Alimony and child support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340906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Care for elderly, invalids, handicapped, etc.</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and health insurance not spec</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580901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Medicare payments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610310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Pet food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610320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Pet purchase, supplies, medicine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620112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Credit card memberships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670320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Babysitting, childcare, daycare, and preschool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640130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Wigs and hairpieces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640310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Cosmetics, perfume, bath preparations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640410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Deodorants, feminine hygiene, miscellaneous personal care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640420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Electric personal care appliances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640430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Adult diapers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Personal care service for females (old)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650210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Personal care service for males (old)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640119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Products for the hair (new UCC Q20231)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640219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Nonelectric dental and shaving products (new UCC Q20231)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Prescription drugs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Eyeglasses and contact lenses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550210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Nonprescription drugs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550310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Topicals and dressings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550320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Medical equipment for general use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550330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Supportive and convalescent medical equipment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550340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Hearing aids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Physician's services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560210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Dental services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560310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Eyecare services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560330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Lab tests, x-rays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560400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Service by professionals other than physician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care not specified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570220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Care in convalescent or nursing home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570230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Other medical care service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570901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Rental of medical equipment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570902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Repair of medical equipment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550219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Vitamins and supplements (new UCC Q20231)</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School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670410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Vocational and technical school tuition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670903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Test preparation, tutoring services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School supplies, etc. - unspecified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660001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Educational books, supplies, and other expenses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660900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School books, supplies, equipment for day care, nursery, preschool, other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College tuition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670210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Elementary and high school tuition</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House Related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Mortgage payment including coop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009900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Property assessment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Capital improvements, not specified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Fire/extended coverage insurance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220120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Homeowners insurance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Property taxes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220610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Capital improvements - services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Repair, maintenance, and improvements for built in dishwasher, garbage disposal, and range hood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Maintenance of property, including items such as ceiling repair, black top, brick, or masonry work, air conditioner repair, roof and awning repair, house painting, papering, chimney cleaning, electrical inspection, furnace inspection and repair, wiring, 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230140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Repair dishwasher/range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230900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Maintenance fees, such as service repair of property fees, management fees, homeowners association dues, condo fees, and community pool fees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 types and varieties of paint, wallpaper and other wall coverings, and painting chemicals.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240120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Supplies including brushes, rollers, and roller pads, trays, and combinations of these items.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Lumber, paneling, tile, awning, glass, plywood, doors, windows, screens, siding, roofing and fencing materials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240220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Blacktop and masonry materials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240310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Plumbing supplies, fixtures and equipment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240320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Electric heating and air conditioning supplies and equipment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240900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Soft surface floor covering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Fuel oil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250220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250900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Miscellaneous fuels, such as wood, kerosene, charcoal, oil mix for gas, lawnmower oil, lamp oil, duraflame log, and sterno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Electricity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Utility - natural gas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Water and sewerage maintenance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270410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Garbage, trash collection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270900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Septic tank cleaning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Bathroom linens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280120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Bedroom linens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280140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Kitchen , dining room, other linens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280210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Curtains and draperies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280220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 types and varieties of slipcovers and decorative pillows.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Mattress and springs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290120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Other bedroom furniture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290210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Sofas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290310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Living room chairs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290320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Living room tables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290410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Kitchen, dining room furniture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290420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Infants' furniture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290430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Outdoor furniture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290440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Wall units, cabinets and other occasional furniture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Refrigerator, home freezer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300218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WASHERS AND DRYERS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300310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Stoves, ovens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300320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Microwave ovens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300330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Portable dishwashers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300410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Window air conditioners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300900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Miscellaneous household appliances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Room size rugs and other floor covering, nonpermanent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320120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Window coverings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320130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Infants' equipment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320140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Laundry and cleaning equipment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320150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 powered lawn and garden equipment including power mowers, riding mowers, garden tractors, hedge trimmers, grass shears, chainsaws, and the various attachments to these items.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320221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Lamps, lighting fixtures, ceiling fans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320233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Clocks and other household decorative items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320330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Flatware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320345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Dinnerware, glassware, serving pieces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320370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Nonelectric cookware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320380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Tableware, nonelectric kitchenware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320410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 types of outdoor equipment such as snow throwers and blowers, outdoor vacuums, chainsaws, and the various attachments to these items. Also included are barbecue grills.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320420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Power tools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320430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Other hardware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320511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Electric floor cleaning equipment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320512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Sewing machines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320521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Small electric kitchen appliances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320522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Portable heating and cooling equipment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320610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Miscellaneous supplies and equipment, such as caulking compound, duct tape, carpet tape, carpet knife, bolts, screws, drill bits, door knobs, tool box, keys, mailbox, gutter screens, clamps, shelf brackets, tool table, work bench, etc‚Äö√Ñ¬∂</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320627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FLOORING INSTALL/REPAIR/REPLACE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320630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Landscaping items, such as grass, grass seed, trees, shrubs, plants, sod, and fork lift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320901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Office furniture for home use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320902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Hand tools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320903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Indoor plants, fresh flowers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320904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Closet and storage items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320905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Miscellaneous household equipment and parts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330310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Cleansing and toilet tissue, paper towels and napkins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330410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Stationery, stationery supplies, giftwrap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330510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Miscellaneous household products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330610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Lawn and garden supplies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340310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Housekeeping services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340410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Gardening, lawn care service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340510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Moving, storage, freight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340520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Household laundry and dry cleaning, sent out (nonclothing) not coin-operated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340530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Coin-operated household laundry and dry cleaning (nonclothing)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340620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Appliance repair, including service center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340630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Reupholstering, furniture repair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340901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Repairs/rentals of lawn and garden equipment, hand or power tools, other household equipment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340903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Other home services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340904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Rental of furniture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340907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Appliance rental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340913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Repair of miscellaneous household equipment and furnishings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340915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Home security system service fee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Tenant's insurance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999000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Home ownership expense not specified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330119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Laundry and cleaning products (new UCC Q20231)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Gas, btld/tank</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Other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520904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Rental noncamper trailer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Purchase price of stocks, bonds or mutual funds including broker fees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Precious metals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001200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Miscellaneous investments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001400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Employment counseling &amp; fees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Savings account deposit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 other than health, hospital, vehicle and property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002200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Retirement plans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Contributions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Cash gifts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004190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Gifts not specified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210210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Lodging on out-of-town trips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320232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Telephones and accessories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Postage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340120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Delivery services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420115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Material and supplies for sewing, needlework, quilting (includes household items)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430130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Luggage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610140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Stamp and coin collecting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610210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Film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610220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Other photographic supplies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610230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Photographic equipment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620912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Rental of video cassettes, tapes, films, and discs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620913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Pinball, electronic video games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620918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Rental of video software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620926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Lotteries and pari-mutuel losses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Cigarettes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630210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Other tobacco products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630220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 accessories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630900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Marijuana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Legal fees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680140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Funeral expenses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680210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Safe deposit box rental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680220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Checking accounts, other bank service charges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680901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Cemetery lots, valuts, maintenace fees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680902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Accounting fees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680903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Miscellaneous personal services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690230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Business equipment for home use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999900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Taxes not specified</w:t>
                  </w:r>
                </w:p>
              </w:tc>
            </w:tr>
          </w:tbl>
          <w:bookmarkEnd w:id="116"/>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117"/>
    <w:sectPr w:rsidR="00F06186">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Note that</w:t>
      </w:r>
      <w:r>
        <w:t xml:space="preserve"> </w:t>
      </w:r>
      <w:r>
        <w:t xml:space="preserve">“household”</w:t>
      </w:r>
      <w:r>
        <w:t xml:space="preserve"> </w:t>
      </w:r>
      <w:r>
        <w:t xml:space="preserve">in this paper is synonymous with what the CEX often denotes as</w:t>
      </w:r>
      <w:r>
        <w:t xml:space="preserve"> </w:t>
      </w:r>
      <w:r>
        <w:t xml:space="preserve">“Consumer Unit”</w:t>
      </w:r>
      <w:r>
        <w:t xml:space="preserve"> </w:t>
      </w:r>
      <w:r>
        <w:t xml:space="preserve">(CU)</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A174570"/>
    <w:multiLevelType w:val="multilevel"/>
    <w:tmpl w:val="5E823312"/>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
    <w:nsid w:val="12091B35"/>
    <w:multiLevelType w:val="multilevel"/>
    <w:tmpl w:val="5E823312"/>
    <w:styleLink w:val="CurrentList6"/>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
    <w:nsid w:val="170CD2DE"/>
    <w:multiLevelType w:val="multilevel"/>
    <w:tmpl w:val="0CBE16F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3">
    <w:nsid w:val="196F5A08"/>
    <w:multiLevelType w:val="multilevel"/>
    <w:tmpl w:val="BD527198"/>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4">
    <w:nsid w:val="22E137E1"/>
    <w:multiLevelType w:val="multilevel"/>
    <w:tmpl w:val="2202F1FE"/>
    <w:styleLink w:val="CurrentList3"/>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5">
    <w:nsid w:val="32274A8C"/>
    <w:multiLevelType w:val="multilevel"/>
    <w:tmpl w:val="C1682E04"/>
    <w:styleLink w:val="CurrentList1"/>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6">
    <w:nsid w:val="3AE358D6"/>
    <w:multiLevelType w:val="multilevel"/>
    <w:tmpl w:val="C1682E04"/>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7">
    <w:nsid w:val="3E6D1870"/>
    <w:multiLevelType w:val="multilevel"/>
    <w:tmpl w:val="358E1780"/>
    <w:styleLink w:val="CurrentList4"/>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8">
    <w:nsid w:val="606B2164"/>
    <w:multiLevelType w:val="multilevel"/>
    <w:tmpl w:val="0BC630BE"/>
    <w:styleLink w:val="CurrentList2"/>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9">
    <w:nsid w:val="67CC4707"/>
    <w:multiLevelType w:val="multilevel"/>
    <w:tmpl w:val="246EE08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0">
    <w:nsid w:val="72591C35"/>
    <w:multiLevelType w:val="multilevel"/>
    <w:tmpl w:val="246EE080"/>
    <w:styleLink w:val="CurrentList5"/>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16cid:durableId="1734355193" w:numId="1">
    <w:abstractNumId w:val="2"/>
  </w:num>
  <w:num w16cid:durableId="1603874240" w:numId="2">
    <w:abstractNumId w:val="6"/>
  </w:num>
  <w:num w16cid:durableId="1314483353" w:numId="3">
    <w:abstractNumId w:val="0"/>
  </w:num>
  <w:num w16cid:durableId="1300576016" w:numId="4">
    <w:abstractNumId w:val="9"/>
  </w:num>
  <w:num w16cid:durableId="704477132" w:numId="5">
    <w:abstractNumId w:val="3"/>
  </w:num>
  <w:num w16cid:durableId="605620385" w:numId="6">
    <w:abstractNumId w:val="3"/>
  </w:num>
  <w:num w16cid:durableId="997539110" w:numId="7">
    <w:abstractNumId w:val="3"/>
  </w:num>
  <w:num w16cid:durableId="506939983" w:numId="8">
    <w:abstractNumId w:val="3"/>
  </w:num>
  <w:num w16cid:durableId="220870042" w:numId="9">
    <w:abstractNumId w:val="3"/>
  </w:num>
  <w:num w16cid:durableId="410856602" w:numId="10">
    <w:abstractNumId w:val="3"/>
  </w:num>
  <w:num w16cid:durableId="530993547" w:numId="11">
    <w:abstractNumId w:val="5"/>
  </w:num>
  <w:num w16cid:durableId="1132214860" w:numId="12">
    <w:abstractNumId w:val="8"/>
  </w:num>
  <w:num w16cid:durableId="1972320487" w:numId="13">
    <w:abstractNumId w:val="4"/>
  </w:num>
  <w:num w16cid:durableId="1223710168" w:numId="14">
    <w:abstractNumId w:val="7"/>
  </w:num>
  <w:num w16cid:durableId="1425879406" w:numId="15">
    <w:abstractNumId w:val="10"/>
  </w:num>
  <w:num w16cid:durableId="34084539" w:numId="16">
    <w:abstractNumId w:val="1"/>
  </w:num>
  <w:num w:numId="1000">
    <w:abstractNumId w:val="990"/>
  </w:num>
  <w:num w:numId="1001">
    <w:abstractNumId w:val="991"/>
  </w:num>
  <w:num w:numId="1002">
    <w:abstractNumId w:val="991"/>
  </w:num>
  <w:num w:numId="1003">
    <w:abstractNumId w:val="991"/>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4"/>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F06186"/>
    <w:rsid w:val="00105308"/>
    <w:rsid w:val="00654248"/>
    <w:rsid w:val="007D5D4D"/>
    <w:rsid w:val="009B7AD2"/>
    <w:rsid w:val="00B6247C"/>
    <w:rsid w:val="00E5359F"/>
    <w:rsid w:val="00EF0BA2"/>
    <w:rsid w:val="00F0618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ajorHAnsi" w:cstheme="majorBidi" w:eastAsiaTheme="majorEastAsia" w:hAnsiTheme="majorHAnsi"/>
        <w:sz w:val="22"/>
        <w:szCs w:val="22"/>
        <w:lang w:bidi="ar-SA" w:eastAsia="en-US" w:val="en-US"/>
      </w:rPr>
    </w:rPrDefault>
    <w:pPrDefault>
      <w:pPr>
        <w:spacing w:after="200" w:line="276" w:lineRule="auto"/>
      </w:pPr>
    </w:pPrDefault>
  </w:docDefaults>
  <w:latentStyles w:count="376" w:defLockedState="0" w:defQFormat="0" w:defSemiHidden="0" w:defUIPriority="0" w:defUnhideWhenUsed="0">
    <w:lsdException w:name="caption" w:semiHidden="1" w:uiPriority="35" w:unhideWhenUsed="1"/>
    <w:lsdException w:name="Strong" w:qFormat="1" w:uiPriority="22"/>
    <w:lsdException w:name="Emphasis" w:qFormat="1"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E5359F"/>
  </w:style>
  <w:style w:styleId="Heading1" w:type="paragraph">
    <w:name w:val="heading 1"/>
    <w:basedOn w:val="Normal"/>
    <w:next w:val="Normal"/>
    <w:link w:val="Heading1Char"/>
    <w:uiPriority w:val="9"/>
    <w:qFormat/>
    <w:rsid w:val="00E5359F"/>
    <w:pPr>
      <w:spacing w:after="0" w:before="480"/>
      <w:contextualSpacing/>
      <w:outlineLvl w:val="0"/>
    </w:pPr>
    <w:rPr>
      <w:smallCaps/>
      <w:spacing w:val="5"/>
      <w:sz w:val="36"/>
      <w:szCs w:val="36"/>
    </w:rPr>
  </w:style>
  <w:style w:styleId="Heading2" w:type="paragraph">
    <w:name w:val="heading 2"/>
    <w:basedOn w:val="Normal"/>
    <w:next w:val="Normal"/>
    <w:link w:val="Heading2Char"/>
    <w:uiPriority w:val="9"/>
    <w:semiHidden/>
    <w:unhideWhenUsed/>
    <w:qFormat/>
    <w:rsid w:val="00E5359F"/>
    <w:pPr>
      <w:spacing w:after="0" w:before="200" w:line="271" w:lineRule="auto"/>
      <w:outlineLvl w:val="1"/>
    </w:pPr>
    <w:rPr>
      <w:smallCaps/>
      <w:sz w:val="28"/>
      <w:szCs w:val="28"/>
    </w:rPr>
  </w:style>
  <w:style w:styleId="Heading3" w:type="paragraph">
    <w:name w:val="heading 3"/>
    <w:basedOn w:val="Normal"/>
    <w:next w:val="Normal"/>
    <w:link w:val="Heading3Char"/>
    <w:uiPriority w:val="9"/>
    <w:semiHidden/>
    <w:unhideWhenUsed/>
    <w:qFormat/>
    <w:rsid w:val="00E5359F"/>
    <w:pPr>
      <w:spacing w:after="0" w:before="200" w:line="271" w:lineRule="auto"/>
      <w:outlineLvl w:val="2"/>
    </w:pPr>
    <w:rPr>
      <w:i/>
      <w:iCs/>
      <w:smallCaps/>
      <w:spacing w:val="5"/>
      <w:sz w:val="26"/>
      <w:szCs w:val="26"/>
    </w:rPr>
  </w:style>
  <w:style w:styleId="Heading4" w:type="paragraph">
    <w:name w:val="heading 4"/>
    <w:basedOn w:val="Normal"/>
    <w:next w:val="Normal"/>
    <w:link w:val="Heading4Char"/>
    <w:uiPriority w:val="9"/>
    <w:semiHidden/>
    <w:unhideWhenUsed/>
    <w:qFormat/>
    <w:rsid w:val="00E5359F"/>
    <w:pPr>
      <w:spacing w:after="0" w:line="271" w:lineRule="auto"/>
      <w:outlineLvl w:val="3"/>
    </w:pPr>
    <w:rPr>
      <w:b/>
      <w:bCs/>
      <w:spacing w:val="5"/>
      <w:sz w:val="24"/>
      <w:szCs w:val="24"/>
    </w:rPr>
  </w:style>
  <w:style w:styleId="Heading5" w:type="paragraph">
    <w:name w:val="heading 5"/>
    <w:basedOn w:val="Normal"/>
    <w:next w:val="Normal"/>
    <w:link w:val="Heading5Char"/>
    <w:uiPriority w:val="9"/>
    <w:semiHidden/>
    <w:unhideWhenUsed/>
    <w:qFormat/>
    <w:rsid w:val="00E5359F"/>
    <w:pPr>
      <w:spacing w:after="0" w:line="271" w:lineRule="auto"/>
      <w:outlineLvl w:val="4"/>
    </w:pPr>
    <w:rPr>
      <w:i/>
      <w:iCs/>
      <w:sz w:val="24"/>
      <w:szCs w:val="24"/>
    </w:rPr>
  </w:style>
  <w:style w:styleId="Heading6" w:type="paragraph">
    <w:name w:val="heading 6"/>
    <w:basedOn w:val="Normal"/>
    <w:next w:val="Normal"/>
    <w:link w:val="Heading6Char"/>
    <w:uiPriority w:val="9"/>
    <w:semiHidden/>
    <w:unhideWhenUsed/>
    <w:qFormat/>
    <w:rsid w:val="00E5359F"/>
    <w:pPr>
      <w:shd w:color="auto" w:fill="FFFFFF" w:themeFill="background1" w:val="clear"/>
      <w:spacing w:after="0" w:line="271" w:lineRule="auto"/>
      <w:outlineLvl w:val="5"/>
    </w:pPr>
    <w:rPr>
      <w:b/>
      <w:bCs/>
      <w:color w:themeColor="text1" w:themeTint="A6" w:val="595959"/>
      <w:spacing w:val="5"/>
    </w:rPr>
  </w:style>
  <w:style w:styleId="Heading7" w:type="paragraph">
    <w:name w:val="heading 7"/>
    <w:basedOn w:val="Normal"/>
    <w:next w:val="Normal"/>
    <w:link w:val="Heading7Char"/>
    <w:uiPriority w:val="9"/>
    <w:semiHidden/>
    <w:unhideWhenUsed/>
    <w:qFormat/>
    <w:rsid w:val="00E5359F"/>
    <w:pPr>
      <w:spacing w:after="0"/>
      <w:outlineLvl w:val="6"/>
    </w:pPr>
    <w:rPr>
      <w:b/>
      <w:bCs/>
      <w:i/>
      <w:iCs/>
      <w:color w:themeColor="text1" w:themeTint="A5" w:val="5A5A5A"/>
      <w:sz w:val="20"/>
      <w:szCs w:val="20"/>
    </w:rPr>
  </w:style>
  <w:style w:styleId="Heading8" w:type="paragraph">
    <w:name w:val="heading 8"/>
    <w:basedOn w:val="Normal"/>
    <w:next w:val="Normal"/>
    <w:link w:val="Heading8Char"/>
    <w:uiPriority w:val="9"/>
    <w:semiHidden/>
    <w:unhideWhenUsed/>
    <w:qFormat/>
    <w:rsid w:val="00E5359F"/>
    <w:pPr>
      <w:spacing w:after="0"/>
      <w:outlineLvl w:val="7"/>
    </w:pPr>
    <w:rPr>
      <w:b/>
      <w:bCs/>
      <w:color w:themeColor="text1" w:themeTint="80" w:val="7F7F7F"/>
      <w:sz w:val="20"/>
      <w:szCs w:val="20"/>
    </w:rPr>
  </w:style>
  <w:style w:styleId="Heading9" w:type="paragraph">
    <w:name w:val="heading 9"/>
    <w:basedOn w:val="Normal"/>
    <w:next w:val="Normal"/>
    <w:link w:val="Heading9Char"/>
    <w:uiPriority w:val="9"/>
    <w:semiHidden/>
    <w:unhideWhenUsed/>
    <w:qFormat/>
    <w:rsid w:val="00E5359F"/>
    <w:pPr>
      <w:spacing w:after="0" w:line="271" w:lineRule="auto"/>
      <w:outlineLvl w:val="8"/>
    </w:pPr>
    <w:rPr>
      <w:b/>
      <w:bCs/>
      <w:i/>
      <w:iCs/>
      <w:color w:themeColor="text1" w:themeTint="80" w:val="7F7F7F"/>
      <w:sz w:val="18"/>
      <w:szCs w:val="1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Normal"/>
    <w:link w:val="TitleChar"/>
    <w:uiPriority w:val="10"/>
    <w:qFormat/>
    <w:rsid w:val="00E5359F"/>
    <w:pPr>
      <w:spacing w:after="300" w:line="240" w:lineRule="auto"/>
      <w:contextualSpacing/>
    </w:pPr>
    <w:rPr>
      <w:smallCaps/>
      <w:sz w:val="52"/>
      <w:szCs w:val="52"/>
    </w:rPr>
  </w:style>
  <w:style w:customStyle="1" w:styleId="TitleChar" w:type="character">
    <w:name w:val="Title Char"/>
    <w:basedOn w:val="DefaultParagraphFont"/>
    <w:link w:val="Title"/>
    <w:uiPriority w:val="10"/>
    <w:rsid w:val="00E5359F"/>
    <w:rPr>
      <w:smallCaps/>
      <w:sz w:val="52"/>
      <w:szCs w:val="52"/>
    </w:rPr>
  </w:style>
  <w:style w:styleId="Subtitle" w:type="paragraph">
    <w:name w:val="Subtitle"/>
    <w:basedOn w:val="Normal"/>
    <w:next w:val="Normal"/>
    <w:link w:val="SubtitleChar"/>
    <w:uiPriority w:val="11"/>
    <w:qFormat/>
    <w:rsid w:val="00E5359F"/>
    <w:rPr>
      <w:i/>
      <w:iCs/>
      <w:smallCaps/>
      <w:spacing w:val="10"/>
      <w:sz w:val="28"/>
      <w:szCs w:val="28"/>
    </w:rPr>
  </w:style>
  <w:style w:customStyle="1" w:styleId="SubtitleChar" w:type="character">
    <w:name w:val="Subtitle Char"/>
    <w:basedOn w:val="DefaultParagraphFont"/>
    <w:link w:val="Subtitle"/>
    <w:uiPriority w:val="11"/>
    <w:rsid w:val="00E5359F"/>
    <w:rPr>
      <w:i/>
      <w:iCs/>
      <w:smallCaps/>
      <w:spacing w:val="10"/>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style>
  <w:style w:customStyle="1" w:styleId="Heading1Char" w:type="character">
    <w:name w:val="Heading 1 Char"/>
    <w:basedOn w:val="DefaultParagraphFont"/>
    <w:link w:val="Heading1"/>
    <w:uiPriority w:val="9"/>
    <w:rsid w:val="00E5359F"/>
    <w:rPr>
      <w:smallCaps/>
      <w:spacing w:val="5"/>
      <w:sz w:val="36"/>
      <w:szCs w:val="36"/>
    </w:rPr>
  </w:style>
  <w:style w:customStyle="1" w:styleId="Heading2Char" w:type="character">
    <w:name w:val="Heading 2 Char"/>
    <w:basedOn w:val="DefaultParagraphFont"/>
    <w:link w:val="Heading2"/>
    <w:uiPriority w:val="9"/>
    <w:semiHidden/>
    <w:rsid w:val="00E5359F"/>
    <w:rPr>
      <w:smallCaps/>
      <w:sz w:val="28"/>
      <w:szCs w:val="28"/>
    </w:rPr>
  </w:style>
  <w:style w:customStyle="1" w:styleId="Heading3Char" w:type="character">
    <w:name w:val="Heading 3 Char"/>
    <w:basedOn w:val="DefaultParagraphFont"/>
    <w:link w:val="Heading3"/>
    <w:uiPriority w:val="9"/>
    <w:semiHidden/>
    <w:rsid w:val="00E5359F"/>
    <w:rPr>
      <w:i/>
      <w:iCs/>
      <w:smallCaps/>
      <w:spacing w:val="5"/>
      <w:sz w:val="26"/>
      <w:szCs w:val="26"/>
    </w:rPr>
  </w:style>
  <w:style w:customStyle="1" w:styleId="Heading4Char" w:type="character">
    <w:name w:val="Heading 4 Char"/>
    <w:basedOn w:val="DefaultParagraphFont"/>
    <w:link w:val="Heading4"/>
    <w:uiPriority w:val="9"/>
    <w:semiHidden/>
    <w:rsid w:val="00E5359F"/>
    <w:rPr>
      <w:b/>
      <w:bCs/>
      <w:spacing w:val="5"/>
      <w:sz w:val="24"/>
      <w:szCs w:val="24"/>
    </w:rPr>
  </w:style>
  <w:style w:customStyle="1" w:styleId="Heading5Char" w:type="character">
    <w:name w:val="Heading 5 Char"/>
    <w:basedOn w:val="DefaultParagraphFont"/>
    <w:link w:val="Heading5"/>
    <w:uiPriority w:val="9"/>
    <w:semiHidden/>
    <w:rsid w:val="00E5359F"/>
    <w:rPr>
      <w:i/>
      <w:iCs/>
      <w:sz w:val="24"/>
      <w:szCs w:val="24"/>
    </w:rPr>
  </w:style>
  <w:style w:customStyle="1" w:styleId="Heading6Char" w:type="character">
    <w:name w:val="Heading 6 Char"/>
    <w:basedOn w:val="DefaultParagraphFont"/>
    <w:link w:val="Heading6"/>
    <w:uiPriority w:val="9"/>
    <w:semiHidden/>
    <w:rsid w:val="00E5359F"/>
    <w:rPr>
      <w:b/>
      <w:bCs/>
      <w:color w:themeColor="text1" w:themeTint="A6" w:val="595959"/>
      <w:spacing w:val="5"/>
      <w:shd w:color="auto" w:fill="FFFFFF" w:themeFill="background1" w:val="clear"/>
    </w:rPr>
  </w:style>
  <w:style w:customStyle="1" w:styleId="Heading7Char" w:type="character">
    <w:name w:val="Heading 7 Char"/>
    <w:basedOn w:val="DefaultParagraphFont"/>
    <w:link w:val="Heading7"/>
    <w:uiPriority w:val="9"/>
    <w:semiHidden/>
    <w:rsid w:val="00E5359F"/>
    <w:rPr>
      <w:b/>
      <w:bCs/>
      <w:i/>
      <w:iCs/>
      <w:color w:themeColor="text1" w:themeTint="A5" w:val="5A5A5A"/>
      <w:sz w:val="20"/>
      <w:szCs w:val="20"/>
    </w:rPr>
  </w:style>
  <w:style w:customStyle="1" w:styleId="Heading8Char" w:type="character">
    <w:name w:val="Heading 8 Char"/>
    <w:basedOn w:val="DefaultParagraphFont"/>
    <w:link w:val="Heading8"/>
    <w:uiPriority w:val="9"/>
    <w:semiHidden/>
    <w:rsid w:val="00E5359F"/>
    <w:rPr>
      <w:b/>
      <w:bCs/>
      <w:color w:themeColor="text1" w:themeTint="80" w:val="7F7F7F"/>
      <w:sz w:val="20"/>
      <w:szCs w:val="20"/>
    </w:rPr>
  </w:style>
  <w:style w:customStyle="1" w:styleId="Heading9Char" w:type="character">
    <w:name w:val="Heading 9 Char"/>
    <w:basedOn w:val="DefaultParagraphFont"/>
    <w:link w:val="Heading9"/>
    <w:uiPriority w:val="9"/>
    <w:semiHidden/>
    <w:rsid w:val="00E5359F"/>
    <w:rPr>
      <w:b/>
      <w:bCs/>
      <w:i/>
      <w:iCs/>
      <w:color w:themeColor="text1" w:themeTint="80" w:val="7F7F7F"/>
      <w:sz w:val="18"/>
      <w:szCs w:val="18"/>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semiHidden/>
    <w:unhideWhenUsed/>
    <w:rsid w:val="00E5359F"/>
    <w:rPr>
      <w:b/>
      <w:bCs/>
      <w:caps/>
      <w:sz w:val="16"/>
      <w:szCs w:val="18"/>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semiHidden/>
    <w:rPr>
      <w:b/>
      <w:bCs/>
      <w:caps/>
      <w:sz w:val="16"/>
      <w:szCs w:val="18"/>
    </w:rPr>
  </w:style>
  <w:style w:customStyle="1" w:styleId="VerbatimChar" w:type="character">
    <w:name w:val="Verbatim Char"/>
    <w:basedOn w:val="CaptionChar"/>
    <w:rPr>
      <w:rFonts w:ascii="Consolas" w:hAnsi="Consolas"/>
      <w:b/>
      <w:bCs/>
      <w:i w:val="0"/>
      <w:iCs w:val="0"/>
      <w:caps/>
      <w:color w:themeColor="text2" w:val="0E2841"/>
      <w:sz w:val="22"/>
      <w:szCs w:val="18"/>
    </w:rPr>
  </w:style>
  <w:style w:customStyle="1" w:styleId="SectionNumber" w:type="character">
    <w:name w:val="Section Number"/>
    <w:basedOn w:val="CaptionChar"/>
    <w:rPr>
      <w:rFonts w:ascii="Times New Roman" w:hAnsi="Times New Roman"/>
      <w:b/>
      <w:bCs/>
      <w:i w:val="0"/>
      <w:iCs w:val="0"/>
      <w:caps/>
      <w:color w:themeColor="text2" w:val="0E2841"/>
      <w:sz w:val="18"/>
      <w:szCs w:val="18"/>
    </w:rPr>
  </w:style>
  <w:style w:styleId="FootnoteReference" w:type="character">
    <w:name w:val="footnote reference"/>
    <w:basedOn w:val="CaptionChar"/>
    <w:rPr>
      <w:rFonts w:ascii="Times New Roman" w:hAnsi="Times New Roman"/>
      <w:b/>
      <w:bCs/>
      <w:i w:val="0"/>
      <w:iCs w:val="0"/>
      <w:caps/>
      <w:color w:themeColor="text2" w:val="0E2841"/>
      <w:sz w:val="18"/>
      <w:szCs w:val="18"/>
      <w:vertAlign w:val="superscript"/>
    </w:rPr>
  </w:style>
  <w:style w:styleId="Hyperlink" w:type="character">
    <w:name w:val="Hyperlink"/>
    <w:basedOn w:val="CaptionChar"/>
    <w:rPr>
      <w:rFonts w:ascii="Times New Roman" w:hAnsi="Times New Roman"/>
      <w:b/>
      <w:bCs/>
      <w:i w:val="0"/>
      <w:iCs w:val="0"/>
      <w:caps/>
      <w:color w:themeColor="accent1" w:val="156082"/>
      <w:sz w:val="18"/>
      <w:szCs w:val="18"/>
    </w:rPr>
  </w:style>
  <w:style w:styleId="TOCHeading" w:type="paragraph">
    <w:name w:val="TOC Heading"/>
    <w:basedOn w:val="Heading1"/>
    <w:next w:val="Normal"/>
    <w:uiPriority w:val="39"/>
    <w:semiHidden/>
    <w:unhideWhenUsed/>
    <w:qFormat/>
    <w:rsid w:val="00E5359F"/>
    <w:pPr>
      <w:outlineLvl w:val="9"/>
    </w:pPr>
  </w:style>
  <w:style w:customStyle="1" w:styleId="Style1" w:type="paragraph">
    <w:name w:val="Style1"/>
    <w:basedOn w:val="Heading1"/>
    <w:rsid w:val="00B6247C"/>
    <w:rPr>
      <w:b/>
      <w:color w:themeColor="text1" w:val="000000"/>
      <w:sz w:val="28"/>
    </w:rPr>
  </w:style>
  <w:style w:styleId="NoSpacing" w:type="paragraph">
    <w:name w:val="No Spacing"/>
    <w:basedOn w:val="Normal"/>
    <w:link w:val="NoSpacingChar"/>
    <w:uiPriority w:val="1"/>
    <w:qFormat/>
    <w:rsid w:val="00E5359F"/>
    <w:pPr>
      <w:spacing w:after="0" w:line="240" w:lineRule="auto"/>
    </w:pPr>
  </w:style>
  <w:style w:styleId="ListParagraph" w:type="paragraph">
    <w:name w:val="List Paragraph"/>
    <w:basedOn w:val="Normal"/>
    <w:uiPriority w:val="34"/>
    <w:qFormat/>
    <w:rsid w:val="00E5359F"/>
    <w:pPr>
      <w:ind w:left="720"/>
      <w:contextualSpacing/>
    </w:pPr>
  </w:style>
  <w:style w:styleId="Quote" w:type="paragraph">
    <w:name w:val="Quote"/>
    <w:basedOn w:val="Normal"/>
    <w:next w:val="Normal"/>
    <w:link w:val="QuoteChar"/>
    <w:uiPriority w:val="29"/>
    <w:qFormat/>
    <w:rsid w:val="00E5359F"/>
    <w:rPr>
      <w:i/>
      <w:iCs/>
    </w:rPr>
  </w:style>
  <w:style w:customStyle="1" w:styleId="QuoteChar" w:type="character">
    <w:name w:val="Quote Char"/>
    <w:basedOn w:val="DefaultParagraphFont"/>
    <w:link w:val="Quote"/>
    <w:uiPriority w:val="29"/>
    <w:rsid w:val="00E5359F"/>
    <w:rPr>
      <w:i/>
      <w:iCs/>
    </w:rPr>
  </w:style>
  <w:style w:styleId="IntenseQuote" w:type="paragraph">
    <w:name w:val="Intense Quote"/>
    <w:basedOn w:val="Normal"/>
    <w:next w:val="Normal"/>
    <w:link w:val="IntenseQuoteChar"/>
    <w:uiPriority w:val="30"/>
    <w:qFormat/>
    <w:rsid w:val="00E5359F"/>
    <w:pPr>
      <w:pBdr>
        <w:top w:color="auto" w:space="10" w:sz="4" w:val="single"/>
        <w:bottom w:color="auto" w:space="10" w:sz="4" w:val="single"/>
      </w:pBdr>
      <w:spacing w:after="240" w:before="240" w:line="300" w:lineRule="auto"/>
      <w:ind w:left="1152" w:right="1152"/>
      <w:jc w:val="both"/>
    </w:pPr>
    <w:rPr>
      <w:i/>
      <w:iCs/>
    </w:rPr>
  </w:style>
  <w:style w:customStyle="1" w:styleId="IntenseQuoteChar" w:type="character">
    <w:name w:val="Intense Quote Char"/>
    <w:basedOn w:val="DefaultParagraphFont"/>
    <w:link w:val="IntenseQuote"/>
    <w:uiPriority w:val="30"/>
    <w:rsid w:val="00E5359F"/>
    <w:rPr>
      <w:i/>
      <w:iCs/>
    </w:rPr>
  </w:style>
  <w:style w:styleId="IntenseEmphasis" w:type="character">
    <w:name w:val="Intense Emphasis"/>
    <w:uiPriority w:val="21"/>
    <w:qFormat/>
    <w:rsid w:val="00E5359F"/>
    <w:rPr>
      <w:b/>
      <w:bCs/>
      <w:i/>
      <w:iCs/>
    </w:rPr>
  </w:style>
  <w:style w:styleId="IntenseReference" w:type="character">
    <w:name w:val="Intense Reference"/>
    <w:uiPriority w:val="32"/>
    <w:qFormat/>
    <w:rsid w:val="00E5359F"/>
    <w:rPr>
      <w:b/>
      <w:bCs/>
      <w:smallCaps/>
    </w:rPr>
  </w:style>
  <w:style w:customStyle="1" w:styleId="CurrentList1" w:type="numbering">
    <w:name w:val="Current List1"/>
    <w:uiPriority w:val="99"/>
    <w:rsid w:val="007D5D4D"/>
    <w:pPr>
      <w:numPr>
        <w:numId w:val="11"/>
      </w:numPr>
    </w:pPr>
  </w:style>
  <w:style w:customStyle="1" w:styleId="Style2" w:type="paragraph">
    <w:name w:val="Style2"/>
    <w:basedOn w:val="Heading2"/>
    <w:rsid w:val="007D5D4D"/>
  </w:style>
  <w:style w:customStyle="1" w:styleId="CurrentList2" w:type="numbering">
    <w:name w:val="Current List2"/>
    <w:uiPriority w:val="99"/>
    <w:rsid w:val="007D5D4D"/>
    <w:pPr>
      <w:numPr>
        <w:numId w:val="12"/>
      </w:numPr>
    </w:pPr>
  </w:style>
  <w:style w:customStyle="1" w:styleId="Style3" w:type="paragraph">
    <w:name w:val="Style3"/>
    <w:basedOn w:val="Heading2"/>
    <w:rsid w:val="007D5D4D"/>
  </w:style>
  <w:style w:customStyle="1" w:styleId="CurrentList3" w:type="numbering">
    <w:name w:val="Current List3"/>
    <w:uiPriority w:val="99"/>
    <w:rsid w:val="007D5D4D"/>
    <w:pPr>
      <w:numPr>
        <w:numId w:val="13"/>
      </w:numPr>
    </w:pPr>
  </w:style>
  <w:style w:customStyle="1" w:styleId="Style4" w:type="paragraph">
    <w:name w:val="Style4"/>
    <w:basedOn w:val="Heading2"/>
    <w:rsid w:val="007D5D4D"/>
  </w:style>
  <w:style w:customStyle="1" w:styleId="CurrentList4" w:type="numbering">
    <w:name w:val="Current List4"/>
    <w:uiPriority w:val="99"/>
    <w:rsid w:val="007D5D4D"/>
    <w:pPr>
      <w:numPr>
        <w:numId w:val="14"/>
      </w:numPr>
    </w:pPr>
  </w:style>
  <w:style w:customStyle="1" w:styleId="Style5" w:type="paragraph">
    <w:name w:val="Style5"/>
    <w:basedOn w:val="Heading1"/>
    <w:rsid w:val="007D5D4D"/>
  </w:style>
  <w:style w:customStyle="1" w:styleId="CurrentList5" w:type="numbering">
    <w:name w:val="Current List5"/>
    <w:uiPriority w:val="99"/>
    <w:rsid w:val="007D5D4D"/>
    <w:pPr>
      <w:numPr>
        <w:numId w:val="15"/>
      </w:numPr>
    </w:pPr>
  </w:style>
  <w:style w:customStyle="1" w:styleId="Style6" w:type="paragraph">
    <w:name w:val="Style6"/>
    <w:basedOn w:val="Heading1"/>
    <w:autoRedefine/>
    <w:rsid w:val="00E5359F"/>
    <w:pPr>
      <w:numPr>
        <w:ilvl w:val="1"/>
        <w:numId w:val="3"/>
      </w:numPr>
    </w:pPr>
  </w:style>
  <w:style w:customStyle="1" w:styleId="CurrentList6" w:type="numbering">
    <w:name w:val="Current List6"/>
    <w:uiPriority w:val="99"/>
    <w:rsid w:val="00E5359F"/>
    <w:pPr>
      <w:numPr>
        <w:numId w:val="16"/>
      </w:numPr>
    </w:pPr>
  </w:style>
  <w:style w:customStyle="1" w:styleId="Style7" w:type="paragraph">
    <w:name w:val="Style7"/>
    <w:basedOn w:val="Heading1"/>
    <w:rsid w:val="00E5359F"/>
  </w:style>
  <w:style w:styleId="Strong" w:type="character">
    <w:name w:val="Strong"/>
    <w:uiPriority w:val="22"/>
    <w:qFormat/>
    <w:rsid w:val="00E5359F"/>
    <w:rPr>
      <w:b/>
      <w:bCs/>
    </w:rPr>
  </w:style>
  <w:style w:styleId="Emphasis" w:type="character">
    <w:name w:val="Emphasis"/>
    <w:uiPriority w:val="20"/>
    <w:qFormat/>
    <w:rsid w:val="00E5359F"/>
    <w:rPr>
      <w:b/>
      <w:bCs/>
      <w:i/>
      <w:iCs/>
      <w:spacing w:val="10"/>
    </w:rPr>
  </w:style>
  <w:style w:customStyle="1" w:styleId="NoSpacingChar" w:type="character">
    <w:name w:val="No Spacing Char"/>
    <w:basedOn w:val="DefaultParagraphFont"/>
    <w:link w:val="NoSpacing"/>
    <w:uiPriority w:val="1"/>
    <w:rsid w:val="00E5359F"/>
  </w:style>
  <w:style w:styleId="SubtleEmphasis" w:type="character">
    <w:name w:val="Subtle Emphasis"/>
    <w:uiPriority w:val="19"/>
    <w:qFormat/>
    <w:rsid w:val="00E5359F"/>
    <w:rPr>
      <w:i/>
      <w:iCs/>
    </w:rPr>
  </w:style>
  <w:style w:styleId="SubtleReference" w:type="character">
    <w:name w:val="Subtle Reference"/>
    <w:basedOn w:val="DefaultParagraphFont"/>
    <w:uiPriority w:val="31"/>
    <w:qFormat/>
    <w:rsid w:val="00E5359F"/>
    <w:rPr>
      <w:smallCaps/>
    </w:rPr>
  </w:style>
  <w:style w:styleId="BookTitle" w:type="character">
    <w:name w:val="Book Title"/>
    <w:basedOn w:val="DefaultParagraphFont"/>
    <w:uiPriority w:val="33"/>
    <w:qFormat/>
    <w:rsid w:val="00E5359F"/>
    <w:rPr>
      <w:i/>
      <w:iCs/>
      <w:smallCaps/>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KamrynMansfield.github.io/transpo_budget_ces/index.qmd.html" TargetMode="External" /><Relationship Type="http://schemas.openxmlformats.org/officeDocument/2006/relationships/hyperlink" Id="rId35" Target="https://KamrynMansfield.github.io/transpo_budget_ces/notebooks/LCA-preview.html#cell-tbl-model-classes" TargetMode="External" /><Relationship Type="http://schemas.openxmlformats.org/officeDocument/2006/relationships/hyperlink" Id="rId37" Target="https://KamrynMansfield.github.io/transpo_budget_ces/notebooks/LCA-preview.html#cell-tbl-model-coeff" TargetMode="External" /><Relationship Type="http://schemas.openxmlformats.org/officeDocument/2006/relationships/hyperlink" Id="rId44" Target="https://KamrynMansfield.github.io/transpo_budget_ces/notebooks/LCA-preview.html#cell-tbl-model-covarpcts" TargetMode="External" /><Relationship Type="http://schemas.openxmlformats.org/officeDocument/2006/relationships/hyperlink" Id="rId26" Target="https://KamrynMansfield.github.io/transpo_budget_ces/notebooks/category_spending_table-preview.html#cell-tbl-category-spending" TargetMode="External" /><Relationship Type="http://schemas.openxmlformats.org/officeDocument/2006/relationships/hyperlink" Id="rId12" Target="https://KamrynMansfield.github.io/transpo_budget_ces/notebooks/lit_review_table-preview.html#cell-tbl-lit-summary" TargetMode="External" /><Relationship Type="http://schemas.openxmlformats.org/officeDocument/2006/relationships/hyperlink" Id="rId28" Target="https://KamrynMansfield.github.io/transpo_budget_ces/notebooks/transpo_spending_table-preview.html#cell-tbl-transpo-spending" TargetMode="External" /><Relationship Type="http://schemas.openxmlformats.org/officeDocument/2006/relationships/hyperlink" Id="rId29" Target="https://data.census.gov/table" TargetMode="External" /><Relationship Type="http://schemas.openxmlformats.org/officeDocument/2006/relationships/hyperlink" Id="rId67" Target="https://doi.org/10.1007/s10834-006-9031-x" TargetMode="External" /><Relationship Type="http://schemas.openxmlformats.org/officeDocument/2006/relationships/hyperlink" Id="rId58" Target="https://doi.org/10.1007/s11116-006-0005-5" TargetMode="External" /><Relationship Type="http://schemas.openxmlformats.org/officeDocument/2006/relationships/hyperlink" Id="rId102" Target="https://doi.org/10.1007/s11116-007-9125-9" TargetMode="External" /><Relationship Type="http://schemas.openxmlformats.org/officeDocument/2006/relationships/hyperlink" Id="rId104" Target="https://doi.org/10.1007/s11116-008-9173-9" TargetMode="External" /><Relationship Type="http://schemas.openxmlformats.org/officeDocument/2006/relationships/hyperlink" Id="rId65" Target="https://doi.org/10.1007/s11116-010-9264-2" TargetMode="External" /><Relationship Type="http://schemas.openxmlformats.org/officeDocument/2006/relationships/hyperlink" Id="rId98" Target="https://doi.org/10.1007/s11116-010-9300-2" TargetMode="External" /><Relationship Type="http://schemas.openxmlformats.org/officeDocument/2006/relationships/hyperlink" Id="rId93" Target="https://doi.org/10.1016/0191-2607(79)90051-7" TargetMode="External" /><Relationship Type="http://schemas.openxmlformats.org/officeDocument/2006/relationships/hyperlink" Id="rId80" Target="https://doi.org/10.1016/j.jtrangeo.2018.12.015" TargetMode="External" /><Relationship Type="http://schemas.openxmlformats.org/officeDocument/2006/relationships/hyperlink" Id="rId49" Target="https://doi.org/10.1016/j.tra.2014.12.006" TargetMode="External" /><Relationship Type="http://schemas.openxmlformats.org/officeDocument/2006/relationships/hyperlink" Id="rId84" Target="https://doi.org/10.1016/j.tra.2022.02.003" TargetMode="External" /><Relationship Type="http://schemas.openxmlformats.org/officeDocument/2006/relationships/hyperlink" Id="rId108" Target="https://doi.org/10.1016/j.tranpol.2009.12.003" TargetMode="External" /><Relationship Type="http://schemas.openxmlformats.org/officeDocument/2006/relationships/hyperlink" Id="rId51" Target="https://doi.org/10.1016/j.trd.2025.104886" TargetMode="External" /><Relationship Type="http://schemas.openxmlformats.org/officeDocument/2006/relationships/hyperlink" Id="rId86" Target="https://doi.org/10.1016/j.trip.2020.100260" TargetMode="External" /><Relationship Type="http://schemas.openxmlformats.org/officeDocument/2006/relationships/hyperlink" Id="rId47" Target="https://doi.org/10.1016/j.trip.2022.100616" TargetMode="External" /><Relationship Type="http://schemas.openxmlformats.org/officeDocument/2006/relationships/hyperlink" Id="rId95" Target="https://doi.org/10.1080/000368498325868" TargetMode="External" /><Relationship Type="http://schemas.openxmlformats.org/officeDocument/2006/relationships/hyperlink" Id="rId89" Target="https://doi.org/10.1080/01441647.2017.1354942" TargetMode="External" /><Relationship Type="http://schemas.openxmlformats.org/officeDocument/2006/relationships/hyperlink" Id="rId110" Target="https://doi.org/10.1177/0361198105192600101" TargetMode="External" /><Relationship Type="http://schemas.openxmlformats.org/officeDocument/2006/relationships/hyperlink" Id="rId112" Target="https://doi.org/10.1177/0361198106198500128" TargetMode="External" /><Relationship Type="http://schemas.openxmlformats.org/officeDocument/2006/relationships/hyperlink" Id="rId91" Target="https://doi.org/10.1177/03611981231174444" TargetMode="External" /><Relationship Type="http://schemas.openxmlformats.org/officeDocument/2006/relationships/hyperlink" Id="rId78" Target="https://doi.org/10.1177/0739456X20950428" TargetMode="External" /><Relationship Type="http://schemas.openxmlformats.org/officeDocument/2006/relationships/hyperlink" Id="rId72" Target="https://doi.org/10.1177/23780231221103054" TargetMode="External" /><Relationship Type="http://schemas.openxmlformats.org/officeDocument/2006/relationships/hyperlink" Id="rId74" Target="https://doi.org/10.1300/J073v18n02_02" TargetMode="External" /><Relationship Type="http://schemas.openxmlformats.org/officeDocument/2006/relationships/hyperlink" Id="rId54" Target="https://doi.org/10.21949/E0KQ-GF72" TargetMode="External" /><Relationship Type="http://schemas.openxmlformats.org/officeDocument/2006/relationships/hyperlink" Id="rId82" Target="https://doi.org/10.22004/ag.econ.327257" TargetMode="External" /><Relationship Type="http://schemas.openxmlformats.org/officeDocument/2006/relationships/hyperlink" Id="rId106" Target="https://doi.org/10.2307/1924806" TargetMode="External" /><Relationship Type="http://schemas.openxmlformats.org/officeDocument/2006/relationships/hyperlink" Id="rId63" Target="https://doi.org/10.25318/11F0019M2023007-ENG" TargetMode="External" /><Relationship Type="http://schemas.openxmlformats.org/officeDocument/2006/relationships/hyperlink" Id="rId56" Target="https://doi.org/10.3141/2010-14" TargetMode="External" /><Relationship Type="http://schemas.openxmlformats.org/officeDocument/2006/relationships/hyperlink" Id="rId69" Target="https://doi.org/10.3141/2077-09" TargetMode="External" /><Relationship Type="http://schemas.openxmlformats.org/officeDocument/2006/relationships/hyperlink" Id="rId61" Target="https://doi.org/10.3141/2531-04" TargetMode="External" /><Relationship Type="http://schemas.openxmlformats.org/officeDocument/2006/relationships/hyperlink" Id="rId100" Target="https://doi.org/10.3386/w19589" TargetMode="External" /><Relationship Type="http://schemas.openxmlformats.org/officeDocument/2006/relationships/hyperlink" Id="rId76" Target="https://heinonline.org/HOL/P?h=hein.journals/month124&amp;i=482" TargetMode="External" /><Relationship Type="http://schemas.openxmlformats.org/officeDocument/2006/relationships/hyperlink" Id="rId30" Target="https://www.census.gov/data/tables/time-series/demo/popest/2020s-total-cities-and-towns.html" TargetMode="External" /></Relationships>
</file>

<file path=word/_rels/footnotes.xml.rels><?xml version="1.0" encoding="UTF-8"?><Relationships xmlns="http://schemas.openxmlformats.org/package/2006/relationships"><Relationship Type="http://schemas.openxmlformats.org/officeDocument/2006/relationships/hyperlink" Id="rId9" Target="https://KamrynMansfield.github.io/transpo_budget_ces/index.qmd.html" TargetMode="External" /><Relationship Type="http://schemas.openxmlformats.org/officeDocument/2006/relationships/hyperlink" Id="rId35" Target="https://KamrynMansfield.github.io/transpo_budget_ces/notebooks/LCA-preview.html#cell-tbl-model-classes" TargetMode="External" /><Relationship Type="http://schemas.openxmlformats.org/officeDocument/2006/relationships/hyperlink" Id="rId37" Target="https://KamrynMansfield.github.io/transpo_budget_ces/notebooks/LCA-preview.html#cell-tbl-model-coeff" TargetMode="External" /><Relationship Type="http://schemas.openxmlformats.org/officeDocument/2006/relationships/hyperlink" Id="rId44" Target="https://KamrynMansfield.github.io/transpo_budget_ces/notebooks/LCA-preview.html#cell-tbl-model-covarpcts" TargetMode="External" /><Relationship Type="http://schemas.openxmlformats.org/officeDocument/2006/relationships/hyperlink" Id="rId26" Target="https://KamrynMansfield.github.io/transpo_budget_ces/notebooks/category_spending_table-preview.html#cell-tbl-category-spending" TargetMode="External" /><Relationship Type="http://schemas.openxmlformats.org/officeDocument/2006/relationships/hyperlink" Id="rId12" Target="https://KamrynMansfield.github.io/transpo_budget_ces/notebooks/lit_review_table-preview.html#cell-tbl-lit-summary" TargetMode="External" /><Relationship Type="http://schemas.openxmlformats.org/officeDocument/2006/relationships/hyperlink" Id="rId28" Target="https://KamrynMansfield.github.io/transpo_budget_ces/notebooks/transpo_spending_table-preview.html#cell-tbl-transpo-spending" TargetMode="External" /><Relationship Type="http://schemas.openxmlformats.org/officeDocument/2006/relationships/hyperlink" Id="rId29" Target="https://data.census.gov/table" TargetMode="External" /><Relationship Type="http://schemas.openxmlformats.org/officeDocument/2006/relationships/hyperlink" Id="rId67" Target="https://doi.org/10.1007/s10834-006-9031-x" TargetMode="External" /><Relationship Type="http://schemas.openxmlformats.org/officeDocument/2006/relationships/hyperlink" Id="rId58" Target="https://doi.org/10.1007/s11116-006-0005-5" TargetMode="External" /><Relationship Type="http://schemas.openxmlformats.org/officeDocument/2006/relationships/hyperlink" Id="rId102" Target="https://doi.org/10.1007/s11116-007-9125-9" TargetMode="External" /><Relationship Type="http://schemas.openxmlformats.org/officeDocument/2006/relationships/hyperlink" Id="rId104" Target="https://doi.org/10.1007/s11116-008-9173-9" TargetMode="External" /><Relationship Type="http://schemas.openxmlformats.org/officeDocument/2006/relationships/hyperlink" Id="rId65" Target="https://doi.org/10.1007/s11116-010-9264-2" TargetMode="External" /><Relationship Type="http://schemas.openxmlformats.org/officeDocument/2006/relationships/hyperlink" Id="rId98" Target="https://doi.org/10.1007/s11116-010-9300-2" TargetMode="External" /><Relationship Type="http://schemas.openxmlformats.org/officeDocument/2006/relationships/hyperlink" Id="rId93" Target="https://doi.org/10.1016/0191-2607(79)90051-7" TargetMode="External" /><Relationship Type="http://schemas.openxmlformats.org/officeDocument/2006/relationships/hyperlink" Id="rId80" Target="https://doi.org/10.1016/j.jtrangeo.2018.12.015" TargetMode="External" /><Relationship Type="http://schemas.openxmlformats.org/officeDocument/2006/relationships/hyperlink" Id="rId49" Target="https://doi.org/10.1016/j.tra.2014.12.006" TargetMode="External" /><Relationship Type="http://schemas.openxmlformats.org/officeDocument/2006/relationships/hyperlink" Id="rId84" Target="https://doi.org/10.1016/j.tra.2022.02.003" TargetMode="External" /><Relationship Type="http://schemas.openxmlformats.org/officeDocument/2006/relationships/hyperlink" Id="rId108" Target="https://doi.org/10.1016/j.tranpol.2009.12.003" TargetMode="External" /><Relationship Type="http://schemas.openxmlformats.org/officeDocument/2006/relationships/hyperlink" Id="rId51" Target="https://doi.org/10.1016/j.trd.2025.104886" TargetMode="External" /><Relationship Type="http://schemas.openxmlformats.org/officeDocument/2006/relationships/hyperlink" Id="rId86" Target="https://doi.org/10.1016/j.trip.2020.100260" TargetMode="External" /><Relationship Type="http://schemas.openxmlformats.org/officeDocument/2006/relationships/hyperlink" Id="rId47" Target="https://doi.org/10.1016/j.trip.2022.100616" TargetMode="External" /><Relationship Type="http://schemas.openxmlformats.org/officeDocument/2006/relationships/hyperlink" Id="rId95" Target="https://doi.org/10.1080/000368498325868" TargetMode="External" /><Relationship Type="http://schemas.openxmlformats.org/officeDocument/2006/relationships/hyperlink" Id="rId89" Target="https://doi.org/10.1080/01441647.2017.1354942" TargetMode="External" /><Relationship Type="http://schemas.openxmlformats.org/officeDocument/2006/relationships/hyperlink" Id="rId110" Target="https://doi.org/10.1177/0361198105192600101" TargetMode="External" /><Relationship Type="http://schemas.openxmlformats.org/officeDocument/2006/relationships/hyperlink" Id="rId112" Target="https://doi.org/10.1177/0361198106198500128" TargetMode="External" /><Relationship Type="http://schemas.openxmlformats.org/officeDocument/2006/relationships/hyperlink" Id="rId91" Target="https://doi.org/10.1177/03611981231174444" TargetMode="External" /><Relationship Type="http://schemas.openxmlformats.org/officeDocument/2006/relationships/hyperlink" Id="rId78" Target="https://doi.org/10.1177/0739456X20950428" TargetMode="External" /><Relationship Type="http://schemas.openxmlformats.org/officeDocument/2006/relationships/hyperlink" Id="rId72" Target="https://doi.org/10.1177/23780231221103054" TargetMode="External" /><Relationship Type="http://schemas.openxmlformats.org/officeDocument/2006/relationships/hyperlink" Id="rId74" Target="https://doi.org/10.1300/J073v18n02_02" TargetMode="External" /><Relationship Type="http://schemas.openxmlformats.org/officeDocument/2006/relationships/hyperlink" Id="rId54" Target="https://doi.org/10.21949/E0KQ-GF72" TargetMode="External" /><Relationship Type="http://schemas.openxmlformats.org/officeDocument/2006/relationships/hyperlink" Id="rId82" Target="https://doi.org/10.22004/ag.econ.327257" TargetMode="External" /><Relationship Type="http://schemas.openxmlformats.org/officeDocument/2006/relationships/hyperlink" Id="rId106" Target="https://doi.org/10.2307/1924806" TargetMode="External" /><Relationship Type="http://schemas.openxmlformats.org/officeDocument/2006/relationships/hyperlink" Id="rId63" Target="https://doi.org/10.25318/11F0019M2023007-ENG" TargetMode="External" /><Relationship Type="http://schemas.openxmlformats.org/officeDocument/2006/relationships/hyperlink" Id="rId56" Target="https://doi.org/10.3141/2010-14" TargetMode="External" /><Relationship Type="http://schemas.openxmlformats.org/officeDocument/2006/relationships/hyperlink" Id="rId69" Target="https://doi.org/10.3141/2077-09" TargetMode="External" /><Relationship Type="http://schemas.openxmlformats.org/officeDocument/2006/relationships/hyperlink" Id="rId61" Target="https://doi.org/10.3141/2531-04" TargetMode="External" /><Relationship Type="http://schemas.openxmlformats.org/officeDocument/2006/relationships/hyperlink" Id="rId100" Target="https://doi.org/10.3386/w19589" TargetMode="External" /><Relationship Type="http://schemas.openxmlformats.org/officeDocument/2006/relationships/hyperlink" Id="rId76" Target="https://heinonline.org/HOL/P?h=hein.journals/month124&amp;i=482" TargetMode="External" /><Relationship Type="http://schemas.openxmlformats.org/officeDocument/2006/relationships/hyperlink" Id="rId30" Target="https://www.census.gov/data/tables/time-series/demo/popest/2020s-total-cities-and-town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Unpacking Household Budgeting Strategies through a Transportation Lens</dc:title>
  <dc:creator>Kamryn Mansfield; Katie Asmussen</dc:creator>
  <cp:keywords>Consumer Expenditure Survey, Transportation Spending, Family Spending, Budget</cp:keywords>
  <dcterms:created xsi:type="dcterms:W3CDTF">2026-03-13T21:05:19Z</dcterms:created>
  <dcterms:modified xsi:type="dcterms:W3CDTF">2026-03-13T21:05:19Z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is where we will put our abstract.</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date">
    <vt:lpwstr>2026-03-13</vt:lpwstr>
  </property>
  <property fmtid="{D5CDD505-2E9C-101B-9397-08002B2CF9AE}" pid="11" name="engines">
    <vt:lpwstr/>
  </property>
  <property fmtid="{D5CDD505-2E9C-101B-9397-08002B2CF9AE}" pid="12" name="google-scholar">
    <vt:lpwstr>True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key-points">
    <vt:lpwstr/>
  </property>
  <property fmtid="{D5CDD505-2E9C-101B-9397-08002B2CF9AE}" pid="17" name="labels">
    <vt:lpwstr/>
  </property>
  <property fmtid="{D5CDD505-2E9C-101B-9397-08002B2CF9AE}" pid="18" name="lightbox">
    <vt:lpwstr>auto</vt:lpwstr>
  </property>
  <property fmtid="{D5CDD505-2E9C-101B-9397-08002B2CF9AE}" pid="19" name="manuscript">
    <vt:lpwstr/>
  </property>
  <property fmtid="{D5CDD505-2E9C-101B-9397-08002B2CF9AE}" pid="20" name="notebook-preview-options">
    <vt:lpwstr/>
  </property>
  <property fmtid="{D5CDD505-2E9C-101B-9397-08002B2CF9AE}" pid="21" name="plain-language-summary">
    <vt:lpwstr>This is a plain language summary</vt:lpwstr>
  </property>
  <property fmtid="{D5CDD505-2E9C-101B-9397-08002B2CF9AE}" pid="22" name="quarto-internal">
    <vt:lpwstr/>
  </property>
  <property fmtid="{D5CDD505-2E9C-101B-9397-08002B2CF9AE}" pid="23" name="remove-hidden">
    <vt:lpwstr>all</vt:lpwstr>
  </property>
  <property fmtid="{D5CDD505-2E9C-101B-9397-08002B2CF9AE}" pid="24" name="template-partials">
    <vt:lpwstr/>
  </property>
  <property fmtid="{D5CDD505-2E9C-101B-9397-08002B2CF9AE}" pid="25" name="theme">
    <vt:lpwstr>cosmo</vt:lpwstr>
  </property>
  <property fmtid="{D5CDD505-2E9C-101B-9397-08002B2CF9AE}" pid="26" name="title-block-style">
    <vt:lpwstr>manuscript</vt:lpwstr>
  </property>
  <property fmtid="{D5CDD505-2E9C-101B-9397-08002B2CF9AE}" pid="27" name="toc-title">
    <vt:lpwstr>Table of contents</vt:lpwstr>
  </property>
  <property fmtid="{D5CDD505-2E9C-101B-9397-08002B2CF9AE}" pid="28" name="unroll-markdown-cells">
    <vt:lpwstr>True</vt:lpwstr>
  </property>
</Properties>
</file>