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2025-12-13</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Theses groupings can help us find groups of spenders with similar patterns to help us predict transportation expenses based on the household’s characteristics.</w:t>
      </w:r>
    </w:p>
    <w:bookmarkEnd w:id="20"/>
    <w:bookmarkStart w:id="25" w:name="literature-review"/>
    <w:p>
      <w:pPr>
        <w:pStyle w:val="Heading2"/>
      </w:pPr>
      <w:r>
        <w:t xml:space="preserve">2 Literature Review</w:t>
      </w:r>
    </w:p>
    <w:p>
      <w:pPr>
        <w:pStyle w:val="FirstParagraph"/>
      </w:pPr>
      <w:r>
        <w:t xml:space="preserve">Family Choices and Activity Patterns</w:t>
      </w:r>
      <w:r>
        <w:t xml:space="preserve"> </w:t>
      </w:r>
      <w:r>
        <w:t xml:space="preserve">Family Transportation Choices</w:t>
      </w:r>
      <w:r>
        <w:t xml:space="preserve"> </w:t>
      </w:r>
      <w:r>
        <w:t xml:space="preserve">Family Spending and Budgets</w:t>
      </w:r>
      <w:r>
        <w:t xml:space="preserve"> </w:t>
      </w:r>
      <w:r>
        <w:t xml:space="preserve">Family Transportation Budgets</w:t>
      </w:r>
    </w:p>
    <w:p>
      <w:pPr>
        <w:pStyle w:val="BodyText"/>
      </w:pPr>
      <w:r>
        <w:t xml:space="preserve">The literature that relates to our study can be</w:t>
      </w:r>
    </w:p>
    <w:bookmarkStart w:id="21"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(Sener and Bhat 2007; Rachel B. Copperman and Bhat 2007b; Sener et al. 2008; Leung et al. 2019)</w:t>
      </w:r>
      <w:r>
        <w:t xml:space="preserve">.</w:t>
      </w:r>
      <w:r>
        <w:t xml:space="preserve"> </w:t>
      </w:r>
      <w:r>
        <w:t xml:space="preserve">Paleti, Copperman, and Bhat (2011)</w:t>
      </w:r>
      <w:r>
        <w:t xml:space="preserve"> </w:t>
      </w:r>
      <w:r>
        <w:t xml:space="preserve">performed a study where….</w:t>
      </w:r>
    </w:p>
    <w:p>
      <w:pPr>
        <w:pStyle w:val="BodyText"/>
      </w:pPr>
      <w:r>
        <w:t xml:space="preserve">Another study on family choices was done by</w:t>
      </w:r>
      <w:r>
        <w:t xml:space="preserve"> </w:t>
      </w:r>
      <w:r>
        <w:t xml:space="preserve">Bernardo et al. (2015)</w:t>
      </w:r>
      <w:r>
        <w:t xml:space="preserve">. They…</w:t>
      </w:r>
    </w:p>
    <w:p>
      <w:pPr>
        <w:pStyle w:val="BodyText"/>
      </w:pPr>
      <w:r>
        <w:t xml:space="preserve">Paleti, Copperman, and Bhat (2011)</w:t>
      </w:r>
      <w:r>
        <w:t xml:space="preserve"> </w:t>
      </w:r>
      <w:r>
        <w:t xml:space="preserve">- The results show that a wide variety of demographic, attitudinal, environmental, and others’ activity-travel pattern characteristics impact children’s after school activity engagement patterns.</w:t>
      </w:r>
    </w:p>
    <w:p>
      <w:pPr>
        <w:pStyle w:val="BodyText"/>
      </w:pPr>
      <w:r>
        <w:t xml:space="preserve">Bernardo et al. (2015)</w:t>
      </w:r>
      <w:r>
        <w:t xml:space="preserve"> </w:t>
      </w:r>
      <w:r>
        <w:t xml:space="preserve">- the presence of a child in dual-earner households not only leads to a reduction in in-home non-work activity participation (excluding child care activities) but also a substantially larger decrease in out-of-home non-work activity participation (excluding child care and shopping activities)</w:t>
      </w:r>
    </w:p>
    <w:bookmarkEnd w:id="21"/>
    <w:bookmarkStart w:id="22" w:name="family-transportation-choices"/>
    <w:p>
      <w:pPr>
        <w:pStyle w:val="Heading3"/>
      </w:pPr>
      <w:r>
        <w:t xml:space="preserve">2.2 Family Transportation Choices</w:t>
      </w:r>
    </w:p>
    <w:p>
      <w:pPr>
        <w:pStyle w:val="FirstParagraph"/>
      </w:pPr>
      <w:r>
        <w:t xml:space="preserve">Many studies exploring household choices have focused on their connection to and effects on transportation</w:t>
      </w:r>
      <w:r>
        <w:t xml:space="preserve"> </w:t>
      </w:r>
      <w:r>
        <w:t xml:space="preserve">(Rachel B. Copperman and Bhat 2007a; Souche 2010; Lu et al. 2022; Amirnazmiafshar and Diana 2022)</w:t>
      </w:r>
      <w:r>
        <w:t xml:space="preserve">.</w:t>
      </w:r>
    </w:p>
    <w:p>
      <w:pPr>
        <w:pStyle w:val="BodyText"/>
      </w:pPr>
      <w:r>
        <w:t xml:space="preserve">McCarthy et al. (2017)</w:t>
      </w:r>
      <w:r>
        <w:t xml:space="preserve"> </w:t>
      </w:r>
      <w:r>
        <w:t xml:space="preserve">talks about this…</w:t>
      </w:r>
    </w:p>
    <w:p>
      <w:pPr>
        <w:pStyle w:val="BodyText"/>
      </w:pPr>
      <w:r>
        <w:t xml:space="preserve">Klein (2024)</w:t>
      </w:r>
      <w:r>
        <w:t xml:space="preserve"> </w:t>
      </w:r>
      <w:r>
        <w:t xml:space="preserve">talks about this…</w:t>
      </w:r>
    </w:p>
    <w:p>
      <w:pPr>
        <w:pStyle w:val="BodyText"/>
      </w:pPr>
      <w:r>
        <w:t xml:space="preserve">Bilgin et al. (2025)</w:t>
      </w:r>
      <w:r>
        <w:t xml:space="preserve"> </w:t>
      </w:r>
      <w:r>
        <w:t xml:space="preserve">talks about this…</w:t>
      </w:r>
    </w:p>
    <w:p>
      <w:pPr>
        <w:pStyle w:val="BodyText"/>
      </w:pPr>
      <w:r>
        <w:t xml:space="preserve">McCarthy et al. (2017)</w:t>
      </w:r>
      <w:r>
        <w:t xml:space="preserve"> </w:t>
      </w:r>
      <w:r>
        <w:t xml:space="preserve">- many factores influence decisions about mode choice when traveling with young children.</w:t>
      </w:r>
    </w:p>
    <w:p>
      <w:pPr>
        <w:pStyle w:val="BodyText"/>
      </w:pPr>
      <w:r>
        <w:t xml:space="preserve">Klein (2024)</w:t>
      </w:r>
      <w:r>
        <w:t xml:space="preserve"> </w:t>
      </w:r>
      <w:r>
        <w:t xml:space="preserve">- Having a car gave people more opportunities than before, and they usually had more time to spend with the family. At the beginning and end of the day.</w:t>
      </w:r>
    </w:p>
    <w:p>
      <w:pPr>
        <w:pStyle w:val="BodyText"/>
      </w:pPr>
      <w:r>
        <w:t xml:space="preserve">Bilgin et al. (2025)</w:t>
      </w:r>
      <w:r>
        <w:t xml:space="preserve"> </w:t>
      </w:r>
      <w:r>
        <w:t xml:space="preserve">- Suggests that households are less likely to acquire a car in the presence of ridesourcing, but car disposal is mainly driven by household compositions and residential relocation factors.</w:t>
      </w:r>
    </w:p>
    <w:bookmarkEnd w:id="22"/>
    <w:bookmarkStart w:id="23"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w:t>
      </w:r>
    </w:p>
    <w:p>
      <w:pPr>
        <w:pStyle w:val="BodyText"/>
      </w:pPr>
      <w:r>
        <w:t xml:space="preserve">Hargunani, Vernekar, and Vernekar (2024)</w:t>
      </w:r>
      <w:r>
        <w:t xml:space="preserve"> </w:t>
      </w:r>
      <w:r>
        <w:t xml:space="preserve">said this…</w:t>
      </w:r>
    </w:p>
    <w:p>
      <w:pPr>
        <w:pStyle w:val="BodyText"/>
      </w:pPr>
      <w:r>
        <w:t xml:space="preserve">Hargunani, Vernekar, and Vernekar (2024)</w:t>
      </w:r>
      <w:r>
        <w:t xml:space="preserve"> </w:t>
      </w:r>
      <w:r>
        <w:t xml:space="preserve">- The data analysis reveals distinct spending, saving, and investment patterns among married couples, with a clear prioritization towards ensuring the well-being and future security of their families.”</w:t>
      </w:r>
    </w:p>
    <w:p>
      <w:pPr>
        <w:pStyle w:val="Compact"/>
        <w:numPr>
          <w:ilvl w:val="0"/>
          <w:numId w:val="1001"/>
        </w:numPr>
      </w:pPr>
      <w:r>
        <w:t xml:space="preserve">spending on kids</w:t>
      </w:r>
    </w:p>
    <w:p>
      <w:pPr>
        <w:pStyle w:val="FirstParagraph"/>
      </w:pPr>
      <w:r>
        <w:t xml:space="preserve">These four studies were focused on budget choices and spending related to children.</w:t>
      </w:r>
    </w:p>
    <w:p>
      <w:pPr>
        <w:pStyle w:val="BodyText"/>
      </w:pPr>
      <w:r>
        <w:t xml:space="preserve">Lino et al. (2017)</w:t>
      </w:r>
      <w:r>
        <w:t xml:space="preserve"> </w:t>
      </w:r>
      <w:r>
        <w:t xml:space="preserve">- Many observations on the expenditures of children</w:t>
      </w:r>
    </w:p>
    <w:p>
      <w:pPr>
        <w:pStyle w:val="BodyText"/>
      </w:pPr>
      <w:r>
        <w:t xml:space="preserve">Osborne, Wu, and Benson (2021)</w:t>
      </w:r>
      <w:r>
        <w:t xml:space="preserve"> </w:t>
      </w:r>
      <w:r>
        <w:t xml:space="preserve">- Regardless of the method of calculation, we find that it is nearly impossible for two minimum wage earners to meet the basic costs of raising children in Texas, especially when child care is included</w:t>
      </w:r>
    </w:p>
    <w:p>
      <w:pPr>
        <w:pStyle w:val="BodyText"/>
      </w:pPr>
      <w:r>
        <w:t xml:space="preserve">Hastings (2022)</w:t>
      </w:r>
      <w:r>
        <w:t xml:space="preserve"> </w:t>
      </w:r>
      <w:r>
        <w:t xml:space="preserve">- Both sociodemographic and economic factors play a substantial role in these differences, and the racial and ethnic gaps in parental investments of money are nearly eliminated when both are accounted for</w:t>
      </w:r>
    </w:p>
    <w:p>
      <w:pPr>
        <w:pStyle w:val="BodyText"/>
      </w:pPr>
      <w:r>
        <w:t xml:space="preserve">Duncan, Frank, and Guèvremont (2023)</w:t>
      </w:r>
      <w:r>
        <w:t xml:space="preserve"> </w:t>
      </w:r>
      <w:r>
        <w:t xml:space="preserve">- The more income, the more spending on kids.</w:t>
      </w:r>
    </w:p>
    <w:bookmarkEnd w:id="23"/>
    <w:bookmarkStart w:id="24" w:name="family-transportation-budgets"/>
    <w:p>
      <w:pPr>
        <w:pStyle w:val="Heading3"/>
      </w:pPr>
      <w:r>
        <w:t xml:space="preserve">2.4 Family Transportation Budgets</w:t>
      </w:r>
    </w:p>
    <w:p>
      <w:pPr>
        <w:pStyle w:val="FirstParagraph"/>
      </w:pPr>
      <w:r>
        <w:t xml:space="preserve">Morris and Wigan (1979)</w:t>
      </w:r>
      <w:r>
        <w:t xml:space="preserve"> </w:t>
      </w:r>
      <w:r>
        <w:t xml:space="preserve">- transport takes about 17 percent of expenditures, at least part of the consumption expenditure by low income families is financed from savings, loans or other sources besides</w:t>
      </w:r>
      <w:r>
        <w:t xml:space="preserve"> </w:t>
      </w:r>
      <w:r>
        <w:t xml:space="preserve">“income”</w:t>
      </w:r>
      <w:r>
        <w:t xml:space="preserve">.</w:t>
      </w:r>
    </w:p>
    <w:p>
      <w:pPr>
        <w:pStyle w:val="BodyText"/>
      </w:pPr>
      <w:r>
        <w:t xml:space="preserve">Blumenberg (2003)</w:t>
      </w:r>
      <w:r>
        <w:t xml:space="preserve"> </w:t>
      </w:r>
      <w:r>
        <w:t xml:space="preserve">- Cost comparisons fall short of finding if transportation costs are a barrier for economic opportunity among the poor</w:t>
      </w:r>
    </w:p>
    <w:p>
      <w:pPr>
        <w:pStyle w:val="BodyText"/>
      </w:pPr>
      <w:r>
        <w:t xml:space="preserve">Thakuriah and Liao (2005)</w:t>
      </w:r>
      <w:r>
        <w:t xml:space="preserve"> </w:t>
      </w:r>
      <w:r>
        <w:t xml:space="preserve">- For vehicle-owning households, of every additional dollar that households spend, 18 cents is spent on vehicles after controlling for socioeconomic, demographic, life cycle, and other factors relating to households.</w:t>
      </w:r>
    </w:p>
    <w:p>
      <w:pPr>
        <w:pStyle w:val="BodyText"/>
      </w:pPr>
      <w:r>
        <w:t xml:space="preserve">Hong et al. (2005)</w:t>
      </w:r>
      <w:r>
        <w:t xml:space="preserve"> </w:t>
      </w:r>
      <w:r>
        <w:t xml:space="preserve">- Marrieds without children are more likely to spend on leisure travel than singles, whereas single parents and solitary survivors are less likely to spend on leisure travel than singles.</w:t>
      </w:r>
    </w:p>
    <w:p>
      <w:pPr>
        <w:pStyle w:val="BodyText"/>
      </w:pPr>
      <w:r>
        <w:t xml:space="preserve">Thakuriah (Vonu) and Liao (2006)</w:t>
      </w:r>
      <w:r>
        <w:t xml:space="preserve"> </w:t>
      </w:r>
      <w:r>
        <w:t xml:space="preserve">- Transportation expenditures made by households are better explained by permanent income levels of households than by annual incomes.</w:t>
      </w:r>
    </w:p>
    <w:p>
      <w:pPr>
        <w:pStyle w:val="BodyText"/>
      </w:pPr>
      <w:r>
        <w:t xml:space="preserve">Choo, Lee, and Mokhtarian (2007)</w:t>
      </w:r>
      <w:r>
        <w:t xml:space="preserve"> </w:t>
      </w:r>
      <w:r>
        <w:t xml:space="preserve">- New tech doesn’t substitue Personal Vehicle travel probably</w:t>
      </w:r>
    </w:p>
    <w:p>
      <w:pPr>
        <w:pStyle w:val="BodyText"/>
      </w:pPr>
      <w:r>
        <w:t xml:space="preserve">Haas et al. (2008)</w:t>
      </w:r>
      <w:r>
        <w:t xml:space="preserve"> </w:t>
      </w:r>
      <w:r>
        <w:t xml:space="preserve">- Their model can help in travel demand modeling</w:t>
      </w:r>
    </w:p>
    <w:p>
      <w:pPr>
        <w:pStyle w:val="BodyText"/>
      </w:pPr>
      <w:r>
        <w:t xml:space="preserve">Ferdous et al. (2010)</w:t>
      </w:r>
      <w:r>
        <w:t xml:space="preserve"> </w:t>
      </w:r>
      <w:r>
        <w:t xml:space="preserve">- Adjustments are made with increased fuel prices</w:t>
      </w:r>
    </w:p>
    <w:p>
      <w:pPr>
        <w:pStyle w:val="BodyText"/>
      </w:pPr>
      <w:r>
        <w:t xml:space="preserve">Deka (2015)</w:t>
      </w:r>
      <w:r>
        <w:t xml:space="preserve"> </w:t>
      </w:r>
      <w:r>
        <w:t xml:space="preserve">- More housing costs = more transportation costs, people the take transit spend less on transportation</w:t>
      </w:r>
    </w:p>
    <w:p>
      <w:pPr>
        <w:pStyle w:val="BodyText"/>
      </w:pPr>
      <w:r>
        <w:t xml:space="preserve">Mattson and Peterson (2019)</w:t>
      </w:r>
      <w:r>
        <w:t xml:space="preserve"> </w:t>
      </w:r>
      <w:r>
        <w:t xml:space="preserve">- denser areas are more likely to use transit to commute. People in single-family homes tend to spend more money on transportation</w:t>
      </w:r>
    </w:p>
    <w:p>
      <w:pPr>
        <w:pStyle w:val="BodyText"/>
      </w:pPr>
      <w:r>
        <w:t xml:space="preserve">Mattson (2020)</w:t>
      </w:r>
      <w:r>
        <w:t xml:space="preserve"> </w:t>
      </w:r>
      <w:r>
        <w:t xml:space="preserve">- single family homes spend more on transportation, higher income is correlated with higher tranportation costs.</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4"/>
    <w:bookmarkEnd w:id="25"/>
    <w:bookmarkStart w:id="92" w:name="references"/>
    <w:p>
      <w:pPr>
        <w:pStyle w:val="Heading2"/>
      </w:pPr>
      <w:r>
        <w:t xml:space="preserve">3 References</w:t>
      </w:r>
    </w:p>
    <w:bookmarkStart w:id="91" w:name="refs"/>
    <w:bookmarkStart w:id="27"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6">
        <w:r>
          <w:rPr>
            <w:rStyle w:val="Hyperlink"/>
          </w:rPr>
          <w:t xml:space="preserve">https://doi.org/10.1016/j.trip.2022.100616</w:t>
        </w:r>
      </w:hyperlink>
      <w:r>
        <w:t xml:space="preserve">.</w:t>
      </w:r>
    </w:p>
    <w:bookmarkEnd w:id="27"/>
    <w:bookmarkStart w:id="29"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8">
        <w:r>
          <w:rPr>
            <w:rStyle w:val="Hyperlink"/>
          </w:rPr>
          <w:t xml:space="preserve">https://doi.org/10.1016/j.tra.2014.12.006</w:t>
        </w:r>
      </w:hyperlink>
      <w:r>
        <w:t xml:space="preserve">.</w:t>
      </w:r>
    </w:p>
    <w:bookmarkEnd w:id="29"/>
    <w:bookmarkStart w:id="31"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0">
        <w:r>
          <w:rPr>
            <w:rStyle w:val="Hyperlink"/>
          </w:rPr>
          <w:t xml:space="preserve">https://doi.org/10.1016/j.trd.2025.104886</w:t>
        </w:r>
      </w:hyperlink>
      <w:r>
        <w:t xml:space="preserve">.</w:t>
      </w:r>
    </w:p>
    <w:bookmarkEnd w:id="31"/>
    <w:bookmarkStart w:id="32"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2"/>
    <w:bookmarkStart w:id="34"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3">
        <w:r>
          <w:rPr>
            <w:rStyle w:val="Hyperlink"/>
          </w:rPr>
          <w:t xml:space="preserve">https://doi.org/10.21949/E0KQ-GF72</w:t>
        </w:r>
      </w:hyperlink>
      <w:r>
        <w:t xml:space="preserve">.</w:t>
      </w:r>
    </w:p>
    <w:bookmarkEnd w:id="34"/>
    <w:bookmarkStart w:id="36"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5">
        <w:r>
          <w:rPr>
            <w:rStyle w:val="Hyperlink"/>
          </w:rPr>
          <w:t xml:space="preserve">https://doi.org/10.3141/2010-14</w:t>
        </w:r>
      </w:hyperlink>
      <w:r>
        <w:t xml:space="preserve">.</w:t>
      </w:r>
    </w:p>
    <w:bookmarkEnd w:id="36"/>
    <w:bookmarkStart w:id="38"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7">
        <w:r>
          <w:rPr>
            <w:rStyle w:val="Hyperlink"/>
          </w:rPr>
          <w:t xml:space="preserve">https://doi.org/10.1007/s11116-006-0005-5</w:t>
        </w:r>
      </w:hyperlink>
      <w:r>
        <w:t xml:space="preserve">.</w:t>
      </w:r>
    </w:p>
    <w:bookmarkEnd w:id="38"/>
    <w:bookmarkStart w:id="39"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39"/>
    <w:bookmarkStart w:id="41"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0">
        <w:r>
          <w:rPr>
            <w:rStyle w:val="Hyperlink"/>
          </w:rPr>
          <w:t xml:space="preserve">https://doi.org/10.3141/2531-04</w:t>
        </w:r>
      </w:hyperlink>
      <w:r>
        <w:t xml:space="preserve">.</w:t>
      </w:r>
    </w:p>
    <w:bookmarkEnd w:id="41"/>
    <w:bookmarkStart w:id="43"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2">
        <w:r>
          <w:rPr>
            <w:rStyle w:val="Hyperlink"/>
          </w:rPr>
          <w:t xml:space="preserve">https://doi.org/10.25318/11F0019M2023007-ENG</w:t>
        </w:r>
      </w:hyperlink>
      <w:r>
        <w:t xml:space="preserve">.</w:t>
      </w:r>
    </w:p>
    <w:bookmarkEnd w:id="43"/>
    <w:bookmarkStart w:id="45"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4">
        <w:r>
          <w:rPr>
            <w:rStyle w:val="Hyperlink"/>
          </w:rPr>
          <w:t xml:space="preserve">https://doi.org/10.1007/s11116-010-9264-2</w:t>
        </w:r>
      </w:hyperlink>
      <w:r>
        <w:t xml:space="preserve">.</w:t>
      </w:r>
    </w:p>
    <w:bookmarkEnd w:id="45"/>
    <w:bookmarkStart w:id="47"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6">
        <w:r>
          <w:rPr>
            <w:rStyle w:val="Hyperlink"/>
          </w:rPr>
          <w:t xml:space="preserve">https://doi.org/10.1007/s10834-006-9031-x</w:t>
        </w:r>
      </w:hyperlink>
      <w:r>
        <w:t xml:space="preserve">.</w:t>
      </w:r>
    </w:p>
    <w:bookmarkEnd w:id="47"/>
    <w:bookmarkStart w:id="49"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8">
        <w:r>
          <w:rPr>
            <w:rStyle w:val="Hyperlink"/>
          </w:rPr>
          <w:t xml:space="preserve">https://doi.org/10.3141/2077-09</w:t>
        </w:r>
      </w:hyperlink>
      <w:r>
        <w:t xml:space="preserve">.</w:t>
      </w:r>
    </w:p>
    <w:bookmarkEnd w:id="49"/>
    <w:bookmarkStart w:id="50"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0"/>
    <w:bookmarkStart w:id="52"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1">
        <w:r>
          <w:rPr>
            <w:rStyle w:val="Hyperlink"/>
          </w:rPr>
          <w:t xml:space="preserve">https://doi.org/10.1177/23780231221103054</w:t>
        </w:r>
      </w:hyperlink>
      <w:r>
        <w:t xml:space="preserve">.</w:t>
      </w:r>
    </w:p>
    <w:bookmarkEnd w:id="52"/>
    <w:bookmarkStart w:id="54"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3">
        <w:r>
          <w:rPr>
            <w:rStyle w:val="Hyperlink"/>
          </w:rPr>
          <w:t xml:space="preserve">https://doi.org/10.1300/J073v18n02_02</w:t>
        </w:r>
      </w:hyperlink>
      <w:r>
        <w:t xml:space="preserve">.</w:t>
      </w:r>
    </w:p>
    <w:bookmarkEnd w:id="54"/>
    <w:bookmarkStart w:id="56"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5">
        <w:r>
          <w:rPr>
            <w:rStyle w:val="Hyperlink"/>
          </w:rPr>
          <w:t xml:space="preserve">https://doi.org/10.1177/0739456X20950428</w:t>
        </w:r>
      </w:hyperlink>
      <w:r>
        <w:t xml:space="preserve">.</w:t>
      </w:r>
    </w:p>
    <w:bookmarkEnd w:id="56"/>
    <w:bookmarkStart w:id="58"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7">
        <w:r>
          <w:rPr>
            <w:rStyle w:val="Hyperlink"/>
          </w:rPr>
          <w:t xml:space="preserve">https://doi.org/10.1016/j.jtrangeo.2018.12.015</w:t>
        </w:r>
      </w:hyperlink>
      <w:r>
        <w:t xml:space="preserve">.</w:t>
      </w:r>
    </w:p>
    <w:bookmarkEnd w:id="58"/>
    <w:bookmarkStart w:id="60"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59">
        <w:r>
          <w:rPr>
            <w:rStyle w:val="Hyperlink"/>
          </w:rPr>
          <w:t xml:space="preserve">https://doi.org/10.22004/ag.econ.327257</w:t>
        </w:r>
      </w:hyperlink>
      <w:r>
        <w:t xml:space="preserve">.</w:t>
      </w:r>
    </w:p>
    <w:bookmarkEnd w:id="60"/>
    <w:bookmarkStart w:id="62"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1">
        <w:r>
          <w:rPr>
            <w:rStyle w:val="Hyperlink"/>
          </w:rPr>
          <w:t xml:space="preserve">https://doi.org/10.1016/j.tra.2022.02.003</w:t>
        </w:r>
      </w:hyperlink>
      <w:r>
        <w:t xml:space="preserve">.</w:t>
      </w:r>
    </w:p>
    <w:bookmarkEnd w:id="62"/>
    <w:bookmarkStart w:id="64"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3">
        <w:r>
          <w:rPr>
            <w:rStyle w:val="Hyperlink"/>
          </w:rPr>
          <w:t xml:space="preserve">https://doi.org/10.1016/j.trip.2020.100260</w:t>
        </w:r>
      </w:hyperlink>
      <w:r>
        <w:t xml:space="preserve">.</w:t>
      </w:r>
    </w:p>
    <w:bookmarkEnd w:id="64"/>
    <w:bookmarkStart w:id="65"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5"/>
    <w:bookmarkStart w:id="67"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6">
        <w:r>
          <w:rPr>
            <w:rStyle w:val="Hyperlink"/>
          </w:rPr>
          <w:t xml:space="preserve">https://doi.org/10.1080/01441647.2017.1354942</w:t>
        </w:r>
      </w:hyperlink>
      <w:r>
        <w:t xml:space="preserve">.</w:t>
      </w:r>
    </w:p>
    <w:bookmarkEnd w:id="67"/>
    <w:bookmarkStart w:id="69"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8">
        <w:r>
          <w:rPr>
            <w:rStyle w:val="Hyperlink"/>
          </w:rPr>
          <w:t xml:space="preserve">https://doi.org/10.1177/03611981231174444</w:t>
        </w:r>
      </w:hyperlink>
      <w:r>
        <w:t xml:space="preserve">.</w:t>
      </w:r>
    </w:p>
    <w:bookmarkEnd w:id="69"/>
    <w:bookmarkStart w:id="71"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0">
        <w:r>
          <w:rPr>
            <w:rStyle w:val="Hyperlink"/>
          </w:rPr>
          <w:t xml:space="preserve">https://doi.org/10.1016/0191-2607(79)90051-7</w:t>
        </w:r>
      </w:hyperlink>
      <w:r>
        <w:t xml:space="preserve">.</w:t>
      </w:r>
    </w:p>
    <w:bookmarkEnd w:id="71"/>
    <w:bookmarkStart w:id="73"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2">
        <w:r>
          <w:rPr>
            <w:rStyle w:val="Hyperlink"/>
          </w:rPr>
          <w:t xml:space="preserve">https://doi.org/10.1080/000368498325868</w:t>
        </w:r>
      </w:hyperlink>
      <w:r>
        <w:t xml:space="preserve">.</w:t>
      </w:r>
    </w:p>
    <w:bookmarkEnd w:id="73"/>
    <w:bookmarkStart w:id="74"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4"/>
    <w:bookmarkStart w:id="76"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5">
        <w:r>
          <w:rPr>
            <w:rStyle w:val="Hyperlink"/>
          </w:rPr>
          <w:t xml:space="preserve">https://doi.org/10.1007/s11116-010-9300-2</w:t>
        </w:r>
      </w:hyperlink>
      <w:r>
        <w:t xml:space="preserve">.</w:t>
      </w:r>
    </w:p>
    <w:bookmarkEnd w:id="76"/>
    <w:bookmarkStart w:id="78"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7">
        <w:r>
          <w:rPr>
            <w:rStyle w:val="Hyperlink"/>
          </w:rPr>
          <w:t xml:space="preserve">https://doi.org/10.3386/w19589</w:t>
        </w:r>
      </w:hyperlink>
      <w:r>
        <w:t xml:space="preserve">.</w:t>
      </w:r>
    </w:p>
    <w:bookmarkEnd w:id="78"/>
    <w:bookmarkStart w:id="80"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9">
        <w:r>
          <w:rPr>
            <w:rStyle w:val="Hyperlink"/>
          </w:rPr>
          <w:t xml:space="preserve">https://doi.org/10.1007/s11116-007-9125-9</w:t>
        </w:r>
      </w:hyperlink>
      <w:r>
        <w:t xml:space="preserve">.</w:t>
      </w:r>
    </w:p>
    <w:bookmarkEnd w:id="80"/>
    <w:bookmarkStart w:id="82"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1">
        <w:r>
          <w:rPr>
            <w:rStyle w:val="Hyperlink"/>
          </w:rPr>
          <w:t xml:space="preserve">https://doi.org/10.1007/s11116-008-9173-9</w:t>
        </w:r>
      </w:hyperlink>
      <w:r>
        <w:t xml:space="preserve">.</w:t>
      </w:r>
    </w:p>
    <w:bookmarkEnd w:id="82"/>
    <w:bookmarkStart w:id="84"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3">
        <w:r>
          <w:rPr>
            <w:rStyle w:val="Hyperlink"/>
          </w:rPr>
          <w:t xml:space="preserve">https://doi.org/10.2307/1924806</w:t>
        </w:r>
      </w:hyperlink>
      <w:r>
        <w:t xml:space="preserve">.</w:t>
      </w:r>
    </w:p>
    <w:bookmarkEnd w:id="84"/>
    <w:bookmarkStart w:id="86"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5">
        <w:r>
          <w:rPr>
            <w:rStyle w:val="Hyperlink"/>
          </w:rPr>
          <w:t xml:space="preserve">https://doi.org/10.1016/j.tranpol.2009.12.003</w:t>
        </w:r>
      </w:hyperlink>
      <w:r>
        <w:t xml:space="preserve">.</w:t>
      </w:r>
    </w:p>
    <w:bookmarkEnd w:id="86"/>
    <w:bookmarkStart w:id="88"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7">
        <w:r>
          <w:rPr>
            <w:rStyle w:val="Hyperlink"/>
          </w:rPr>
          <w:t xml:space="preserve">https://doi.org/10.1177/0361198105192600101</w:t>
        </w:r>
      </w:hyperlink>
      <w:r>
        <w:t xml:space="preserve">.</w:t>
      </w:r>
    </w:p>
    <w:bookmarkEnd w:id="88"/>
    <w:bookmarkStart w:id="90"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9">
        <w:r>
          <w:rPr>
            <w:rStyle w:val="Hyperlink"/>
          </w:rPr>
          <w:t xml:space="preserve">https://doi.org/10.1177/0361198106198500128</w:t>
        </w:r>
      </w:hyperlink>
      <w:r>
        <w:t xml:space="preserve">.</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oi.org/10.1007/s10834-006-9031-x" TargetMode="External" /><Relationship Type="http://schemas.openxmlformats.org/officeDocument/2006/relationships/hyperlink" Id="rId37" Target="https://doi.org/10.1007/s11116-006-0005-5" TargetMode="External" /><Relationship Type="http://schemas.openxmlformats.org/officeDocument/2006/relationships/hyperlink" Id="rId79" Target="https://doi.org/10.1007/s11116-007-9125-9" TargetMode="External" /><Relationship Type="http://schemas.openxmlformats.org/officeDocument/2006/relationships/hyperlink" Id="rId81" Target="https://doi.org/10.1007/s11116-008-9173-9" TargetMode="External" /><Relationship Type="http://schemas.openxmlformats.org/officeDocument/2006/relationships/hyperlink" Id="rId44" Target="https://doi.org/10.1007/s11116-010-9264-2" TargetMode="External" /><Relationship Type="http://schemas.openxmlformats.org/officeDocument/2006/relationships/hyperlink" Id="rId75" Target="https://doi.org/10.1007/s11116-010-9300-2" TargetMode="External" /><Relationship Type="http://schemas.openxmlformats.org/officeDocument/2006/relationships/hyperlink" Id="rId70" Target="https://doi.org/10.1016/0191-2607(79)90051-7" TargetMode="External" /><Relationship Type="http://schemas.openxmlformats.org/officeDocument/2006/relationships/hyperlink" Id="rId57" Target="https://doi.org/10.1016/j.jtrangeo.2018.12.015" TargetMode="External" /><Relationship Type="http://schemas.openxmlformats.org/officeDocument/2006/relationships/hyperlink" Id="rId28" Target="https://doi.org/10.1016/j.tra.2014.12.006" TargetMode="External" /><Relationship Type="http://schemas.openxmlformats.org/officeDocument/2006/relationships/hyperlink" Id="rId61" Target="https://doi.org/10.1016/j.tra.2022.02.003" TargetMode="External" /><Relationship Type="http://schemas.openxmlformats.org/officeDocument/2006/relationships/hyperlink" Id="rId85" Target="https://doi.org/10.1016/j.tranpol.2009.12.003" TargetMode="External" /><Relationship Type="http://schemas.openxmlformats.org/officeDocument/2006/relationships/hyperlink" Id="rId30" Target="https://doi.org/10.1016/j.trd.2025.104886" TargetMode="External" /><Relationship Type="http://schemas.openxmlformats.org/officeDocument/2006/relationships/hyperlink" Id="rId63" Target="https://doi.org/10.1016/j.trip.2020.100260" TargetMode="External" /><Relationship Type="http://schemas.openxmlformats.org/officeDocument/2006/relationships/hyperlink" Id="rId26" Target="https://doi.org/10.1016/j.trip.2022.100616" TargetMode="External" /><Relationship Type="http://schemas.openxmlformats.org/officeDocument/2006/relationships/hyperlink" Id="rId72" Target="https://doi.org/10.1080/000368498325868" TargetMode="External" /><Relationship Type="http://schemas.openxmlformats.org/officeDocument/2006/relationships/hyperlink" Id="rId66" Target="https://doi.org/10.1080/01441647.2017.1354942" TargetMode="External" /><Relationship Type="http://schemas.openxmlformats.org/officeDocument/2006/relationships/hyperlink" Id="rId87" Target="https://doi.org/10.1177/0361198105192600101" TargetMode="External" /><Relationship Type="http://schemas.openxmlformats.org/officeDocument/2006/relationships/hyperlink" Id="rId89" Target="https://doi.org/10.1177/0361198106198500128" TargetMode="External" /><Relationship Type="http://schemas.openxmlformats.org/officeDocument/2006/relationships/hyperlink" Id="rId68" Target="https://doi.org/10.1177/03611981231174444" TargetMode="External" /><Relationship Type="http://schemas.openxmlformats.org/officeDocument/2006/relationships/hyperlink" Id="rId55" Target="https://doi.org/10.1177/0739456X20950428" TargetMode="External" /><Relationship Type="http://schemas.openxmlformats.org/officeDocument/2006/relationships/hyperlink" Id="rId51" Target="https://doi.org/10.1177/23780231221103054" TargetMode="External" /><Relationship Type="http://schemas.openxmlformats.org/officeDocument/2006/relationships/hyperlink" Id="rId53" Target="https://doi.org/10.1300/J073v18n02_02" TargetMode="External" /><Relationship Type="http://schemas.openxmlformats.org/officeDocument/2006/relationships/hyperlink" Id="rId33" Target="https://doi.org/10.21949/E0KQ-GF72" TargetMode="External" /><Relationship Type="http://schemas.openxmlformats.org/officeDocument/2006/relationships/hyperlink" Id="rId59" Target="https://doi.org/10.22004/ag.econ.327257" TargetMode="External" /><Relationship Type="http://schemas.openxmlformats.org/officeDocument/2006/relationships/hyperlink" Id="rId83" Target="https://doi.org/10.2307/1924806" TargetMode="External" /><Relationship Type="http://schemas.openxmlformats.org/officeDocument/2006/relationships/hyperlink" Id="rId42" Target="https://doi.org/10.25318/11F0019M2023007-ENG" TargetMode="External" /><Relationship Type="http://schemas.openxmlformats.org/officeDocument/2006/relationships/hyperlink" Id="rId35" Target="https://doi.org/10.3141/2010-14" TargetMode="External" /><Relationship Type="http://schemas.openxmlformats.org/officeDocument/2006/relationships/hyperlink" Id="rId48" Target="https://doi.org/10.3141/2077-09" TargetMode="External" /><Relationship Type="http://schemas.openxmlformats.org/officeDocument/2006/relationships/hyperlink" Id="rId40" Target="https://doi.org/10.3141/2531-04" TargetMode="External" /><Relationship Type="http://schemas.openxmlformats.org/officeDocument/2006/relationships/hyperlink" Id="rId77"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7/s10834-006-9031-x" TargetMode="External" /><Relationship Type="http://schemas.openxmlformats.org/officeDocument/2006/relationships/hyperlink" Id="rId37" Target="https://doi.org/10.1007/s11116-006-0005-5" TargetMode="External" /><Relationship Type="http://schemas.openxmlformats.org/officeDocument/2006/relationships/hyperlink" Id="rId79" Target="https://doi.org/10.1007/s11116-007-9125-9" TargetMode="External" /><Relationship Type="http://schemas.openxmlformats.org/officeDocument/2006/relationships/hyperlink" Id="rId81" Target="https://doi.org/10.1007/s11116-008-9173-9" TargetMode="External" /><Relationship Type="http://schemas.openxmlformats.org/officeDocument/2006/relationships/hyperlink" Id="rId44" Target="https://doi.org/10.1007/s11116-010-9264-2" TargetMode="External" /><Relationship Type="http://schemas.openxmlformats.org/officeDocument/2006/relationships/hyperlink" Id="rId75" Target="https://doi.org/10.1007/s11116-010-9300-2" TargetMode="External" /><Relationship Type="http://schemas.openxmlformats.org/officeDocument/2006/relationships/hyperlink" Id="rId70" Target="https://doi.org/10.1016/0191-2607(79)90051-7" TargetMode="External" /><Relationship Type="http://schemas.openxmlformats.org/officeDocument/2006/relationships/hyperlink" Id="rId57" Target="https://doi.org/10.1016/j.jtrangeo.2018.12.015" TargetMode="External" /><Relationship Type="http://schemas.openxmlformats.org/officeDocument/2006/relationships/hyperlink" Id="rId28" Target="https://doi.org/10.1016/j.tra.2014.12.006" TargetMode="External" /><Relationship Type="http://schemas.openxmlformats.org/officeDocument/2006/relationships/hyperlink" Id="rId61" Target="https://doi.org/10.1016/j.tra.2022.02.003" TargetMode="External" /><Relationship Type="http://schemas.openxmlformats.org/officeDocument/2006/relationships/hyperlink" Id="rId85" Target="https://doi.org/10.1016/j.tranpol.2009.12.003" TargetMode="External" /><Relationship Type="http://schemas.openxmlformats.org/officeDocument/2006/relationships/hyperlink" Id="rId30" Target="https://doi.org/10.1016/j.trd.2025.104886" TargetMode="External" /><Relationship Type="http://schemas.openxmlformats.org/officeDocument/2006/relationships/hyperlink" Id="rId63" Target="https://doi.org/10.1016/j.trip.2020.100260" TargetMode="External" /><Relationship Type="http://schemas.openxmlformats.org/officeDocument/2006/relationships/hyperlink" Id="rId26" Target="https://doi.org/10.1016/j.trip.2022.100616" TargetMode="External" /><Relationship Type="http://schemas.openxmlformats.org/officeDocument/2006/relationships/hyperlink" Id="rId72" Target="https://doi.org/10.1080/000368498325868" TargetMode="External" /><Relationship Type="http://schemas.openxmlformats.org/officeDocument/2006/relationships/hyperlink" Id="rId66" Target="https://doi.org/10.1080/01441647.2017.1354942" TargetMode="External" /><Relationship Type="http://schemas.openxmlformats.org/officeDocument/2006/relationships/hyperlink" Id="rId87" Target="https://doi.org/10.1177/0361198105192600101" TargetMode="External" /><Relationship Type="http://schemas.openxmlformats.org/officeDocument/2006/relationships/hyperlink" Id="rId89" Target="https://doi.org/10.1177/0361198106198500128" TargetMode="External" /><Relationship Type="http://schemas.openxmlformats.org/officeDocument/2006/relationships/hyperlink" Id="rId68" Target="https://doi.org/10.1177/03611981231174444" TargetMode="External" /><Relationship Type="http://schemas.openxmlformats.org/officeDocument/2006/relationships/hyperlink" Id="rId55" Target="https://doi.org/10.1177/0739456X20950428" TargetMode="External" /><Relationship Type="http://schemas.openxmlformats.org/officeDocument/2006/relationships/hyperlink" Id="rId51" Target="https://doi.org/10.1177/23780231221103054" TargetMode="External" /><Relationship Type="http://schemas.openxmlformats.org/officeDocument/2006/relationships/hyperlink" Id="rId53" Target="https://doi.org/10.1300/J073v18n02_02" TargetMode="External" /><Relationship Type="http://schemas.openxmlformats.org/officeDocument/2006/relationships/hyperlink" Id="rId33" Target="https://doi.org/10.21949/E0KQ-GF72" TargetMode="External" /><Relationship Type="http://schemas.openxmlformats.org/officeDocument/2006/relationships/hyperlink" Id="rId59" Target="https://doi.org/10.22004/ag.econ.327257" TargetMode="External" /><Relationship Type="http://schemas.openxmlformats.org/officeDocument/2006/relationships/hyperlink" Id="rId83" Target="https://doi.org/10.2307/1924806" TargetMode="External" /><Relationship Type="http://schemas.openxmlformats.org/officeDocument/2006/relationships/hyperlink" Id="rId42" Target="https://doi.org/10.25318/11F0019M2023007-ENG" TargetMode="External" /><Relationship Type="http://schemas.openxmlformats.org/officeDocument/2006/relationships/hyperlink" Id="rId35" Target="https://doi.org/10.3141/2010-14" TargetMode="External" /><Relationship Type="http://schemas.openxmlformats.org/officeDocument/2006/relationships/hyperlink" Id="rId48" Target="https://doi.org/10.3141/2077-09" TargetMode="External" /><Relationship Type="http://schemas.openxmlformats.org/officeDocument/2006/relationships/hyperlink" Id="rId40" Target="https://doi.org/10.3141/2531-04" TargetMode="External" /><Relationship Type="http://schemas.openxmlformats.org/officeDocument/2006/relationships/hyperlink" Id="rId77"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2025-12-13T00:34:14Z</dcterms:created>
  <dcterms:modified xsi:type="dcterms:W3CDTF">2025-12-13T00:34:14Z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2025-12-13</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