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Unpacking Household Budgeting Strategies through a Transportation Lens</w:t>
      </w:r>
    </w:p>
    <w:p>
      <w:pPr>
        <w:pStyle w:val="Author"/>
      </w:pPr>
      <w:r>
        <w:t xml:space="preserve">Kamryn Mansfield</w:t>
      </w:r>
    </w:p>
    <w:p>
      <w:pPr>
        <w:pStyle w:val="Author"/>
      </w:pPr>
      <w:r>
        <w:t xml:space="preserve">Katie Asmussen</w:t>
      </w:r>
    </w:p>
    <w:p>
      <w:pPr>
        <w:pStyle w:val="Date"/>
      </w:pPr>
      <w:r>
        <w:t xml:space="preserve">2025-12-17</w:t>
      </w:r>
    </w:p>
    <w:p>
      <w:pPr>
        <w:pStyle w:val="AbstractTitle"/>
      </w:pPr>
      <w:r>
        <w:t xml:space="preserve">Abstract</w:t>
      </w:r>
    </w:p>
    <w:p>
      <w:pPr>
        <w:pStyle w:val="Abstract"/>
      </w:pPr>
      <w:r>
        <w:t xml:space="preserve">This is where we will put our abstract.</w:t>
      </w:r>
    </w:p>
    <w:bookmarkStart w:id="20" w:name="introduction"/>
    <w:p>
      <w:pPr>
        <w:pStyle w:val="Heading2"/>
      </w:pPr>
      <w:r>
        <w:t xml:space="preserve">1 Introduction</w:t>
      </w:r>
    </w:p>
    <w:p>
      <w:pPr>
        <w:pStyle w:val="FirstParagraph"/>
      </w:pPr>
      <w:r>
        <w:t xml:space="preserve">Households juggle how to allocate their budgets: whether to invest in a reliable car, pay for quality childcare, secure housing in a good school district, or set money aside for leisure. These everyday choices shape how families live and move, reflecting the trade-offs they make to balance competing priorities. Transportation often sits at the center of these decisions, not only because it can be a significant expense, but also because choosing to buy and maintain a car versus relying on public transit represents a long-term commitment and a broader lifestyle choice. Its relative weight compared to housing, childcare, and other spending varies widely across families. The relationship between household budgeting and mobility is shaped not only by causal direction but also by how families prioritize and weight different needs. On one hand, mobility resources such as car ownership can structure the household budget: households with no or only one vehicle may spend far less on transportation, freeing up income for other essential or discretionary categories. On the other hand, underlying family structures and preferences can drive budget allocation choipces that, in turn, shape transportation behavior. Larger families may prioritize childcare or invest in higher-quality housing in areas with better schools, limiting what remains for transportation. Others may emphasize frugality across all categories or deliberately substitute toward lower-cost transit options. Understanding both the direction of influence and the weight assigned to different budget categories is critical for transportation planning and policy, as these dynamics reveal how families navigate competing priorities under varying demographic and mobility contexts.</w:t>
      </w:r>
    </w:p>
    <w:p>
      <w:pPr>
        <w:pStyle w:val="BodyText"/>
      </w:pPr>
      <w:r>
        <w:t xml:space="preserve">The purpose of this research is to explore how household budgets are structured around transportation decisions and how this impacts other spending categories. Using the Consumer Expenditure Survey (CEX), we will perform a Latent Class Analysis (LCA) to find groupings based on a household’s transportation expenses. These groupings can help us find groups of spenders with similar patterns to help us predict transportation expenses based on the household’s characteristics.</w:t>
      </w:r>
    </w:p>
    <w:bookmarkEnd w:id="20"/>
    <w:bookmarkStart w:id="28" w:name="literature-review"/>
    <w:p>
      <w:pPr>
        <w:pStyle w:val="Heading2"/>
      </w:pPr>
      <w:r>
        <w:t xml:space="preserve">2 Literature Review</w:t>
      </w:r>
    </w:p>
    <w:p>
      <w:pPr>
        <w:pStyle w:val="FirstParagraph"/>
      </w:pPr>
      <w:r>
        <w:rPr>
          <w:vertAlign w:val="subscript"/>
        </w:rPr>
        <w:t xml:space="preserve">Source:</w:t>
      </w:r>
      <w:r>
        <w:rPr>
          <w:vertAlign w:val="subscript"/>
        </w:rPr>
        <w:t xml:space="preserve"> </w:t>
      </w:r>
      <w:hyperlink r:id="rId21">
        <w:r>
          <w:rPr>
            <w:rStyle w:val="Hyperlink"/>
            <w:vertAlign w:val="subscript"/>
          </w:rPr>
          <w:t xml:space="preserve">Article Notebook</w:t>
        </w:r>
      </w:hyperlink>
    </w:p>
    <w:p>
      <w:pPr>
        <w:pStyle w:val="BodyText"/>
      </w:pPr>
      <w:hyperlink w:anchor="tbl-lit-summary">
        <w:r>
          <w:rPr>
            <w:rStyle w:val="Hyperlink"/>
          </w:rPr>
          <w:t xml:space="preserve">Table 1</w:t>
        </w:r>
      </w:hyperlink>
      <w:r>
        <w:t xml:space="preserve"> </w:t>
      </w:r>
      <w:r>
        <w:t xml:space="preserve">summarizes the literature that was reviewed for this study. As seen in the table, there were a total of 35 studies reviewed with 19 studies that use the consumer expenditure survey.</w:t>
      </w:r>
    </w:p>
    <w:tbl>
      <w:tblPr>
        <w:tblStyle w:val="Table"/>
        <w:tblW w:type="pct" w:w="5000"/>
        <w:tblLayout w:type="fixed"/>
        <w:tblLook w:firstRow="0" w:lastRow="0" w:firstColumn="0" w:lastColumn="0" w:noHBand="0" w:noVBand="0" w:val="0000"/>
      </w:tblPr>
      <w:tblGrid>
        <w:gridCol w:w="7920"/>
      </w:tblGrid>
      <w:tr>
        <w:tc>
          <w:tcPr/>
          <w:bookmarkStart w:id="22" w:name="tbl-lit-summary"/>
          <w:p>
            <w:pPr>
              <w:jc w:val="center"/>
            </w:pPr>
            <w:pPr>
              <w:jc w:val="left"/>
              <w:spacing w:before="200"/>
              <w:pStyle w:val="ImageCaption"/>
            </w:pPr>
            <w:r>
              <w:t xml:space="preserve">Table 1: Summary of the Literature</w:t>
            </w:r>
          </w:p>
          <w:tbl>
            <w:tblPr>
              <w:tblStyle w:val="Table"/>
              <w:tblW w:type="pct" w:w="4926"/>
              <w:tblLayout w:type="fixed"/>
              <w:tblLook w:firstRow="1" w:lastRow="0" w:firstColumn="0" w:lastColumn="0" w:noHBand="0" w:noVBand="0" w:val="0020"/>
            </w:tblPr>
            <w:tblGrid>
              <w:gridCol w:w="1232"/>
              <w:gridCol w:w="3461"/>
              <w:gridCol w:w="880"/>
              <w:gridCol w:w="2229"/>
            </w:tblGrid>
            <w:tr>
              <w:trPr>
                <w:tblHeader w:val="on"/>
              </w:trPr>
              <w:tc>
                <w:tcPr/>
                <w:p>
                  <w:pPr>
                    <w:pStyle w:val="Compact"/>
                    <w:jc w:val="left"/>
                    <w:jc w:val="center"/>
                  </w:pPr>
                  <w:r>
                    <w:t xml:space="preserve">Title</w:t>
                  </w:r>
                </w:p>
              </w:tc>
              <w:tc>
                <w:tcPr/>
                <w:p>
                  <w:pPr>
                    <w:pStyle w:val="Compact"/>
                    <w:jc w:val="left"/>
                    <w:jc w:val="center"/>
                  </w:pPr>
                  <w:r>
                    <w:t xml:space="preserve">Citation</w:t>
                  </w:r>
                </w:p>
              </w:tc>
              <w:tc>
                <w:tcPr/>
                <w:p>
                  <w:pPr>
                    <w:pStyle w:val="Compact"/>
                    <w:jc w:val="left"/>
                    <w:jc w:val="center"/>
                  </w:pPr>
                  <w:r>
                    <w:t xml:space="preserve">Dataset</w:t>
                  </w:r>
                </w:p>
              </w:tc>
              <w:tc>
                <w:tcPr/>
                <w:p>
                  <w:pPr>
                    <w:pStyle w:val="Compact"/>
                    <w:jc w:val="left"/>
                    <w:jc w:val="center"/>
                  </w:pPr>
                  <w:r>
                    <w:t xml:space="preserve">Findings</w:t>
                  </w:r>
                </w:p>
              </w:tc>
            </w:tr>
            <w:tr>
              <w:tc>
                <w:tcPr/>
                <w:p>
                  <w:pPr>
                    <w:pStyle w:val="Compact"/>
                    <w:jc w:val="left"/>
                    <w:jc w:val="center"/>
                  </w:pPr>
                  <w:r>
                    <w:t xml:space="preserve">A family expenditure</w:t>
                  </w:r>
                  <w:r>
                    <w:t xml:space="preserve"> </w:t>
                  </w:r>
                  <w:r>
                    <w:t xml:space="preserve">perspective on</w:t>
                  </w:r>
                  <w:r>
                    <w:t xml:space="preserve"> </w:t>
                  </w:r>
                  <w:r>
                    <w:t xml:space="preserve">transport planning:</w:t>
                  </w:r>
                  <w:r>
                    <w:t xml:space="preserve"> </w:t>
                  </w:r>
                  <w:r>
                    <w:t xml:space="preserve">Australian evidence</w:t>
                  </w:r>
                  <w:r>
                    <w:t xml:space="preserve"> </w:t>
                  </w:r>
                  <w:r>
                    <w:t xml:space="preserve">in context</w:t>
                  </w:r>
                </w:p>
              </w:tc>
              <w:tc>
                <w:tcPr/>
                <w:p>
                  <w:pPr>
                    <w:pStyle w:val="Compact"/>
                    <w:jc w:val="left"/>
                    <w:jc w:val="center"/>
                  </w:pPr>
                  <w:r>
                    <w:t xml:space="preserve">Morris and Wigan (1979)</w:t>
                  </w:r>
                </w:p>
              </w:tc>
              <w:tc>
                <w:tcPr/>
                <w:p>
                  <w:pPr>
                    <w:pStyle w:val="Compact"/>
                    <w:jc w:val="left"/>
                    <w:jc w:val="center"/>
                  </w:pPr>
                  <w:r>
                    <w:t xml:space="preserve">Australian</w:t>
                  </w:r>
                  <w:r>
                    <w:t xml:space="preserve"> </w:t>
                  </w:r>
                  <w:r>
                    <w:t xml:space="preserve">Expenditure</w:t>
                  </w:r>
                  <w:r>
                    <w:t xml:space="preserve"> </w:t>
                  </w:r>
                  <w:r>
                    <w:t xml:space="preserve">Survey</w:t>
                  </w:r>
                </w:p>
              </w:tc>
              <w:tc>
                <w:tcPr/>
                <w:p>
                  <w:pPr>
                    <w:pStyle w:val="Compact"/>
                    <w:jc w:val="left"/>
                    <w:jc w:val="center"/>
                  </w:pPr>
                  <w:r>
                    <w:t xml:space="preserve">transport takes about o17 percent of</w:t>
                  </w:r>
                  <w:r>
                    <w:t xml:space="preserve"> </w:t>
                  </w:r>
                  <w:r>
                    <w:t xml:space="preserve">expenditures, at least part of the</w:t>
                  </w:r>
                  <w:r>
                    <w:t xml:space="preserve"> </w:t>
                  </w:r>
                  <w:r>
                    <w:t xml:space="preserve">consumption expenditure by low income</w:t>
                  </w:r>
                  <w:r>
                    <w:t xml:space="preserve"> </w:t>
                  </w:r>
                  <w:r>
                    <w:t xml:space="preserve">families is financed from savings,</w:t>
                  </w:r>
                  <w:r>
                    <w:t xml:space="preserve"> </w:t>
                  </w:r>
                  <w:r>
                    <w:t xml:space="preserve">loans or other sourCEX besides</w:t>
                  </w:r>
                  <w:r>
                    <w:t xml:space="preserve"> </w:t>
                  </w:r>
                  <w:r>
                    <w:t xml:space="preserve">“income”</w:t>
                  </w:r>
                  <w:r>
                    <w:t xml:space="preserve">.</w:t>
                  </w:r>
                </w:p>
              </w:tc>
            </w:tr>
            <w:tr>
              <w:tc>
                <w:tcPr/>
                <w:p>
                  <w:pPr>
                    <w:pStyle w:val="Compact"/>
                    <w:jc w:val="left"/>
                    <w:jc w:val="center"/>
                  </w:pPr>
                  <w:r>
                    <w:t xml:space="preserve">Variable Lifespan</w:t>
                  </w:r>
                  <w:r>
                    <w:t xml:space="preserve"> </w:t>
                  </w:r>
                  <w:r>
                    <w:t xml:space="preserve">and the</w:t>
                  </w:r>
                  <w:r>
                    <w:t xml:space="preserve"> </w:t>
                  </w:r>
                  <w:r>
                    <w:t xml:space="preserve">Intertemporal</w:t>
                  </w:r>
                  <w:r>
                    <w:t xml:space="preserve"> </w:t>
                  </w:r>
                  <w:r>
                    <w:t xml:space="preserve">Elasticity of</w:t>
                  </w:r>
                  <w:r>
                    <w:t xml:space="preserve"> </w:t>
                  </w:r>
                  <w:r>
                    <w:t xml:space="preserve">Consumption</w:t>
                  </w:r>
                </w:p>
              </w:tc>
              <w:tc>
                <w:tcPr/>
                <w:p>
                  <w:pPr>
                    <w:pStyle w:val="Compact"/>
                    <w:jc w:val="left"/>
                    <w:jc w:val="center"/>
                  </w:pPr>
                  <w:r>
                    <w:t xml:space="preserve">Skinner (1985)</w:t>
                  </w:r>
                </w:p>
              </w:tc>
              <w:tc>
                <w:tcPr/>
                <w:p>
                  <w:pPr>
                    <w:pStyle w:val="Compact"/>
                    <w:jc w:val="left"/>
                    <w:jc w:val="center"/>
                  </w:pPr>
                  <w:r>
                    <w:t xml:space="preserve">CEX</w:t>
                  </w:r>
                </w:p>
              </w:tc>
              <w:tc>
                <w:tcPr/>
                <w:p>
                  <w:pPr>
                    <w:pStyle w:val="Compact"/>
                    <w:jc w:val="left"/>
                    <w:jc w:val="center"/>
                  </w:pPr>
                  <w:r>
                    <w:t xml:space="preserve">Changes in inflation will prompt</w:t>
                  </w:r>
                  <w:r>
                    <w:t xml:space="preserve"> </w:t>
                  </w:r>
                  <w:r>
                    <w:t xml:space="preserve">changes in consumer expenditures</w:t>
                  </w:r>
                </w:p>
              </w:tc>
            </w:tr>
            <w:tr>
              <w:tc>
                <w:tcPr/>
                <w:p>
                  <w:pPr>
                    <w:pStyle w:val="Compact"/>
                    <w:jc w:val="left"/>
                    <w:jc w:val="center"/>
                  </w:pPr>
                  <w:r>
                    <w:t xml:space="preserve">A sample selection</w:t>
                  </w:r>
                  <w:r>
                    <w:t xml:space="preserve"> </w:t>
                  </w:r>
                  <w:r>
                    <w:t xml:space="preserve">model for prepared</w:t>
                  </w:r>
                  <w:r>
                    <w:t xml:space="preserve"> </w:t>
                  </w:r>
                  <w:r>
                    <w:t xml:space="preserve">food expenditures</w:t>
                  </w:r>
                </w:p>
              </w:tc>
              <w:tc>
                <w:tcPr/>
                <w:p>
                  <w:pPr>
                    <w:pStyle w:val="Compact"/>
                    <w:jc w:val="left"/>
                    <w:jc w:val="center"/>
                  </w:pPr>
                  <w:r>
                    <w:t xml:space="preserve">Nayga (1998)</w:t>
                  </w:r>
                </w:p>
              </w:tc>
              <w:tc>
                <w:tcPr/>
                <w:p>
                  <w:pPr>
                    <w:pStyle w:val="Compact"/>
                    <w:jc w:val="left"/>
                    <w:jc w:val="center"/>
                  </w:pPr>
                  <w:r>
                    <w:t xml:space="preserve">CEX</w:t>
                  </w:r>
                </w:p>
              </w:tc>
              <w:tc>
                <w:tcPr/>
                <w:p>
                  <w:pPr>
                    <w:pStyle w:val="Compact"/>
                    <w:jc w:val="left"/>
                    <w:jc w:val="center"/>
                  </w:pPr>
                  <w:r>
                    <w:t xml:space="preserve">Most of the variables analysed</w:t>
                  </w:r>
                  <w:r>
                    <w:t xml:space="preserve"> </w:t>
                  </w:r>
                  <w:r>
                    <w:t xml:space="preserve">significantly affect prepared food</w:t>
                  </w:r>
                  <w:r>
                    <w:t xml:space="preserve"> </w:t>
                  </w:r>
                  <w:r>
                    <w:t xml:space="preserve">expenditures. For example, results</w:t>
                  </w:r>
                  <w:r>
                    <w:t xml:space="preserve"> </w:t>
                  </w:r>
                  <w:r>
                    <w:t xml:space="preserve">suggest that frozen meals</w:t>
                  </w:r>
                  <w:r>
                    <w:t xml:space="preserve"> </w:t>
                  </w:r>
                  <w:r>
                    <w:t xml:space="preserve">expenditures are higher for</w:t>
                  </w:r>
                  <w:r>
                    <w:t xml:space="preserve"> </w:t>
                  </w:r>
                  <w:r>
                    <w:t xml:space="preserve">households without children, for</w:t>
                  </w:r>
                  <w:r>
                    <w:t xml:space="preserve"> </w:t>
                  </w:r>
                  <w:r>
                    <w:t xml:space="preserve">smaller households, and for</w:t>
                  </w:r>
                  <w:r>
                    <w:t xml:space="preserve"> </w:t>
                  </w:r>
                  <w:r>
                    <w:t xml:space="preserve">households headed by a non-white</w:t>
                  </w:r>
                  <w:r>
                    <w:t xml:space="preserve"> </w:t>
                  </w:r>
                  <w:r>
                    <w:t xml:space="preserve">individual</w:t>
                  </w:r>
                </w:p>
              </w:tc>
            </w:tr>
            <w:tr>
              <w:tc>
                <w:tcPr/>
                <w:p>
                  <w:pPr>
                    <w:pStyle w:val="Compact"/>
                    <w:jc w:val="left"/>
                    <w:jc w:val="center"/>
                  </w:pPr>
                  <w:r>
                    <w:t xml:space="preserve">Transportation Costs</w:t>
                  </w:r>
                  <w:r>
                    <w:t xml:space="preserve"> </w:t>
                  </w:r>
                  <w:r>
                    <w:t xml:space="preserve">and Economic</w:t>
                  </w:r>
                  <w:r>
                    <w:t xml:space="preserve"> </w:t>
                  </w:r>
                  <w:r>
                    <w:t xml:space="preserve">Opportunity Among</w:t>
                  </w:r>
                  <w:r>
                    <w:t xml:space="preserve"> </w:t>
                  </w:r>
                  <w:r>
                    <w:t xml:space="preserve">the Poor</w:t>
                  </w:r>
                </w:p>
              </w:tc>
              <w:tc>
                <w:tcPr/>
                <w:p>
                  <w:pPr>
                    <w:pStyle w:val="Compact"/>
                    <w:jc w:val="left"/>
                    <w:jc w:val="center"/>
                  </w:pPr>
                  <w:r>
                    <w:t xml:space="preserve">Blumenberg (2003)</w:t>
                  </w:r>
                </w:p>
              </w:tc>
              <w:tc>
                <w:tcPr/>
                <w:p>
                  <w:pPr>
                    <w:pStyle w:val="Compact"/>
                    <w:jc w:val="left"/>
                    <w:jc w:val="center"/>
                  </w:pPr>
                  <w:r>
                    <w:t xml:space="preserve">CEX</w:t>
                  </w:r>
                </w:p>
              </w:tc>
              <w:tc>
                <w:tcPr/>
                <w:p>
                  <w:pPr>
                    <w:pStyle w:val="Compact"/>
                    <w:jc w:val="left"/>
                    <w:jc w:val="center"/>
                  </w:pPr>
                  <w:r>
                    <w:t xml:space="preserve">Cost comparisons fall short of</w:t>
                  </w:r>
                  <w:r>
                    <w:t xml:space="preserve"> </w:t>
                  </w:r>
                  <w:r>
                    <w:t xml:space="preserve">finding if transportation costs are a</w:t>
                  </w:r>
                  <w:r>
                    <w:t xml:space="preserve"> </w:t>
                  </w:r>
                  <w:r>
                    <w:t xml:space="preserve">barrier for economic opportunity</w:t>
                  </w:r>
                  <w:r>
                    <w:t xml:space="preserve"> </w:t>
                  </w:r>
                  <w:r>
                    <w:t xml:space="preserve">among the poor</w:t>
                  </w:r>
                </w:p>
              </w:tc>
            </w:tr>
            <w:tr>
              <w:tc>
                <w:tcPr/>
                <w:p>
                  <w:pPr>
                    <w:pStyle w:val="Compact"/>
                    <w:jc w:val="left"/>
                    <w:jc w:val="center"/>
                  </w:pPr>
                  <w:r>
                    <w:t xml:space="preserve">Analysis of</w:t>
                  </w:r>
                  <w:r>
                    <w:t xml:space="preserve"> </w:t>
                  </w:r>
                  <w:r>
                    <w:t xml:space="preserve">Variations in</w:t>
                  </w:r>
                  <w:r>
                    <w:t xml:space="preserve"> </w:t>
                  </w:r>
                  <w:r>
                    <w:t xml:space="preserve">Vehicle Ownership</w:t>
                  </w:r>
                  <w:r>
                    <w:t xml:space="preserve"> </w:t>
                  </w:r>
                  <w:r>
                    <w:t xml:space="preserve">Expenditures</w:t>
                  </w:r>
                </w:p>
              </w:tc>
              <w:tc>
                <w:tcPr/>
                <w:p>
                  <w:pPr>
                    <w:pStyle w:val="Compact"/>
                    <w:jc w:val="left"/>
                    <w:jc w:val="center"/>
                  </w:pPr>
                  <w:r>
                    <w:t xml:space="preserve">Thakuriah and Liao (2005)</w:t>
                  </w:r>
                </w:p>
              </w:tc>
              <w:tc>
                <w:tcPr/>
                <w:p>
                  <w:pPr>
                    <w:pStyle w:val="Compact"/>
                    <w:jc w:val="left"/>
                    <w:jc w:val="center"/>
                  </w:pPr>
                  <w:r>
                    <w:t xml:space="preserve">CEX</w:t>
                  </w:r>
                </w:p>
              </w:tc>
              <w:tc>
                <w:tcPr/>
                <w:p>
                  <w:pPr>
                    <w:pStyle w:val="Compact"/>
                    <w:jc w:val="left"/>
                    <w:jc w:val="center"/>
                  </w:pPr>
                  <w:r>
                    <w:t xml:space="preserve">For vehicle-owning households, of</w:t>
                  </w:r>
                  <w:r>
                    <w:t xml:space="preserve"> </w:t>
                  </w:r>
                  <w:r>
                    <w:t xml:space="preserve">every additional dollar that</w:t>
                  </w:r>
                  <w:r>
                    <w:t xml:space="preserve"> </w:t>
                  </w:r>
                  <w:r>
                    <w:t xml:space="preserve">households spend, 18 cents is spent</w:t>
                  </w:r>
                  <w:r>
                    <w:t xml:space="preserve"> </w:t>
                  </w:r>
                  <w:r>
                    <w:t xml:space="preserve">on vehicles after controlling for</w:t>
                  </w:r>
                  <w:r>
                    <w:t xml:space="preserve"> </w:t>
                  </w:r>
                  <w:r>
                    <w:t xml:space="preserve">socioeconomic, demographic, life</w:t>
                  </w:r>
                  <w:r>
                    <w:t xml:space="preserve"> </w:t>
                  </w:r>
                  <w:r>
                    <w:t xml:space="preserve">cycle, and other factors relating to</w:t>
                  </w:r>
                  <w:r>
                    <w:t xml:space="preserve"> </w:t>
                  </w:r>
                  <w:r>
                    <w:t xml:space="preserve">households.</w:t>
                  </w:r>
                </w:p>
              </w:tc>
            </w:tr>
            <w:tr>
              <w:tc>
                <w:tcPr/>
                <w:p>
                  <w:pPr>
                    <w:pStyle w:val="Compact"/>
                    <w:jc w:val="left"/>
                    <w:jc w:val="center"/>
                  </w:pPr>
                  <w:r>
                    <w:t xml:space="preserve">Leisure Travel</w:t>
                  </w:r>
                  <w:r>
                    <w:t xml:space="preserve"> </w:t>
                  </w:r>
                  <w:r>
                    <w:t xml:space="preserve">Expenditure Patterns</w:t>
                  </w:r>
                  <w:r>
                    <w:t xml:space="preserve"> </w:t>
                  </w:r>
                  <w:r>
                    <w:t xml:space="preserve">by Family Life Cycle</w:t>
                  </w:r>
                  <w:r>
                    <w:t xml:space="preserve"> </w:t>
                  </w:r>
                  <w:r>
                    <w:t xml:space="preserve">Stages</w:t>
                  </w:r>
                </w:p>
              </w:tc>
              <w:tc>
                <w:tcPr/>
                <w:p>
                  <w:pPr>
                    <w:pStyle w:val="Compact"/>
                    <w:jc w:val="left"/>
                    <w:jc w:val="center"/>
                  </w:pPr>
                  <w:r>
                    <w:t xml:space="preserve">Hong et al. (2005)</w:t>
                  </w:r>
                </w:p>
              </w:tc>
              <w:tc>
                <w:tcPr/>
                <w:p>
                  <w:pPr>
                    <w:pStyle w:val="Compact"/>
                    <w:jc w:val="left"/>
                    <w:jc w:val="center"/>
                  </w:pPr>
                  <w:r>
                    <w:t xml:space="preserve">CEX</w:t>
                  </w:r>
                </w:p>
              </w:tc>
              <w:tc>
                <w:tcPr/>
                <w:p>
                  <w:pPr>
                    <w:pStyle w:val="Compact"/>
                    <w:jc w:val="left"/>
                    <w:jc w:val="center"/>
                  </w:pPr>
                  <w:r>
                    <w:t xml:space="preserve">Marrieds without children are more</w:t>
                  </w:r>
                  <w:r>
                    <w:t xml:space="preserve"> </w:t>
                  </w:r>
                  <w:r>
                    <w:t xml:space="preserve">likely to spend on leisure travel</w:t>
                  </w:r>
                  <w:r>
                    <w:t xml:space="preserve"> </w:t>
                  </w:r>
                  <w:r>
                    <w:t xml:space="preserve">than singles, whereas single parents</w:t>
                  </w:r>
                  <w:r>
                    <w:t xml:space="preserve"> </w:t>
                  </w:r>
                  <w:r>
                    <w:t xml:space="preserve">and solitary survivors are less</w:t>
                  </w:r>
                  <w:r>
                    <w:t xml:space="preserve"> </w:t>
                  </w:r>
                  <w:r>
                    <w:t xml:space="preserve">likely to spend on leisure travel</w:t>
                  </w:r>
                  <w:r>
                    <w:t xml:space="preserve"> </w:t>
                  </w:r>
                  <w:r>
                    <w:t xml:space="preserve">than singles.</w:t>
                  </w:r>
                </w:p>
              </w:tc>
            </w:tr>
            <w:tr>
              <w:tc>
                <w:tcPr/>
                <w:p>
                  <w:pPr>
                    <w:pStyle w:val="Compact"/>
                    <w:jc w:val="left"/>
                    <w:jc w:val="center"/>
                  </w:pPr>
                  <w:r>
                    <w:t xml:space="preserve">Transportation</w:t>
                  </w:r>
                  <w:r>
                    <w:t xml:space="preserve"> </w:t>
                  </w:r>
                  <w:r>
                    <w:t xml:space="preserve">Expenditures and</w:t>
                  </w:r>
                  <w:r>
                    <w:t xml:space="preserve"> </w:t>
                  </w:r>
                  <w:r>
                    <w:t xml:space="preserve">Ability to Pay:</w:t>
                  </w:r>
                  <w:r>
                    <w:t xml:space="preserve"> </w:t>
                  </w:r>
                  <w:r>
                    <w:t xml:space="preserve">Evidence from</w:t>
                  </w:r>
                  <w:r>
                    <w:t xml:space="preserve"> </w:t>
                  </w:r>
                  <w:r>
                    <w:t xml:space="preserve">Consumer Expenditure</w:t>
                  </w:r>
                  <w:r>
                    <w:t xml:space="preserve"> </w:t>
                  </w:r>
                  <w:r>
                    <w:t xml:space="preserve">Survey</w:t>
                  </w:r>
                </w:p>
              </w:tc>
              <w:tc>
                <w:tcPr/>
                <w:p>
                  <w:pPr>
                    <w:pStyle w:val="Compact"/>
                    <w:jc w:val="left"/>
                    <w:jc w:val="center"/>
                  </w:pPr>
                  <w:r>
                    <w:t xml:space="preserve">Thakuriah (Vonu) and Liao (2006)</w:t>
                  </w:r>
                </w:p>
              </w:tc>
              <w:tc>
                <w:tcPr/>
                <w:p>
                  <w:pPr>
                    <w:pStyle w:val="Compact"/>
                    <w:jc w:val="left"/>
                    <w:jc w:val="center"/>
                  </w:pPr>
                  <w:r>
                    <w:t xml:space="preserve">CEX</w:t>
                  </w:r>
                </w:p>
              </w:tc>
              <w:tc>
                <w:tcPr/>
                <w:p>
                  <w:pPr>
                    <w:pStyle w:val="Compact"/>
                    <w:jc w:val="left"/>
                    <w:jc w:val="center"/>
                  </w:pPr>
                  <w:r>
                    <w:t xml:space="preserve">Transportation expenditures made by</w:t>
                  </w:r>
                  <w:r>
                    <w:t xml:space="preserve"> </w:t>
                  </w:r>
                  <w:r>
                    <w:t xml:space="preserve">households are better explained by</w:t>
                  </w:r>
                  <w:r>
                    <w:t xml:space="preserve"> </w:t>
                  </w:r>
                  <w:r>
                    <w:t xml:space="preserve">permanent income levels of households</w:t>
                  </w:r>
                  <w:r>
                    <w:t xml:space="preserve"> </w:t>
                  </w:r>
                  <w:r>
                    <w:t xml:space="preserve">than by annual incomes.</w:t>
                  </w:r>
                </w:p>
              </w:tc>
            </w:tr>
            <w:tr>
              <w:tc>
                <w:tcPr/>
                <w:p>
                  <w:pPr>
                    <w:pStyle w:val="Compact"/>
                    <w:jc w:val="left"/>
                    <w:jc w:val="center"/>
                  </w:pPr>
                  <w:r>
                    <w:t xml:space="preserve">The Effects of</w:t>
                  </w:r>
                  <w:r>
                    <w:t xml:space="preserve"> </w:t>
                  </w:r>
                  <w:r>
                    <w:t xml:space="preserve">Ethnic Identity on</w:t>
                  </w:r>
                  <w:r>
                    <w:t xml:space="preserve"> </w:t>
                  </w:r>
                  <w:r>
                    <w:t xml:space="preserve">Household Budget</w:t>
                  </w:r>
                  <w:r>
                    <w:t xml:space="preserve"> </w:t>
                  </w:r>
                  <w:r>
                    <w:t xml:space="preserve">Allocation to Status</w:t>
                  </w:r>
                  <w:r>
                    <w:t xml:space="preserve"> </w:t>
                  </w:r>
                  <w:r>
                    <w:t xml:space="preserve">Conveying Goods</w:t>
                  </w:r>
                </w:p>
              </w:tc>
              <w:tc>
                <w:tcPr/>
                <w:p>
                  <w:pPr>
                    <w:pStyle w:val="Compact"/>
                    <w:jc w:val="left"/>
                    <w:jc w:val="center"/>
                  </w:pPr>
                  <w:r>
                    <w:t xml:space="preserve">Fontes and Fan (2006)</w:t>
                  </w:r>
                </w:p>
              </w:tc>
              <w:tc>
                <w:tcPr/>
                <w:p>
                  <w:pPr>
                    <w:pStyle w:val="Compact"/>
                    <w:jc w:val="left"/>
                    <w:jc w:val="center"/>
                  </w:pPr>
                  <w:r>
                    <w:t xml:space="preserve">CEX</w:t>
                  </w:r>
                </w:p>
              </w:tc>
              <w:tc>
                <w:tcPr/>
                <w:p>
                  <w:pPr>
                    <w:pStyle w:val="Compact"/>
                    <w:jc w:val="left"/>
                    <w:jc w:val="center"/>
                  </w:pPr>
                  <w:r>
                    <w:t xml:space="preserve">Asian Americans allocate more of</w:t>
                  </w:r>
                  <w:r>
                    <w:t xml:space="preserve"> </w:t>
                  </w:r>
                  <w:r>
                    <w:t xml:space="preserve">their budget to housing, African</w:t>
                  </w:r>
                  <w:r>
                    <w:t xml:space="preserve"> </w:t>
                  </w:r>
                  <w:r>
                    <w:t xml:space="preserve">Americans allocate more of their</w:t>
                  </w:r>
                  <w:r>
                    <w:t xml:space="preserve"> </w:t>
                  </w:r>
                  <w:r>
                    <w:t xml:space="preserve">budget to apparel, and Hispanics</w:t>
                  </w:r>
                  <w:r>
                    <w:t xml:space="preserve"> </w:t>
                  </w:r>
                  <w:r>
                    <w:t xml:space="preserve">allocate more of their budget to both</w:t>
                  </w:r>
                  <w:r>
                    <w:t xml:space="preserve"> </w:t>
                  </w:r>
                  <w:r>
                    <w:t xml:space="preserve">housing and apparel, but to a lesser</w:t>
                  </w:r>
                  <w:r>
                    <w:t xml:space="preserve"> </w:t>
                  </w:r>
                  <w:r>
                    <w:t xml:space="preserve">extent than Asian Americans with</w:t>
                  </w:r>
                  <w:r>
                    <w:t xml:space="preserve"> </w:t>
                  </w:r>
                  <w:r>
                    <w:t xml:space="preserve">respect to housing and African</w:t>
                  </w:r>
                  <w:r>
                    <w:t xml:space="preserve"> </w:t>
                  </w:r>
                  <w:r>
                    <w:t xml:space="preserve">Americans with respect to apparel.</w:t>
                  </w:r>
                </w:p>
              </w:tc>
            </w:tr>
            <w:tr>
              <w:tc>
                <w:tcPr/>
                <w:p>
                  <w:pPr>
                    <w:pStyle w:val="Compact"/>
                    <w:jc w:val="left"/>
                    <w:jc w:val="center"/>
                  </w:pPr>
                  <w:r>
                    <w:t xml:space="preserve">Do Transportation</w:t>
                  </w:r>
                  <w:r>
                    <w:t xml:space="preserve"> </w:t>
                  </w:r>
                  <w:r>
                    <w:t xml:space="preserve">and Communications</w:t>
                  </w:r>
                  <w:r>
                    <w:t xml:space="preserve"> </w:t>
                  </w:r>
                  <w:r>
                    <w:t xml:space="preserve">Tend to be</w:t>
                  </w:r>
                  <w:r>
                    <w:t xml:space="preserve"> </w:t>
                  </w:r>
                  <w:r>
                    <w:t xml:space="preserve">Substitutes,</w:t>
                  </w:r>
                  <w:r>
                    <w:t xml:space="preserve"> </w:t>
                  </w:r>
                  <w:r>
                    <w:t xml:space="preserve">Complements, or</w:t>
                  </w:r>
                  <w:r>
                    <w:t xml:space="preserve"> </w:t>
                  </w:r>
                  <w:r>
                    <w:t xml:space="preserve">Neither?: U.S.</w:t>
                  </w:r>
                  <w:r>
                    <w:t xml:space="preserve"> </w:t>
                  </w:r>
                  <w:r>
                    <w:t xml:space="preserve">Consumer</w:t>
                  </w:r>
                  <w:r>
                    <w:t xml:space="preserve"> </w:t>
                  </w:r>
                  <w:r>
                    <w:t xml:space="preserve">Expenditures</w:t>
                  </w:r>
                  <w:r>
                    <w:t xml:space="preserve"> </w:t>
                  </w:r>
                  <w:r>
                    <w:t xml:space="preserve">Perspective,</w:t>
                  </w:r>
                  <w:r>
                    <w:t xml:space="preserve"> </w:t>
                  </w:r>
                  <w:r>
                    <w:t xml:space="preserve">1984–2002</w:t>
                  </w:r>
                </w:p>
              </w:tc>
              <w:tc>
                <w:tcPr/>
                <w:p>
                  <w:pPr>
                    <w:pStyle w:val="Compact"/>
                    <w:jc w:val="left"/>
                    <w:jc w:val="center"/>
                  </w:pPr>
                  <w:r>
                    <w:t xml:space="preserve">Choo, Lee, and Mokhtarian (2007)</w:t>
                  </w:r>
                </w:p>
              </w:tc>
              <w:tc>
                <w:tcPr/>
                <w:p>
                  <w:pPr>
                    <w:pStyle w:val="Compact"/>
                    <w:jc w:val="left"/>
                    <w:jc w:val="center"/>
                  </w:pPr>
                  <w:r>
                    <w:t xml:space="preserve">CEX</w:t>
                  </w:r>
                </w:p>
              </w:tc>
              <w:tc>
                <w:tcPr/>
                <w:p>
                  <w:pPr>
                    <w:pStyle w:val="Compact"/>
                    <w:jc w:val="left"/>
                    <w:jc w:val="center"/>
                  </w:pPr>
                  <w:r>
                    <w:t xml:space="preserve">New tech doesn’t substitue Personal</w:t>
                  </w:r>
                  <w:r>
                    <w:t xml:space="preserve"> </w:t>
                  </w:r>
                  <w:r>
                    <w:t xml:space="preserve">Vehicle travel probably</w:t>
                  </w:r>
                </w:p>
              </w:tc>
            </w:tr>
            <w:tr>
              <w:tc>
                <w:tcPr/>
                <w:p>
                  <w:pPr>
                    <w:pStyle w:val="Compact"/>
                    <w:jc w:val="left"/>
                    <w:jc w:val="center"/>
                  </w:pPr>
                  <w:r>
                    <w:t xml:space="preserve">An analysis of the</w:t>
                  </w:r>
                  <w:r>
                    <w:t xml:space="preserve"> </w:t>
                  </w:r>
                  <w:r>
                    <w:t xml:space="preserve">determinants of</w:t>
                  </w:r>
                  <w:r>
                    <w:t xml:space="preserve"> </w:t>
                  </w:r>
                  <w:r>
                    <w:t xml:space="preserve">children’s weekend</w:t>
                  </w:r>
                  <w:r>
                    <w:t xml:space="preserve"> </w:t>
                  </w:r>
                  <w:r>
                    <w:t xml:space="preserve">physical activity</w:t>
                  </w:r>
                  <w:r>
                    <w:t xml:space="preserve"> </w:t>
                  </w:r>
                  <w:r>
                    <w:t xml:space="preserve">participation</w:t>
                  </w:r>
                </w:p>
              </w:tc>
              <w:tc>
                <w:tcPr/>
                <w:p>
                  <w:pPr>
                    <w:pStyle w:val="Compact"/>
                    <w:jc w:val="left"/>
                    <w:jc w:val="center"/>
                  </w:pPr>
                  <w:r>
                    <w:t xml:space="preserve">Rachel B. Copperman and Bhat (2007a)</w:t>
                  </w:r>
                </w:p>
              </w:tc>
              <w:tc>
                <w:tcPr/>
                <w:p>
                  <w:pPr>
                    <w:pStyle w:val="Compact"/>
                    <w:jc w:val="left"/>
                    <w:jc w:val="center"/>
                  </w:pPr>
                  <w:r>
                    <w:t xml:space="preserve">San Francisco</w:t>
                  </w:r>
                  <w:r>
                    <w:t xml:space="preserve"> </w:t>
                  </w:r>
                  <w:r>
                    <w:t xml:space="preserve">Bay Area</w:t>
                  </w:r>
                  <w:r>
                    <w:t xml:space="preserve"> </w:t>
                  </w:r>
                  <w:r>
                    <w:t xml:space="preserve">Travel Survey</w:t>
                  </w:r>
                </w:p>
              </w:tc>
              <w:tc>
                <w:tcPr/>
                <w:p>
                  <w:pPr>
                    <w:pStyle w:val="Compact"/>
                    <w:jc w:val="left"/>
                    <w:jc w:val="center"/>
                  </w:pPr>
                  <w:r>
                    <w:t xml:space="preserve">The</w:t>
                  </w:r>
                  <w:r>
                    <w:t xml:space="preserve"> </w:t>
                  </w:r>
                  <w:r>
                    <w:t xml:space="preserve">“number of children”</w:t>
                  </w:r>
                  <w:r>
                    <w:t xml:space="preserve"> </w:t>
                  </w:r>
                  <w:r>
                    <w:t xml:space="preserve">variable</w:t>
                  </w:r>
                  <w:r>
                    <w:t xml:space="preserve"> </w:t>
                  </w:r>
                  <w:r>
                    <w:t xml:space="preserve">suggests an overall higher likelihood</w:t>
                  </w:r>
                  <w:r>
                    <w:t xml:space="preserve"> </w:t>
                  </w:r>
                  <w:r>
                    <w:t xml:space="preserve">of participation in utilitarian</w:t>
                  </w:r>
                  <w:r>
                    <w:t xml:space="preserve"> </w:t>
                  </w:r>
                  <w:r>
                    <w:t xml:space="preserve">active travel among households with</w:t>
                  </w:r>
                  <w:r>
                    <w:t xml:space="preserve"> </w:t>
                  </w:r>
                  <w:r>
                    <w:t xml:space="preserve">many children relative to households</w:t>
                  </w:r>
                  <w:r>
                    <w:t xml:space="preserve"> </w:t>
                  </w:r>
                  <w:r>
                    <w:t xml:space="preserve">with few children</w:t>
                  </w:r>
                </w:p>
              </w:tc>
            </w:tr>
            <w:tr>
              <w:tc>
                <w:tcPr/>
                <w:p>
                  <w:pPr>
                    <w:pStyle w:val="Compact"/>
                    <w:jc w:val="left"/>
                    <w:jc w:val="center"/>
                  </w:pPr>
                  <w:r>
                    <w:t xml:space="preserve">An analysis of the</w:t>
                  </w:r>
                  <w:r>
                    <w:t xml:space="preserve"> </w:t>
                  </w:r>
                  <w:r>
                    <w:t xml:space="preserve">social context of</w:t>
                  </w:r>
                  <w:r>
                    <w:t xml:space="preserve"> </w:t>
                  </w:r>
                  <w:r>
                    <w:t xml:space="preserve">children’s weekend</w:t>
                  </w:r>
                  <w:r>
                    <w:t xml:space="preserve"> </w:t>
                  </w:r>
                  <w:r>
                    <w:t xml:space="preserve">discretionary</w:t>
                  </w:r>
                  <w:r>
                    <w:t xml:space="preserve"> </w:t>
                  </w:r>
                  <w:r>
                    <w:t xml:space="preserve">activity</w:t>
                  </w:r>
                  <w:r>
                    <w:t xml:space="preserve"> </w:t>
                  </w:r>
                  <w:r>
                    <w:t xml:space="preserve">participation</w:t>
                  </w:r>
                </w:p>
              </w:tc>
              <w:tc>
                <w:tcPr/>
                <w:p>
                  <w:pPr>
                    <w:pStyle w:val="Compact"/>
                    <w:jc w:val="left"/>
                    <w:jc w:val="center"/>
                  </w:pPr>
                  <w:r>
                    <w:t xml:space="preserve">Sener and Bhat (2007)</w:t>
                  </w:r>
                </w:p>
              </w:tc>
              <w:tc>
                <w:tcPr/>
                <w:p>
                  <w:pPr>
                    <w:pStyle w:val="Compact"/>
                    <w:jc w:val="left"/>
                    <w:jc w:val="center"/>
                  </w:pPr>
                  <w:r>
                    <w:t xml:space="preserve">Panel Study of</w:t>
                  </w:r>
                  <w:r>
                    <w:t xml:space="preserve"> </w:t>
                  </w:r>
                  <w:r>
                    <w:t xml:space="preserve">Income</w:t>
                  </w:r>
                  <w:r>
                    <w:t xml:space="preserve"> </w:t>
                  </w:r>
                  <w:r>
                    <w:t xml:space="preserve">Dynamics</w:t>
                  </w:r>
                  <w:r>
                    <w:t xml:space="preserve"> </w:t>
                  </w:r>
                  <w:r>
                    <w:t xml:space="preserve">(PSID)</w:t>
                  </w:r>
                </w:p>
              </w:tc>
              <w:tc>
                <w:tcPr/>
                <w:p>
                  <w:pPr>
                    <w:pStyle w:val="Compact"/>
                    <w:jc w:val="left"/>
                    <w:jc w:val="center"/>
                  </w:pPr>
                  <w:r>
                    <w:t xml:space="preserve">male children more likely to</w:t>
                  </w:r>
                  <w:r>
                    <w:t xml:space="preserve"> </w:t>
                  </w:r>
                  <w:r>
                    <w:t xml:space="preserve">participate with their fathers than</w:t>
                  </w:r>
                  <w:r>
                    <w:t xml:space="preserve"> </w:t>
                  </w:r>
                  <w:r>
                    <w:t xml:space="preserve">female children, African-American</w:t>
                  </w:r>
                  <w:r>
                    <w:t xml:space="preserve"> </w:t>
                  </w:r>
                  <w:r>
                    <w:t xml:space="preserve">children less likely to participate</w:t>
                  </w:r>
                  <w:r>
                    <w:t xml:space="preserve"> </w:t>
                  </w:r>
                  <w:r>
                    <w:t xml:space="preserve">in health-enhancing active recreation</w:t>
                  </w:r>
                  <w:r>
                    <w:t xml:space="preserve"> </w:t>
                  </w:r>
                  <w:r>
                    <w:t xml:space="preserve">pursuits</w:t>
                  </w:r>
                </w:p>
              </w:tc>
            </w:tr>
            <w:tr>
              <w:tc>
                <w:tcPr/>
                <w:p>
                  <w:pPr>
                    <w:pStyle w:val="Compact"/>
                    <w:jc w:val="left"/>
                    <w:jc w:val="center"/>
                  </w:pPr>
                  <w:r>
                    <w:t xml:space="preserve">An Exploratory</w:t>
                  </w:r>
                  <w:r>
                    <w:t xml:space="preserve"> </w:t>
                  </w:r>
                  <w:r>
                    <w:t xml:space="preserve">Analysis of</w:t>
                  </w:r>
                  <w:r>
                    <w:t xml:space="preserve"> </w:t>
                  </w:r>
                  <w:r>
                    <w:t xml:space="preserve">Children’s Daily</w:t>
                  </w:r>
                  <w:r>
                    <w:t xml:space="preserve"> </w:t>
                  </w:r>
                  <w:r>
                    <w:t xml:space="preserve">Time-Use and</w:t>
                  </w:r>
                  <w:r>
                    <w:t xml:space="preserve"> </w:t>
                  </w:r>
                  <w:r>
                    <w:t xml:space="preserve">Activity Patterns</w:t>
                  </w:r>
                  <w:r>
                    <w:t xml:space="preserve"> </w:t>
                  </w:r>
                  <w:r>
                    <w:t xml:space="preserve">Using the Child</w:t>
                  </w:r>
                  <w:r>
                    <w:t xml:space="preserve"> </w:t>
                  </w:r>
                  <w:r>
                    <w:t xml:space="preserve">Development</w:t>
                  </w:r>
                  <w:r>
                    <w:t xml:space="preserve"> </w:t>
                  </w:r>
                  <w:r>
                    <w:t xml:space="preserve">Supplement (CDS) to</w:t>
                  </w:r>
                  <w:r>
                    <w:t xml:space="preserve"> </w:t>
                  </w:r>
                  <w:r>
                    <w:t xml:space="preserve">the US Panel Study</w:t>
                  </w:r>
                  <w:r>
                    <w:t xml:space="preserve"> </w:t>
                  </w:r>
                  <w:r>
                    <w:t xml:space="preserve">of Income Dynamics</w:t>
                  </w:r>
                  <w:r>
                    <w:t xml:space="preserve"> </w:t>
                  </w:r>
                  <w:r>
                    <w:t xml:space="preserve">(PSID)</w:t>
                  </w:r>
                </w:p>
              </w:tc>
              <w:tc>
                <w:tcPr/>
                <w:p>
                  <w:pPr>
                    <w:pStyle w:val="Compact"/>
                    <w:jc w:val="left"/>
                    <w:jc w:val="center"/>
                  </w:pPr>
                  <w:r>
                    <w:t xml:space="preserve">Rachel B. Copperman and Bhat (2007b)</w:t>
                  </w:r>
                </w:p>
              </w:tc>
              <w:tc>
                <w:tcPr/>
                <w:p>
                  <w:pPr>
                    <w:pStyle w:val="Compact"/>
                    <w:jc w:val="left"/>
                    <w:jc w:val="center"/>
                  </w:pPr>
                  <w:r>
                    <w:t xml:space="preserve">Panel Study of</w:t>
                  </w:r>
                  <w:r>
                    <w:t xml:space="preserve"> </w:t>
                  </w:r>
                  <w:r>
                    <w:t xml:space="preserve">Income</w:t>
                  </w:r>
                  <w:r>
                    <w:t xml:space="preserve"> </w:t>
                  </w:r>
                  <w:r>
                    <w:t xml:space="preserve">Dynamics</w:t>
                  </w:r>
                  <w:r>
                    <w:t xml:space="preserve"> </w:t>
                  </w:r>
                  <w:r>
                    <w:t xml:space="preserve">(PSID)</w:t>
                  </w:r>
                </w:p>
              </w:tc>
              <w:tc>
                <w:tcPr/>
                <w:p>
                  <w:pPr>
                    <w:pStyle w:val="Compact"/>
                    <w:jc w:val="left"/>
                    <w:jc w:val="center"/>
                  </w:pPr>
                  <w:r>
                    <w:t xml:space="preserve">The age of childrend has an effect on</w:t>
                  </w:r>
                  <w:r>
                    <w:t xml:space="preserve"> </w:t>
                  </w:r>
                  <w:r>
                    <w:t xml:space="preserve">the types of activities they pursue</w:t>
                  </w:r>
                </w:p>
              </w:tc>
            </w:tr>
            <w:tr>
              <w:tc>
                <w:tcPr/>
                <w:p>
                  <w:pPr>
                    <w:pStyle w:val="Compact"/>
                    <w:jc w:val="left"/>
                    <w:jc w:val="center"/>
                  </w:pPr>
                  <w:r>
                    <w:t xml:space="preserve">Estimating</w:t>
                  </w:r>
                  <w:r>
                    <w:t xml:space="preserve"> </w:t>
                  </w:r>
                  <w:r>
                    <w:t xml:space="preserve">Transportation Costs</w:t>
                  </w:r>
                  <w:r>
                    <w:t xml:space="preserve"> </w:t>
                  </w:r>
                  <w:r>
                    <w:t xml:space="preserve">by Characteristics</w:t>
                  </w:r>
                  <w:r>
                    <w:t xml:space="preserve"> </w:t>
                  </w:r>
                  <w:r>
                    <w:t xml:space="preserve">of Neighborhood and</w:t>
                  </w:r>
                  <w:r>
                    <w:t xml:space="preserve"> </w:t>
                  </w:r>
                  <w:r>
                    <w:t xml:space="preserve">Household</w:t>
                  </w:r>
                </w:p>
              </w:tc>
              <w:tc>
                <w:tcPr/>
                <w:p>
                  <w:pPr>
                    <w:pStyle w:val="Compact"/>
                    <w:jc w:val="left"/>
                    <w:jc w:val="center"/>
                  </w:pPr>
                  <w:r>
                    <w:t xml:space="preserve">Haas et al. (2008)</w:t>
                  </w:r>
                </w:p>
              </w:tc>
              <w:tc>
                <w:tcPr/>
                <w:p>
                  <w:pPr>
                    <w:pStyle w:val="Compact"/>
                    <w:jc w:val="left"/>
                    <w:jc w:val="center"/>
                  </w:pPr>
                  <w:r>
                    <w:t xml:space="preserve">CEX and others</w:t>
                  </w:r>
                </w:p>
              </w:tc>
              <w:tc>
                <w:tcPr/>
                <w:p>
                  <w:pPr>
                    <w:pStyle w:val="Compact"/>
                    <w:jc w:val="left"/>
                    <w:jc w:val="center"/>
                  </w:pPr>
                  <w:r>
                    <w:t xml:space="preserve">Their model can help in travel demand</w:t>
                  </w:r>
                  <w:r>
                    <w:t xml:space="preserve"> </w:t>
                  </w:r>
                  <w:r>
                    <w:t xml:space="preserve">modeling</w:t>
                  </w:r>
                </w:p>
              </w:tc>
            </w:tr>
            <w:tr>
              <w:tc>
                <w:tcPr/>
                <w:p>
                  <w:pPr>
                    <w:pStyle w:val="Compact"/>
                    <w:jc w:val="left"/>
                    <w:jc w:val="center"/>
                  </w:pPr>
                  <w:r>
                    <w:t xml:space="preserve">An analysis of</w:t>
                  </w:r>
                  <w:r>
                    <w:t xml:space="preserve"> </w:t>
                  </w:r>
                  <w:r>
                    <w:t xml:space="preserve">children’s leisure</w:t>
                  </w:r>
                  <w:r>
                    <w:t xml:space="preserve"> </w:t>
                  </w:r>
                  <w:r>
                    <w:t xml:space="preserve">activity engagement:</w:t>
                  </w:r>
                  <w:r>
                    <w:t xml:space="preserve"> </w:t>
                  </w:r>
                  <w:r>
                    <w:t xml:space="preserve">Examining the day of</w:t>
                  </w:r>
                  <w:r>
                    <w:t xml:space="preserve"> </w:t>
                  </w:r>
                  <w:r>
                    <w:t xml:space="preserve">week, location,</w:t>
                  </w:r>
                  <w:r>
                    <w:t xml:space="preserve"> </w:t>
                  </w:r>
                  <w:r>
                    <w:t xml:space="preserve">physical activity</w:t>
                  </w:r>
                  <w:r>
                    <w:t xml:space="preserve"> </w:t>
                  </w:r>
                  <w:r>
                    <w:t xml:space="preserve">level, and fixity</w:t>
                  </w:r>
                  <w:r>
                    <w:t xml:space="preserve"> </w:t>
                  </w:r>
                  <w:r>
                    <w:t xml:space="preserve">dimensions</w:t>
                  </w:r>
                </w:p>
              </w:tc>
              <w:tc>
                <w:tcPr/>
                <w:p>
                  <w:pPr>
                    <w:pStyle w:val="Compact"/>
                    <w:jc w:val="left"/>
                    <w:jc w:val="center"/>
                  </w:pPr>
                  <w:r>
                    <w:t xml:space="preserve">Sener et al. (2008)</w:t>
                  </w:r>
                </w:p>
              </w:tc>
              <w:tc>
                <w:tcPr/>
                <w:p>
                  <w:pPr>
                    <w:pStyle w:val="Compact"/>
                    <w:jc w:val="left"/>
                    <w:jc w:val="center"/>
                  </w:pPr>
                  <w:r>
                    <w:t xml:space="preserve">Panel Study of</w:t>
                  </w:r>
                  <w:r>
                    <w:t xml:space="preserve"> </w:t>
                  </w:r>
                  <w:r>
                    <w:t xml:space="preserve">Income</w:t>
                  </w:r>
                  <w:r>
                    <w:t xml:space="preserve"> </w:t>
                  </w:r>
                  <w:r>
                    <w:t xml:space="preserve">Dynamics</w:t>
                  </w:r>
                  <w:r>
                    <w:t xml:space="preserve"> </w:t>
                  </w:r>
                  <w:r>
                    <w:t xml:space="preserve">(PSID)</w:t>
                  </w:r>
                </w:p>
              </w:tc>
              <w:tc>
                <w:tcPr/>
                <w:p>
                  <w:pPr>
                    <w:pStyle w:val="Compact"/>
                    <w:jc w:val="left"/>
                    <w:jc w:val="center"/>
                  </w:pPr>
                  <w:r>
                    <w:t xml:space="preserve">Children in households with parents</w:t>
                  </w:r>
                  <w:r>
                    <w:t xml:space="preserve"> </w:t>
                  </w:r>
                  <w:r>
                    <w:t xml:space="preserve">who are employed, higher income, or</w:t>
                  </w:r>
                  <w:r>
                    <w:t xml:space="preserve"> </w:t>
                  </w:r>
                  <w:r>
                    <w:t xml:space="preserve">higher education were found to</w:t>
                  </w:r>
                  <w:r>
                    <w:t xml:space="preserve"> </w:t>
                  </w:r>
                  <w:r>
                    <w:t xml:space="preserve">participate in structured outdoor</w:t>
                  </w:r>
                  <w:r>
                    <w:t xml:space="preserve"> </w:t>
                  </w:r>
                  <w:r>
                    <w:t xml:space="preserve">activities at higher rates.</w:t>
                  </w:r>
                </w:p>
              </w:tc>
            </w:tr>
            <w:tr>
              <w:tc>
                <w:tcPr/>
                <w:p>
                  <w:pPr>
                    <w:pStyle w:val="Compact"/>
                    <w:jc w:val="left"/>
                    <w:jc w:val="center"/>
                  </w:pPr>
                  <w:r>
                    <w:t xml:space="preserve">A comprehensive</w:t>
                  </w:r>
                  <w:r>
                    <w:t xml:space="preserve"> </w:t>
                  </w:r>
                  <w:r>
                    <w:t xml:space="preserve">analysis of</w:t>
                  </w:r>
                  <w:r>
                    <w:t xml:space="preserve"> </w:t>
                  </w:r>
                  <w:r>
                    <w:t xml:space="preserve">household</w:t>
                  </w:r>
                  <w:r>
                    <w:t xml:space="preserve"> </w:t>
                  </w:r>
                  <w:r>
                    <w:t xml:space="preserve">transportation</w:t>
                  </w:r>
                  <w:r>
                    <w:t xml:space="preserve"> </w:t>
                  </w:r>
                  <w:r>
                    <w:t xml:space="preserve">expenditures</w:t>
                  </w:r>
                  <w:r>
                    <w:t xml:space="preserve"> </w:t>
                  </w:r>
                  <w:r>
                    <w:t xml:space="preserve">relative to other</w:t>
                  </w:r>
                  <w:r>
                    <w:t xml:space="preserve"> </w:t>
                  </w:r>
                  <w:r>
                    <w:t xml:space="preserve">goods and serviCEX:</w:t>
                  </w:r>
                  <w:r>
                    <w:t xml:space="preserve"> </w:t>
                  </w:r>
                  <w:r>
                    <w:t xml:space="preserve">An application to</w:t>
                  </w:r>
                  <w:r>
                    <w:t xml:space="preserve"> </w:t>
                  </w:r>
                  <w:r>
                    <w:t xml:space="preserve">United States</w:t>
                  </w:r>
                  <w:r>
                    <w:t xml:space="preserve"> </w:t>
                  </w:r>
                  <w:r>
                    <w:t xml:space="preserve">consumer expenditure</w:t>
                  </w:r>
                  <w:r>
                    <w:t xml:space="preserve"> </w:t>
                  </w:r>
                  <w:r>
                    <w:t xml:space="preserve">data</w:t>
                  </w:r>
                </w:p>
              </w:tc>
              <w:tc>
                <w:tcPr/>
                <w:p>
                  <w:pPr>
                    <w:pStyle w:val="Compact"/>
                    <w:jc w:val="left"/>
                    <w:jc w:val="center"/>
                  </w:pPr>
                  <w:r>
                    <w:t xml:space="preserve">Ferdous et al. (2010)</w:t>
                  </w:r>
                </w:p>
              </w:tc>
              <w:tc>
                <w:tcPr/>
                <w:p>
                  <w:pPr>
                    <w:pStyle w:val="Compact"/>
                    <w:jc w:val="left"/>
                    <w:jc w:val="center"/>
                  </w:pPr>
                  <w:r>
                    <w:t xml:space="preserve">CEX</w:t>
                  </w:r>
                </w:p>
              </w:tc>
              <w:tc>
                <w:tcPr/>
                <w:p>
                  <w:pPr>
                    <w:pStyle w:val="Compact"/>
                    <w:jc w:val="left"/>
                    <w:jc w:val="center"/>
                  </w:pPr>
                  <w:r>
                    <w:t xml:space="preserve">Adjustments are made with increased</w:t>
                  </w:r>
                  <w:r>
                    <w:t xml:space="preserve"> </w:t>
                  </w:r>
                  <w:r>
                    <w:t xml:space="preserve">fuel priCEX</w:t>
                  </w:r>
                </w:p>
              </w:tc>
            </w:tr>
            <w:tr>
              <w:tc>
                <w:tcPr/>
                <w:p>
                  <w:pPr>
                    <w:pStyle w:val="Compact"/>
                    <w:jc w:val="left"/>
                    <w:jc w:val="center"/>
                  </w:pPr>
                  <w:r>
                    <w:t xml:space="preserve">Measuring the</w:t>
                  </w:r>
                  <w:r>
                    <w:t xml:space="preserve"> </w:t>
                  </w:r>
                  <w:r>
                    <w:t xml:space="preserve">Structureal</w:t>
                  </w:r>
                  <w:r>
                    <w:t xml:space="preserve"> </w:t>
                  </w:r>
                  <w:r>
                    <w:t xml:space="preserve">Determinants of</w:t>
                  </w:r>
                  <w:r>
                    <w:t xml:space="preserve"> </w:t>
                  </w:r>
                  <w:r>
                    <w:t xml:space="preserve">Urban Travel Demand</w:t>
                  </w:r>
                </w:p>
              </w:tc>
              <w:tc>
                <w:tcPr/>
                <w:p>
                  <w:pPr>
                    <w:pStyle w:val="Compact"/>
                    <w:jc w:val="left"/>
                    <w:jc w:val="center"/>
                  </w:pPr>
                  <w:r>
                    <w:t xml:space="preserve">Souche (2010)</w:t>
                  </w:r>
                </w:p>
              </w:tc>
              <w:tc>
                <w:tcPr/>
                <w:p>
                  <w:pPr>
                    <w:pStyle w:val="Compact"/>
                    <w:jc w:val="left"/>
                    <w:jc w:val="center"/>
                  </w:pPr>
                  <w:r>
                    <w:t xml:space="preserve">IUTP database</w:t>
                  </w:r>
                </w:p>
              </w:tc>
              <w:tc>
                <w:tcPr/>
                <w:p>
                  <w:pPr>
                    <w:pStyle w:val="Compact"/>
                    <w:jc w:val="left"/>
                    <w:jc w:val="center"/>
                  </w:pPr>
                  <w:r>
                    <w:t xml:space="preserve">urban density and cost of transport</w:t>
                  </w:r>
                  <w:r>
                    <w:t xml:space="preserve"> </w:t>
                  </w:r>
                  <w:r>
                    <w:t xml:space="preserve">mode were statisticalliy significan</w:t>
                  </w:r>
                  <w:r>
                    <w:t xml:space="preserve"> </w:t>
                  </w:r>
                  <w:r>
                    <w:t xml:space="preserve">in their model</w:t>
                  </w:r>
                </w:p>
              </w:tc>
            </w:tr>
            <w:tr>
              <w:tc>
                <w:tcPr/>
                <w:p>
                  <w:pPr>
                    <w:pStyle w:val="Compact"/>
                    <w:jc w:val="left"/>
                    <w:jc w:val="center"/>
                  </w:pPr>
                  <w:r>
                    <w:t xml:space="preserve">An empirical</w:t>
                  </w:r>
                  <w:r>
                    <w:t xml:space="preserve"> </w:t>
                  </w:r>
                  <w:r>
                    <w:t xml:space="preserve">analysis of</w:t>
                  </w:r>
                  <w:r>
                    <w:t xml:space="preserve"> </w:t>
                  </w:r>
                  <w:r>
                    <w:t xml:space="preserve">children’s after</w:t>
                  </w:r>
                  <w:r>
                    <w:t xml:space="preserve"> </w:t>
                  </w:r>
                  <w:r>
                    <w:t xml:space="preserve">school out-of-home</w:t>
                  </w:r>
                  <w:r>
                    <w:t xml:space="preserve"> </w:t>
                  </w:r>
                  <w:r>
                    <w:t xml:space="preserve">activity-location</w:t>
                  </w:r>
                  <w:r>
                    <w:t xml:space="preserve"> </w:t>
                  </w:r>
                  <w:r>
                    <w:t xml:space="preserve">engagement patterns</w:t>
                  </w:r>
                  <w:r>
                    <w:t xml:space="preserve"> </w:t>
                  </w:r>
                  <w:r>
                    <w:t xml:space="preserve">and time allocation</w:t>
                  </w:r>
                </w:p>
              </w:tc>
              <w:tc>
                <w:tcPr/>
                <w:p>
                  <w:pPr>
                    <w:pStyle w:val="Compact"/>
                    <w:jc w:val="left"/>
                    <w:jc w:val="center"/>
                  </w:pPr>
                  <w:r>
                    <w:t xml:space="preserve">Paleti, Copperman, and Bhat (2011)</w:t>
                  </w:r>
                </w:p>
              </w:tc>
              <w:tc>
                <w:tcPr/>
                <w:p>
                  <w:pPr>
                    <w:pStyle w:val="Compact"/>
                    <w:jc w:val="left"/>
                    <w:jc w:val="center"/>
                  </w:pPr>
                  <w:r>
                    <w:t xml:space="preserve">Panel Study of</w:t>
                  </w:r>
                  <w:r>
                    <w:t xml:space="preserve"> </w:t>
                  </w:r>
                  <w:r>
                    <w:t xml:space="preserve">Income</w:t>
                  </w:r>
                  <w:r>
                    <w:t xml:space="preserve"> </w:t>
                  </w:r>
                  <w:r>
                    <w:t xml:space="preserve">Dynamics</w:t>
                  </w:r>
                  <w:r>
                    <w:t xml:space="preserve"> </w:t>
                  </w:r>
                  <w:r>
                    <w:t xml:space="preserve">(PSID)</w:t>
                  </w:r>
                </w:p>
              </w:tc>
              <w:tc>
                <w:tcPr/>
                <w:p>
                  <w:pPr>
                    <w:pStyle w:val="Compact"/>
                    <w:jc w:val="left"/>
                    <w:jc w:val="center"/>
                  </w:pPr>
                  <w:r>
                    <w:t xml:space="preserve">The results show that a wide variety</w:t>
                  </w:r>
                  <w:r>
                    <w:t xml:space="preserve"> </w:t>
                  </w:r>
                  <w:r>
                    <w:t xml:space="preserve">of demographic, attitudinal,</w:t>
                  </w:r>
                  <w:r>
                    <w:t xml:space="preserve"> </w:t>
                  </w:r>
                  <w:r>
                    <w:t xml:space="preserve">environmental, and others’</w:t>
                  </w:r>
                  <w:r>
                    <w:t xml:space="preserve"> </w:t>
                  </w:r>
                  <w:r>
                    <w:t xml:space="preserve">activity-travel pattern</w:t>
                  </w:r>
                  <w:r>
                    <w:t xml:space="preserve"> </w:t>
                  </w:r>
                  <w:r>
                    <w:t xml:space="preserve">characteristics impact children’s</w:t>
                  </w:r>
                  <w:r>
                    <w:t xml:space="preserve"> </w:t>
                  </w:r>
                  <w:r>
                    <w:t xml:space="preserve">after school activity engagement</w:t>
                  </w:r>
                  <w:r>
                    <w:t xml:space="preserve"> </w:t>
                  </w:r>
                  <w:r>
                    <w:t xml:space="preserve">patterns.</w:t>
                  </w:r>
                </w:p>
              </w:tc>
            </w:tr>
            <w:tr>
              <w:tc>
                <w:tcPr/>
                <w:p>
                  <w:pPr>
                    <w:pStyle w:val="Compact"/>
                    <w:jc w:val="left"/>
                    <w:jc w:val="center"/>
                  </w:pPr>
                  <w:r>
                    <w:t xml:space="preserve">Is the Consumer</w:t>
                  </w:r>
                  <w:r>
                    <w:t xml:space="preserve"> </w:t>
                  </w:r>
                  <w:r>
                    <w:t xml:space="preserve">Expenditure Survey</w:t>
                  </w:r>
                  <w:r>
                    <w:t xml:space="preserve"> </w:t>
                  </w:r>
                  <w:r>
                    <w:t xml:space="preserve">Representative by</w:t>
                  </w:r>
                  <w:r>
                    <w:t xml:space="preserve"> </w:t>
                  </w:r>
                  <w:r>
                    <w:t xml:space="preserve">Income?</w:t>
                  </w:r>
                </w:p>
              </w:tc>
              <w:tc>
                <w:tcPr/>
                <w:p>
                  <w:pPr>
                    <w:pStyle w:val="Compact"/>
                    <w:jc w:val="left"/>
                    <w:jc w:val="center"/>
                  </w:pPr>
                  <w:r>
                    <w:t xml:space="preserve">Sabelhaus et al. (2013)</w:t>
                  </w:r>
                </w:p>
              </w:tc>
              <w:tc>
                <w:tcPr/>
                <w:p>
                  <w:pPr>
                    <w:pStyle w:val="Compact"/>
                    <w:jc w:val="left"/>
                    <w:jc w:val="center"/>
                  </w:pPr>
                  <w:r>
                    <w:t xml:space="preserve">CEX</w:t>
                  </w:r>
                </w:p>
              </w:tc>
              <w:tc>
                <w:tcPr/>
                <w:p>
                  <w:pPr>
                    <w:pStyle w:val="Compact"/>
                    <w:jc w:val="left"/>
                    <w:jc w:val="center"/>
                  </w:pPr>
                  <w:r>
                    <w:t xml:space="preserve">the highest income thresholds are</w:t>
                  </w:r>
                  <w:r>
                    <w:t xml:space="preserve"> </w:t>
                  </w:r>
                  <w:r>
                    <w:t xml:space="preserve">underrepresented in the survey</w:t>
                  </w:r>
                </w:p>
              </w:tc>
            </w:tr>
            <w:tr>
              <w:tc>
                <w:tcPr/>
                <w:p>
                  <w:pPr>
                    <w:pStyle w:val="Compact"/>
                    <w:jc w:val="left"/>
                    <w:jc w:val="center"/>
                  </w:pPr>
                  <w:r>
                    <w:t xml:space="preserve">Relationship between</w:t>
                  </w:r>
                  <w:r>
                    <w:t xml:space="preserve"> </w:t>
                  </w:r>
                  <w:r>
                    <w:t xml:space="preserve">Households’ Housing</w:t>
                  </w:r>
                  <w:r>
                    <w:t xml:space="preserve"> </w:t>
                  </w:r>
                  <w:r>
                    <w:t xml:space="preserve">and Transportation</w:t>
                  </w:r>
                  <w:r>
                    <w:t xml:space="preserve"> </w:t>
                  </w:r>
                  <w:r>
                    <w:t xml:space="preserve">Expenditures:</w:t>
                  </w:r>
                  <w:r>
                    <w:t xml:space="preserve"> </w:t>
                  </w:r>
                  <w:r>
                    <w:t xml:space="preserve">Examination from</w:t>
                  </w:r>
                  <w:r>
                    <w:t xml:space="preserve"> </w:t>
                  </w:r>
                  <w:r>
                    <w:t xml:space="preserve">Lifestyle</w:t>
                  </w:r>
                  <w:r>
                    <w:t xml:space="preserve"> </w:t>
                  </w:r>
                  <w:r>
                    <w:t xml:space="preserve">Perspective</w:t>
                  </w:r>
                </w:p>
              </w:tc>
              <w:tc>
                <w:tcPr/>
                <w:p>
                  <w:pPr>
                    <w:pStyle w:val="Compact"/>
                    <w:jc w:val="left"/>
                    <w:jc w:val="center"/>
                  </w:pPr>
                  <w:r>
                    <w:t xml:space="preserve">Deka (2015)</w:t>
                  </w:r>
                </w:p>
              </w:tc>
              <w:tc>
                <w:tcPr/>
                <w:p>
                  <w:pPr>
                    <w:pStyle w:val="Compact"/>
                    <w:jc w:val="left"/>
                    <w:jc w:val="center"/>
                  </w:pPr>
                  <w:r>
                    <w:t xml:space="preserve">CEX</w:t>
                  </w:r>
                </w:p>
              </w:tc>
              <w:tc>
                <w:tcPr/>
                <w:p>
                  <w:pPr>
                    <w:pStyle w:val="Compact"/>
                    <w:jc w:val="left"/>
                    <w:jc w:val="center"/>
                  </w:pPr>
                  <w:r>
                    <w:t xml:space="preserve">More housing costs = more</w:t>
                  </w:r>
                  <w:r>
                    <w:t xml:space="preserve"> </w:t>
                  </w:r>
                  <w:r>
                    <w:t xml:space="preserve">transportation costs, people the take</w:t>
                  </w:r>
                  <w:r>
                    <w:t xml:space="preserve"> </w:t>
                  </w:r>
                  <w:r>
                    <w:t xml:space="preserve">transit spend less on transportation</w:t>
                  </w:r>
                </w:p>
              </w:tc>
            </w:tr>
            <w:tr>
              <w:tc>
                <w:tcPr/>
                <w:p>
                  <w:pPr>
                    <w:pStyle w:val="Compact"/>
                    <w:jc w:val="left"/>
                    <w:jc w:val="center"/>
                  </w:pPr>
                  <w:r>
                    <w:t xml:space="preserve">An empirical</w:t>
                  </w:r>
                  <w:r>
                    <w:t xml:space="preserve"> </w:t>
                  </w:r>
                  <w:r>
                    <w:t xml:space="preserve">investigation into</w:t>
                  </w:r>
                  <w:r>
                    <w:t xml:space="preserve"> </w:t>
                  </w:r>
                  <w:r>
                    <w:t xml:space="preserve">the time-use and</w:t>
                  </w:r>
                  <w:r>
                    <w:t xml:space="preserve"> </w:t>
                  </w:r>
                  <w:r>
                    <w:t xml:space="preserve">activity patterns of</w:t>
                  </w:r>
                  <w:r>
                    <w:t xml:space="preserve"> </w:t>
                  </w:r>
                  <w:r>
                    <w:t xml:space="preserve">dual-earner couples</w:t>
                  </w:r>
                  <w:r>
                    <w:t xml:space="preserve"> </w:t>
                  </w:r>
                  <w:r>
                    <w:t xml:space="preserve">with and without</w:t>
                  </w:r>
                  <w:r>
                    <w:t xml:space="preserve"> </w:t>
                  </w:r>
                  <w:r>
                    <w:t xml:space="preserve">young children</w:t>
                  </w:r>
                </w:p>
              </w:tc>
              <w:tc>
                <w:tcPr/>
                <w:p>
                  <w:pPr>
                    <w:pStyle w:val="Compact"/>
                    <w:jc w:val="left"/>
                    <w:jc w:val="center"/>
                  </w:pPr>
                  <w:r>
                    <w:t xml:space="preserve">Bernardo et al. (2015)</w:t>
                  </w:r>
                </w:p>
              </w:tc>
              <w:tc>
                <w:tcPr/>
                <w:p>
                  <w:pPr>
                    <w:pStyle w:val="Compact"/>
                    <w:jc w:val="left"/>
                    <w:jc w:val="center"/>
                  </w:pPr>
                  <w:r>
                    <w:t xml:space="preserve">ATUS</w:t>
                  </w:r>
                </w:p>
              </w:tc>
              <w:tc>
                <w:tcPr/>
                <w:p>
                  <w:pPr>
                    <w:pStyle w:val="Compact"/>
                    <w:jc w:val="left"/>
                    <w:jc w:val="center"/>
                  </w:pPr>
                  <w:r>
                    <w:t xml:space="preserve">the presence of a child in</w:t>
                  </w:r>
                  <w:r>
                    <w:t xml:space="preserve"> </w:t>
                  </w:r>
                  <w:r>
                    <w:t xml:space="preserve">dual-earner households not only leads</w:t>
                  </w:r>
                  <w:r>
                    <w:t xml:space="preserve"> </w:t>
                  </w:r>
                  <w:r>
                    <w:t xml:space="preserve">to a reduction in in-home non-work</w:t>
                  </w:r>
                  <w:r>
                    <w:t xml:space="preserve"> </w:t>
                  </w:r>
                  <w:r>
                    <w:t xml:space="preserve">activity participation (excluding</w:t>
                  </w:r>
                  <w:r>
                    <w:t xml:space="preserve"> </w:t>
                  </w:r>
                  <w:r>
                    <w:t xml:space="preserve">child care activities) but also a</w:t>
                  </w:r>
                  <w:r>
                    <w:t xml:space="preserve"> </w:t>
                  </w:r>
                  <w:r>
                    <w:t xml:space="preserve">substantially larger decrease in</w:t>
                  </w:r>
                  <w:r>
                    <w:t xml:space="preserve"> </w:t>
                  </w:r>
                  <w:r>
                    <w:t xml:space="preserve">out-of-home non-work activity</w:t>
                  </w:r>
                  <w:r>
                    <w:t xml:space="preserve"> </w:t>
                  </w:r>
                  <w:r>
                    <w:t xml:space="preserve">participation (excluding child care</w:t>
                  </w:r>
                  <w:r>
                    <w:t xml:space="preserve"> </w:t>
                  </w:r>
                  <w:r>
                    <w:t xml:space="preserve">and shopping activities),</w:t>
                  </w:r>
                </w:p>
              </w:tc>
            </w:tr>
            <w:tr>
              <w:tc>
                <w:tcPr/>
                <w:p>
                  <w:pPr>
                    <w:pStyle w:val="Compact"/>
                    <w:jc w:val="left"/>
                    <w:jc w:val="center"/>
                  </w:pPr>
                  <w:r>
                    <w:t xml:space="preserve">Expenditures on</w:t>
                  </w:r>
                  <w:r>
                    <w:t xml:space="preserve"> </w:t>
                  </w:r>
                  <w:r>
                    <w:t xml:space="preserve">Children by</w:t>
                  </w:r>
                  <w:r>
                    <w:t xml:space="preserve"> </w:t>
                  </w:r>
                  <w:r>
                    <w:t xml:space="preserve">Families, 2015</w:t>
                  </w:r>
                </w:p>
              </w:tc>
              <w:tc>
                <w:tcPr/>
                <w:p>
                  <w:pPr>
                    <w:pStyle w:val="Compact"/>
                    <w:jc w:val="left"/>
                    <w:jc w:val="center"/>
                  </w:pPr>
                  <w:r>
                    <w:t xml:space="preserve">Lino et al. (2017)</w:t>
                  </w:r>
                </w:p>
              </w:tc>
              <w:tc>
                <w:tcPr/>
                <w:p>
                  <w:pPr>
                    <w:pStyle w:val="Compact"/>
                    <w:jc w:val="left"/>
                    <w:jc w:val="center"/>
                  </w:pPr>
                  <w:r>
                    <w:t xml:space="preserve">CEX</w:t>
                  </w:r>
                </w:p>
              </w:tc>
              <w:tc>
                <w:tcPr/>
                <w:p>
                  <w:pPr>
                    <w:pStyle w:val="Compact"/>
                    <w:jc w:val="left"/>
                    <w:jc w:val="center"/>
                  </w:pPr>
                  <w:r>
                    <w:t xml:space="preserve">Many observations on the expenditures</w:t>
                  </w:r>
                  <w:r>
                    <w:t xml:space="preserve"> </w:t>
                  </w:r>
                  <w:r>
                    <w:t xml:space="preserve">of children</w:t>
                  </w:r>
                </w:p>
              </w:tc>
            </w:tr>
            <w:tr>
              <w:tc>
                <w:tcPr/>
                <w:p>
                  <w:pPr>
                    <w:pStyle w:val="Compact"/>
                    <w:jc w:val="left"/>
                    <w:jc w:val="center"/>
                  </w:pPr>
                  <w:r>
                    <w:t xml:space="preserve">Factors influencing</w:t>
                  </w:r>
                  <w:r>
                    <w:t xml:space="preserve"> </w:t>
                  </w:r>
                  <w:r>
                    <w:t xml:space="preserve">travel mode choice</w:t>
                  </w:r>
                  <w:r>
                    <w:t xml:space="preserve"> </w:t>
                  </w:r>
                  <w:r>
                    <w:t xml:space="preserve">among families with</w:t>
                  </w:r>
                  <w:r>
                    <w:t xml:space="preserve"> </w:t>
                  </w:r>
                  <w:r>
                    <w:t xml:space="preserve">young children (aged</w:t>
                  </w:r>
                  <w:r>
                    <w:t xml:space="preserve"> </w:t>
                  </w:r>
                  <w:r>
                    <w:t xml:space="preserve">0–4): A review of</w:t>
                  </w:r>
                  <w:r>
                    <w:t xml:space="preserve"> </w:t>
                  </w:r>
                  <w:r>
                    <w:t xml:space="preserve">the literature</w:t>
                  </w:r>
                </w:p>
              </w:tc>
              <w:tc>
                <w:tcPr/>
                <w:p>
                  <w:pPr>
                    <w:pStyle w:val="Compact"/>
                    <w:jc w:val="left"/>
                    <w:jc w:val="center"/>
                  </w:pPr>
                  <w:r>
                    <w:t xml:space="preserve">McCarthy et al. (2017)</w:t>
                  </w:r>
                </w:p>
              </w:tc>
              <w:tc>
                <w:tcPr/>
                <w:p>
                  <w:pPr>
                    <w:pStyle w:val="Compact"/>
                    <w:jc w:val="left"/>
                    <w:jc w:val="center"/>
                  </w:pPr>
                  <w:r>
                    <w:t xml:space="preserve">Lit Review</w:t>
                  </w:r>
                </w:p>
              </w:tc>
              <w:tc>
                <w:tcPr/>
                <w:p>
                  <w:pPr>
                    <w:pStyle w:val="Compact"/>
                    <w:jc w:val="left"/>
                    <w:jc w:val="center"/>
                  </w:pPr>
                  <w:r>
                    <w:t xml:space="preserve">many factores influence decisions</w:t>
                  </w:r>
                  <w:r>
                    <w:t xml:space="preserve"> </w:t>
                  </w:r>
                  <w:r>
                    <w:t xml:space="preserve">about mode choice when traveling with</w:t>
                  </w:r>
                  <w:r>
                    <w:t xml:space="preserve"> </w:t>
                  </w:r>
                  <w:r>
                    <w:t xml:space="preserve">young children.</w:t>
                  </w:r>
                </w:p>
              </w:tc>
            </w:tr>
            <w:tr>
              <w:tc>
                <w:tcPr/>
                <w:p>
                  <w:pPr>
                    <w:pStyle w:val="Compact"/>
                    <w:jc w:val="left"/>
                    <w:jc w:val="center"/>
                  </w:pPr>
                  <w:r>
                    <w:t xml:space="preserve">Relationships</w:t>
                  </w:r>
                  <w:r>
                    <w:t xml:space="preserve"> </w:t>
                  </w:r>
                  <w:r>
                    <w:t xml:space="preserve">between Land Use,</w:t>
                  </w:r>
                  <w:r>
                    <w:t xml:space="preserve"> </w:t>
                  </w:r>
                  <w:r>
                    <w:t xml:space="preserve">Transportation,</w:t>
                  </w:r>
                  <w:r>
                    <w:t xml:space="preserve"> </w:t>
                  </w:r>
                  <w:r>
                    <w:t xml:space="preserve">Household</w:t>
                  </w:r>
                  <w:r>
                    <w:t xml:space="preserve"> </w:t>
                  </w:r>
                  <w:r>
                    <w:t xml:space="preserve">Expenditures, and</w:t>
                  </w:r>
                  <w:r>
                    <w:t xml:space="preserve"> </w:t>
                  </w:r>
                  <w:r>
                    <w:t xml:space="preserve">Municipal Spending</w:t>
                  </w:r>
                  <w:r>
                    <w:t xml:space="preserve"> </w:t>
                  </w:r>
                  <w:r>
                    <w:t xml:space="preserve">in Small Urban Areas</w:t>
                  </w:r>
                </w:p>
              </w:tc>
              <w:tc>
                <w:tcPr/>
                <w:p>
                  <w:pPr>
                    <w:pStyle w:val="Compact"/>
                    <w:jc w:val="left"/>
                    <w:jc w:val="center"/>
                  </w:pPr>
                  <w:r>
                    <w:t xml:space="preserve">Mattson and Peterson (2019)</w:t>
                  </w:r>
                </w:p>
              </w:tc>
              <w:tc>
                <w:tcPr/>
                <w:p>
                  <w:pPr>
                    <w:pStyle w:val="Compact"/>
                    <w:jc w:val="left"/>
                    <w:jc w:val="center"/>
                  </w:pPr>
                  <w:r>
                    <w:t xml:space="preserve">CEX, Ammerican</w:t>
                  </w:r>
                  <w:r>
                    <w:t xml:space="preserve"> </w:t>
                  </w:r>
                  <w:r>
                    <w:t xml:space="preserve">Community</w:t>
                  </w:r>
                  <w:r>
                    <w:t xml:space="preserve"> </w:t>
                  </w:r>
                  <w:r>
                    <w:t xml:space="preserve">Survey</w:t>
                  </w:r>
                </w:p>
              </w:tc>
              <w:tc>
                <w:tcPr/>
                <w:p>
                  <w:pPr>
                    <w:pStyle w:val="Compact"/>
                    <w:jc w:val="left"/>
                    <w:jc w:val="center"/>
                  </w:pPr>
                  <w:r>
                    <w:t xml:space="preserve">denser areas are more likely to use</w:t>
                  </w:r>
                  <w:r>
                    <w:t xml:space="preserve"> </w:t>
                  </w:r>
                  <w:r>
                    <w:t xml:space="preserve">transit to commute. People in</w:t>
                  </w:r>
                  <w:r>
                    <w:t xml:space="preserve"> </w:t>
                  </w:r>
                  <w:r>
                    <w:t xml:space="preserve">single-family homes tend to spend</w:t>
                  </w:r>
                  <w:r>
                    <w:t xml:space="preserve"> </w:t>
                  </w:r>
                  <w:r>
                    <w:t xml:space="preserve">more money on transportation</w:t>
                  </w:r>
                </w:p>
              </w:tc>
            </w:tr>
            <w:tr>
              <w:tc>
                <w:tcPr/>
                <w:p>
                  <w:pPr>
                    <w:pStyle w:val="Compact"/>
                    <w:jc w:val="left"/>
                    <w:jc w:val="center"/>
                  </w:pPr>
                  <w:r>
                    <w:t xml:space="preserve">An</w:t>
                  </w:r>
                  <w:r>
                    <w:t xml:space="preserve"> </w:t>
                  </w:r>
                  <w:r>
                    <w:t xml:space="preserve">environment-people</w:t>
                  </w:r>
                  <w:r>
                    <w:t xml:space="preserve"> </w:t>
                  </w:r>
                  <w:r>
                    <w:t xml:space="preserve">interactions</w:t>
                  </w:r>
                  <w:r>
                    <w:t xml:space="preserve"> </w:t>
                  </w:r>
                  <w:r>
                    <w:t xml:space="preserve">framework for</w:t>
                  </w:r>
                  <w:r>
                    <w:t xml:space="preserve"> </w:t>
                  </w:r>
                  <w:r>
                    <w:t xml:space="preserve">analysing children’s</w:t>
                  </w:r>
                  <w:r>
                    <w:t xml:space="preserve"> </w:t>
                  </w:r>
                  <w:r>
                    <w:t xml:space="preserve">extra-curricular</w:t>
                  </w:r>
                  <w:r>
                    <w:t xml:space="preserve"> </w:t>
                  </w:r>
                  <w:r>
                    <w:t xml:space="preserve">activities and</w:t>
                  </w:r>
                  <w:r>
                    <w:t xml:space="preserve"> </w:t>
                  </w:r>
                  <w:r>
                    <w:t xml:space="preserve">active transport</w:t>
                  </w:r>
                </w:p>
              </w:tc>
              <w:tc>
                <w:tcPr/>
                <w:p>
                  <w:pPr>
                    <w:pStyle w:val="Compact"/>
                    <w:jc w:val="left"/>
                    <w:jc w:val="center"/>
                  </w:pPr>
                  <w:r>
                    <w:t xml:space="preserve">Leung et al. (2019)</w:t>
                  </w:r>
                </w:p>
              </w:tc>
              <w:tc>
                <w:tcPr/>
                <w:p>
                  <w:pPr>
                    <w:pStyle w:val="Compact"/>
                    <w:jc w:val="left"/>
                    <w:jc w:val="center"/>
                  </w:pPr>
                  <w:r>
                    <w:t xml:space="preserve">Survey in Hong</w:t>
                  </w:r>
                  <w:r>
                    <w:t xml:space="preserve"> </w:t>
                  </w:r>
                  <w:r>
                    <w:t xml:space="preserve">Kong Schools</w:t>
                  </w:r>
                </w:p>
              </w:tc>
              <w:tc>
                <w:tcPr/>
                <w:p>
                  <w:pPr>
                    <w:pStyle w:val="Compact"/>
                    <w:jc w:val="left"/>
                    <w:jc w:val="center"/>
                  </w:pPr>
                  <w:r>
                    <w:t xml:space="preserve">childrens activities can differ a lot</w:t>
                  </w:r>
                  <w:r>
                    <w:t xml:space="preserve"> </w:t>
                  </w:r>
                  <w:r>
                    <w:t xml:space="preserve">based on neighborhood enfironment and</w:t>
                  </w:r>
                  <w:r>
                    <w:t xml:space="preserve"> </w:t>
                  </w:r>
                  <w:r>
                    <w:t xml:space="preserve">family sociodemographic background.</w:t>
                  </w:r>
                </w:p>
              </w:tc>
            </w:tr>
            <w:tr>
              <w:tc>
                <w:tcPr/>
                <w:p>
                  <w:pPr>
                    <w:pStyle w:val="Compact"/>
                    <w:jc w:val="left"/>
                    <w:jc w:val="center"/>
                  </w:pPr>
                  <w:r>
                    <w:t xml:space="preserve">Relationships</w:t>
                  </w:r>
                  <w:r>
                    <w:t xml:space="preserve"> </w:t>
                  </w:r>
                  <w:r>
                    <w:t xml:space="preserve">between density,</w:t>
                  </w:r>
                  <w:r>
                    <w:t xml:space="preserve"> </w:t>
                  </w:r>
                  <w:r>
                    <w:t xml:space="preserve">transit, and</w:t>
                  </w:r>
                  <w:r>
                    <w:t xml:space="preserve"> </w:t>
                  </w:r>
                  <w:r>
                    <w:t xml:space="preserve">household</w:t>
                  </w:r>
                  <w:r>
                    <w:t xml:space="preserve"> </w:t>
                  </w:r>
                  <w:r>
                    <w:t xml:space="preserve">expenditures in</w:t>
                  </w:r>
                  <w:r>
                    <w:t xml:space="preserve"> </w:t>
                  </w:r>
                  <w:r>
                    <w:t xml:space="preserve">small urban areas</w:t>
                  </w:r>
                </w:p>
              </w:tc>
              <w:tc>
                <w:tcPr/>
                <w:p>
                  <w:pPr>
                    <w:pStyle w:val="Compact"/>
                    <w:jc w:val="left"/>
                    <w:jc w:val="center"/>
                  </w:pPr>
                  <w:r>
                    <w:t xml:space="preserve">Mattson (2020)</w:t>
                  </w:r>
                </w:p>
              </w:tc>
              <w:tc>
                <w:tcPr/>
                <w:p>
                  <w:pPr>
                    <w:pStyle w:val="Compact"/>
                    <w:jc w:val="left"/>
                    <w:jc w:val="center"/>
                  </w:pPr>
                  <w:r>
                    <w:t xml:space="preserve">CEX, Ammerican</w:t>
                  </w:r>
                  <w:r>
                    <w:t xml:space="preserve"> </w:t>
                  </w:r>
                  <w:r>
                    <w:t xml:space="preserve">Community</w:t>
                  </w:r>
                  <w:r>
                    <w:t xml:space="preserve"> </w:t>
                  </w:r>
                  <w:r>
                    <w:t xml:space="preserve">Survey</w:t>
                  </w:r>
                </w:p>
              </w:tc>
              <w:tc>
                <w:tcPr/>
                <w:p>
                  <w:pPr>
                    <w:pStyle w:val="Compact"/>
                    <w:jc w:val="left"/>
                    <w:jc w:val="center"/>
                  </w:pPr>
                  <w:r>
                    <w:t xml:space="preserve">single family homes spend more on</w:t>
                  </w:r>
                  <w:r>
                    <w:t xml:space="preserve"> </w:t>
                  </w:r>
                  <w:r>
                    <w:t xml:space="preserve">transportation, higher income is</w:t>
                  </w:r>
                  <w:r>
                    <w:t xml:space="preserve"> </w:t>
                  </w:r>
                  <w:r>
                    <w:t xml:space="preserve">correlated with higher tranportation</w:t>
                  </w:r>
                  <w:r>
                    <w:t xml:space="preserve"> </w:t>
                  </w:r>
                  <w:r>
                    <w:t xml:space="preserve">costs.</w:t>
                  </w:r>
                </w:p>
              </w:tc>
            </w:tr>
            <w:tr>
              <w:tc>
                <w:tcPr/>
                <w:p>
                  <w:pPr>
                    <w:pStyle w:val="Compact"/>
                    <w:jc w:val="left"/>
                    <w:jc w:val="center"/>
                  </w:pPr>
                  <w:r>
                    <w:t xml:space="preserve">An Updated</w:t>
                  </w:r>
                  <w:r>
                    <w:t xml:space="preserve"> </w:t>
                  </w:r>
                  <w:r>
                    <w:t xml:space="preserve">Estimation Model of</w:t>
                  </w:r>
                  <w:r>
                    <w:t xml:space="preserve"> </w:t>
                  </w:r>
                  <w:r>
                    <w:t xml:space="preserve">the Cost of Raising</w:t>
                  </w:r>
                  <w:r>
                    <w:t xml:space="preserve"> </w:t>
                  </w:r>
                  <w:r>
                    <w:t xml:space="preserve">Children in Texas</w:t>
                  </w:r>
                </w:p>
              </w:tc>
              <w:tc>
                <w:tcPr/>
                <w:p>
                  <w:pPr>
                    <w:pStyle w:val="Compact"/>
                    <w:jc w:val="left"/>
                    <w:jc w:val="center"/>
                  </w:pPr>
                  <w:r>
                    <w:t xml:space="preserve">Osborne, Wu, and Benson (2021)</w:t>
                  </w:r>
                </w:p>
              </w:tc>
              <w:tc>
                <w:tcPr/>
                <w:p>
                  <w:pPr>
                    <w:pStyle w:val="Compact"/>
                    <w:jc w:val="left"/>
                    <w:jc w:val="center"/>
                  </w:pPr>
                  <w:r>
                    <w:t xml:space="preserve">NHTS, CEX</w:t>
                  </w:r>
                </w:p>
              </w:tc>
              <w:tc>
                <w:tcPr/>
                <w:p>
                  <w:pPr>
                    <w:pStyle w:val="Compact"/>
                    <w:jc w:val="left"/>
                    <w:jc w:val="center"/>
                  </w:pPr>
                  <w:r>
                    <w:t xml:space="preserve">Regardless of the method of</w:t>
                  </w:r>
                  <w:r>
                    <w:t xml:space="preserve"> </w:t>
                  </w:r>
                  <w:r>
                    <w:t xml:space="preserve">calculation, we find that it is</w:t>
                  </w:r>
                  <w:r>
                    <w:t xml:space="preserve"> </w:t>
                  </w:r>
                  <w:r>
                    <w:t xml:space="preserve">nearly impossible for two minimum</w:t>
                  </w:r>
                  <w:r>
                    <w:t xml:space="preserve"> </w:t>
                  </w:r>
                  <w:r>
                    <w:t xml:space="preserve">wage earners to meet the basic costs</w:t>
                  </w:r>
                  <w:r>
                    <w:t xml:space="preserve"> </w:t>
                  </w:r>
                  <w:r>
                    <w:t xml:space="preserve">of raising children in Texas,</w:t>
                  </w:r>
                  <w:r>
                    <w:t xml:space="preserve"> </w:t>
                  </w:r>
                  <w:r>
                    <w:t xml:space="preserve">especially when child care is</w:t>
                  </w:r>
                  <w:r>
                    <w:t xml:space="preserve"> </w:t>
                  </w:r>
                  <w:r>
                    <w:t xml:space="preserve">included</w:t>
                  </w:r>
                </w:p>
              </w:tc>
            </w:tr>
            <w:tr>
              <w:tc>
                <w:tcPr/>
                <w:p>
                  <w:pPr>
                    <w:pStyle w:val="Compact"/>
                    <w:jc w:val="left"/>
                    <w:jc w:val="center"/>
                  </w:pPr>
                  <w:r>
                    <w:t xml:space="preserve">Parental Investments</w:t>
                  </w:r>
                  <w:r>
                    <w:t xml:space="preserve"> </w:t>
                  </w:r>
                  <w:r>
                    <w:t xml:space="preserve">of Money for White,</w:t>
                  </w:r>
                  <w:r>
                    <w:t xml:space="preserve"> </w:t>
                  </w:r>
                  <w:r>
                    <w:t xml:space="preserve">Black, and Hispanic</w:t>
                  </w:r>
                  <w:r>
                    <w:t xml:space="preserve"> </w:t>
                  </w:r>
                  <w:r>
                    <w:t xml:space="preserve">Children in the</w:t>
                  </w:r>
                  <w:r>
                    <w:t xml:space="preserve"> </w:t>
                  </w:r>
                  <w:r>
                    <w:t xml:space="preserve">United States</w:t>
                  </w:r>
                </w:p>
              </w:tc>
              <w:tc>
                <w:tcPr/>
                <w:p>
                  <w:pPr>
                    <w:pStyle w:val="Compact"/>
                    <w:jc w:val="left"/>
                    <w:jc w:val="center"/>
                  </w:pPr>
                  <w:r>
                    <w:t xml:space="preserve">Hastings (2022)</w:t>
                  </w:r>
                </w:p>
              </w:tc>
              <w:tc>
                <w:tcPr/>
                <w:p>
                  <w:pPr>
                    <w:pStyle w:val="Compact"/>
                    <w:jc w:val="left"/>
                    <w:jc w:val="center"/>
                  </w:pPr>
                  <w:r>
                    <w:t xml:space="preserve">CEX</w:t>
                  </w:r>
                </w:p>
              </w:tc>
              <w:tc>
                <w:tcPr/>
                <w:p>
                  <w:pPr>
                    <w:pStyle w:val="Compact"/>
                    <w:jc w:val="left"/>
                    <w:jc w:val="center"/>
                  </w:pPr>
                  <w:r>
                    <w:t xml:space="preserve">. Both sociodemographic and economic</w:t>
                  </w:r>
                  <w:r>
                    <w:t xml:space="preserve"> </w:t>
                  </w:r>
                  <w:r>
                    <w:t xml:space="preserve">factors play a substantial role in</w:t>
                  </w:r>
                  <w:r>
                    <w:t xml:space="preserve"> </w:t>
                  </w:r>
                  <w:r>
                    <w:t xml:space="preserve">these differenCEX, and the racial and</w:t>
                  </w:r>
                  <w:r>
                    <w:t xml:space="preserve"> </w:t>
                  </w:r>
                  <w:r>
                    <w:t xml:space="preserve">ethnic gaps in parental investments</w:t>
                  </w:r>
                  <w:r>
                    <w:t xml:space="preserve"> </w:t>
                  </w:r>
                  <w:r>
                    <w:t xml:space="preserve">of money are nearly eliminated when</w:t>
                  </w:r>
                  <w:r>
                    <w:t xml:space="preserve"> </w:t>
                  </w:r>
                  <w:r>
                    <w:t xml:space="preserve">both are accounted for</w:t>
                  </w:r>
                </w:p>
              </w:tc>
            </w:tr>
            <w:tr>
              <w:tc>
                <w:tcPr/>
                <w:p>
                  <w:pPr>
                    <w:pStyle w:val="Compact"/>
                    <w:jc w:val="left"/>
                    <w:jc w:val="center"/>
                  </w:pPr>
                  <w:r>
                    <w:t xml:space="preserve">The role of</w:t>
                  </w:r>
                  <w:r>
                    <w:t xml:space="preserve"> </w:t>
                  </w:r>
                  <w:r>
                    <w:t xml:space="preserve">household modality</w:t>
                  </w:r>
                  <w:r>
                    <w:t xml:space="preserve"> </w:t>
                  </w:r>
                  <w:r>
                    <w:t xml:space="preserve">style in first and</w:t>
                  </w:r>
                  <w:r>
                    <w:t xml:space="preserve"> </w:t>
                  </w:r>
                  <w:r>
                    <w:t xml:space="preserve">last mile travel</w:t>
                  </w:r>
                  <w:r>
                    <w:t xml:space="preserve"> </w:t>
                  </w:r>
                  <w:r>
                    <w:t xml:space="preserve">mode choice</w:t>
                  </w:r>
                </w:p>
              </w:tc>
              <w:tc>
                <w:tcPr/>
                <w:p>
                  <w:pPr>
                    <w:pStyle w:val="Compact"/>
                    <w:jc w:val="left"/>
                    <w:jc w:val="center"/>
                  </w:pPr>
                  <w:r>
                    <w:t xml:space="preserve">Lu et al. (2022)</w:t>
                  </w:r>
                </w:p>
              </w:tc>
              <w:tc>
                <w:tcPr/>
                <w:p>
                  <w:pPr>
                    <w:pStyle w:val="Compact"/>
                    <w:jc w:val="left"/>
                    <w:jc w:val="center"/>
                  </w:pPr>
                  <w:r>
                    <w:t xml:space="preserve">Southeast</w:t>
                  </w:r>
                  <w:r>
                    <w:t xml:space="preserve"> </w:t>
                  </w:r>
                  <w:r>
                    <w:t xml:space="preserve">Queensland</w:t>
                  </w:r>
                  <w:r>
                    <w:t xml:space="preserve"> </w:t>
                  </w:r>
                  <w:r>
                    <w:t xml:space="preserve">Travel Survey</w:t>
                  </w:r>
                  <w:r>
                    <w:t xml:space="preserve"> </w:t>
                  </w:r>
                  <w:r>
                    <w:t xml:space="preserve">(SEQTS)</w:t>
                  </w:r>
                </w:p>
              </w:tc>
              <w:tc>
                <w:tcPr/>
                <w:p>
                  <w:pPr>
                    <w:pStyle w:val="Compact"/>
                    <w:jc w:val="left"/>
                    <w:jc w:val="center"/>
                  </w:pPr>
                  <w:r>
                    <w:t xml:space="preserve">joint travel contributes least to</w:t>
                  </w:r>
                  <w:r>
                    <w:t xml:space="preserve"> </w:t>
                  </w:r>
                  <w:r>
                    <w:t xml:space="preserve">modal shift from car to active</w:t>
                  </w:r>
                  <w:r>
                    <w:t xml:space="preserve"> </w:t>
                  </w:r>
                  <w:r>
                    <w:t xml:space="preserve">transport when there is improved</w:t>
                  </w:r>
                  <w:r>
                    <w:t xml:space="preserve"> </w:t>
                  </w:r>
                  <w:r>
                    <w:t xml:space="preserve">infrastructure of trains and things</w:t>
                  </w:r>
                </w:p>
              </w:tc>
            </w:tr>
            <w:tr>
              <w:tc>
                <w:tcPr/>
                <w:p>
                  <w:pPr>
                    <w:pStyle w:val="Compact"/>
                    <w:jc w:val="left"/>
                    <w:jc w:val="center"/>
                  </w:pPr>
                  <w:r>
                    <w:t xml:space="preserve">A review of the</w:t>
                  </w:r>
                  <w:r>
                    <w:t xml:space="preserve"> </w:t>
                  </w:r>
                  <w:r>
                    <w:t xml:space="preserve">socio-demographic</w:t>
                  </w:r>
                  <w:r>
                    <w:t xml:space="preserve"> </w:t>
                  </w:r>
                  <w:r>
                    <w:t xml:space="preserve">characteristics</w:t>
                  </w:r>
                  <w:r>
                    <w:t xml:space="preserve"> </w:t>
                  </w:r>
                  <w:r>
                    <w:t xml:space="preserve">affecting the demand</w:t>
                  </w:r>
                  <w:r>
                    <w:t xml:space="preserve"> </w:t>
                  </w:r>
                  <w:r>
                    <w:t xml:space="preserve">for different</w:t>
                  </w:r>
                  <w:r>
                    <w:t xml:space="preserve"> </w:t>
                  </w:r>
                  <w:r>
                    <w:t xml:space="preserve">car-sharing</w:t>
                  </w:r>
                  <w:r>
                    <w:t xml:space="preserve"> </w:t>
                  </w:r>
                  <w:r>
                    <w:t xml:space="preserve">operational schemes</w:t>
                  </w:r>
                </w:p>
              </w:tc>
              <w:tc>
                <w:tcPr/>
                <w:p>
                  <w:pPr>
                    <w:pStyle w:val="Compact"/>
                    <w:jc w:val="left"/>
                    <w:jc w:val="center"/>
                  </w:pPr>
                  <w:r>
                    <w:t xml:space="preserve">Amirnazmiafshar and Diana (2022)</w:t>
                  </w:r>
                </w:p>
              </w:tc>
              <w:tc>
                <w:tcPr/>
                <w:p>
                  <w:pPr>
                    <w:pStyle w:val="Compact"/>
                    <w:jc w:val="left"/>
                    <w:jc w:val="center"/>
                  </w:pPr>
                  <w:r>
                    <w:t xml:space="preserve">NA</w:t>
                  </w:r>
                </w:p>
              </w:tc>
              <w:tc>
                <w:tcPr/>
                <w:p>
                  <w:pPr>
                    <w:pStyle w:val="Compact"/>
                    <w:jc w:val="left"/>
                    <w:jc w:val="center"/>
                  </w:pPr>
                  <w:r>
                    <w:t xml:space="preserve">There are lots of factors that might</w:t>
                  </w:r>
                  <w:r>
                    <w:t xml:space="preserve"> </w:t>
                  </w:r>
                  <w:r>
                    <w:t xml:space="preserve">affect people’s willingness to use</w:t>
                  </w:r>
                  <w:r>
                    <w:t xml:space="preserve"> </w:t>
                  </w:r>
                  <w:r>
                    <w:t xml:space="preserve">car sharing</w:t>
                  </w:r>
                </w:p>
              </w:tc>
            </w:tr>
            <w:tr>
              <w:tc>
                <w:tcPr/>
                <w:p>
                  <w:pPr>
                    <w:pStyle w:val="Compact"/>
                    <w:jc w:val="left"/>
                    <w:jc w:val="center"/>
                  </w:pPr>
                  <w:r>
                    <w:t xml:space="preserve">Estimating</w:t>
                  </w:r>
                  <w:r>
                    <w:t xml:space="preserve"> </w:t>
                  </w:r>
                  <w:r>
                    <w:t xml:space="preserve">Expenditures on</w:t>
                  </w:r>
                  <w:r>
                    <w:t xml:space="preserve"> </w:t>
                  </w:r>
                  <w:r>
                    <w:t xml:space="preserve">Children by Families</w:t>
                  </w:r>
                  <w:r>
                    <w:t xml:space="preserve"> </w:t>
                  </w:r>
                  <w:r>
                    <w:t xml:space="preserve">in Canada, 2014 to</w:t>
                  </w:r>
                  <w:r>
                    <w:t xml:space="preserve"> </w:t>
                  </w:r>
                  <w:r>
                    <w:t xml:space="preserve">2017</w:t>
                  </w:r>
                </w:p>
              </w:tc>
              <w:tc>
                <w:tcPr/>
                <w:p>
                  <w:pPr>
                    <w:pStyle w:val="Compact"/>
                    <w:jc w:val="left"/>
                    <w:jc w:val="center"/>
                  </w:pPr>
                  <w:r>
                    <w:t xml:space="preserve">Duncan, Frank, and Guèvremont (2023)</w:t>
                  </w:r>
                </w:p>
              </w:tc>
              <w:tc>
                <w:tcPr/>
                <w:p>
                  <w:pPr>
                    <w:pStyle w:val="Compact"/>
                    <w:jc w:val="left"/>
                    <w:jc w:val="center"/>
                  </w:pPr>
                  <w:r>
                    <w:t xml:space="preserve">Survey of</w:t>
                  </w:r>
                  <w:r>
                    <w:t xml:space="preserve"> </w:t>
                  </w:r>
                  <w:r>
                    <w:t xml:space="preserve">Household</w:t>
                  </w:r>
                  <w:r>
                    <w:t xml:space="preserve"> </w:t>
                  </w:r>
                  <w:r>
                    <w:t xml:space="preserve">Spending (SHS)</w:t>
                  </w:r>
                </w:p>
              </w:tc>
              <w:tc>
                <w:tcPr/>
                <w:p>
                  <w:pPr>
                    <w:pStyle w:val="Compact"/>
                    <w:jc w:val="left"/>
                    <w:jc w:val="center"/>
                  </w:pPr>
                  <w:r>
                    <w:t xml:space="preserve">The more income, the more spending on</w:t>
                  </w:r>
                  <w:r>
                    <w:t xml:space="preserve"> </w:t>
                  </w:r>
                  <w:r>
                    <w:t xml:space="preserve">kids.</w:t>
                  </w:r>
                </w:p>
              </w:tc>
            </w:tr>
            <w:tr>
              <w:tc>
                <w:tcPr/>
                <w:p>
                  <w:pPr>
                    <w:pStyle w:val="Compact"/>
                    <w:jc w:val="left"/>
                    <w:jc w:val="center"/>
                  </w:pPr>
                  <w:r>
                    <w:t xml:space="preserve">A New Approach to</w:t>
                  </w:r>
                  <w:r>
                    <w:t xml:space="preserve"> </w:t>
                  </w:r>
                  <w:r>
                    <w:t xml:space="preserve">Understanding the</w:t>
                  </w:r>
                  <w:r>
                    <w:t xml:space="preserve"> </w:t>
                  </w:r>
                  <w:r>
                    <w:t xml:space="preserve">Impact of Automobile</w:t>
                  </w:r>
                  <w:r>
                    <w:t xml:space="preserve"> </w:t>
                  </w:r>
                  <w:r>
                    <w:t xml:space="preserve">Ownership on</w:t>
                  </w:r>
                  <w:r>
                    <w:t xml:space="preserve"> </w:t>
                  </w:r>
                  <w:r>
                    <w:t xml:space="preserve">Transportation</w:t>
                  </w:r>
                  <w:r>
                    <w:t xml:space="preserve"> </w:t>
                  </w:r>
                  <w:r>
                    <w:t xml:space="preserve">Equity</w:t>
                  </w:r>
                </w:p>
              </w:tc>
              <w:tc>
                <w:tcPr/>
                <w:p>
                  <w:pPr>
                    <w:pStyle w:val="Compact"/>
                    <w:jc w:val="left"/>
                    <w:jc w:val="center"/>
                  </w:pPr>
                  <w:r>
                    <w:t xml:space="preserve">Molloy, Garrick, and Atkinson-Palombo (2024)</w:t>
                  </w:r>
                </w:p>
              </w:tc>
              <w:tc>
                <w:tcPr/>
                <w:p>
                  <w:pPr>
                    <w:pStyle w:val="Compact"/>
                    <w:jc w:val="left"/>
                    <w:jc w:val="center"/>
                  </w:pPr>
                  <w:r>
                    <w:t xml:space="preserve">CEX</w:t>
                  </w:r>
                </w:p>
              </w:tc>
              <w:tc>
                <w:tcPr/>
                <w:p>
                  <w:pPr>
                    <w:pStyle w:val="Compact"/>
                    <w:jc w:val="left"/>
                    <w:jc w:val="center"/>
                  </w:pPr>
                  <w:r>
                    <w:t xml:space="preserve">“Captive Riders”</w:t>
                  </w:r>
                  <w:r>
                    <w:t xml:space="preserve"> </w:t>
                  </w:r>
                  <w:r>
                    <w:t xml:space="preserve">have less spending</w:t>
                  </w:r>
                  <w:r>
                    <w:t xml:space="preserve"> </w:t>
                  </w:r>
                  <w:r>
                    <w:t xml:space="preserve">allocated to transportation than</w:t>
                  </w:r>
                  <w:r>
                    <w:t xml:space="preserve"> </w:t>
                  </w:r>
                  <w:r>
                    <w:t xml:space="preserve">captive drivers.</w:t>
                  </w:r>
                </w:p>
              </w:tc>
            </w:tr>
            <w:tr>
              <w:tc>
                <w:tcPr/>
                <w:p>
                  <w:pPr>
                    <w:pStyle w:val="Compact"/>
                    <w:jc w:val="left"/>
                    <w:jc w:val="center"/>
                  </w:pPr>
                  <w:r>
                    <w:t xml:space="preserve">Transportation</w:t>
                  </w:r>
                  <w:r>
                    <w:t xml:space="preserve"> </w:t>
                  </w:r>
                  <w:r>
                    <w:t xml:space="preserve">Statistics Annual</w:t>
                  </w:r>
                  <w:r>
                    <w:t xml:space="preserve"> </w:t>
                  </w:r>
                  <w:r>
                    <w:t xml:space="preserve">Report 2024</w:t>
                  </w:r>
                </w:p>
              </w:tc>
              <w:tc>
                <w:tcPr/>
                <w:p>
                  <w:pPr>
                    <w:pStyle w:val="Compact"/>
                    <w:jc w:val="left"/>
                    <w:jc w:val="center"/>
                  </w:pPr>
                  <w:r>
                    <w:t xml:space="preserve">Bureau of Transportation Statistics (2024)</w:t>
                  </w:r>
                </w:p>
              </w:tc>
              <w:tc>
                <w:tcPr/>
                <w:p>
                  <w:pPr>
                    <w:pStyle w:val="Compact"/>
                    <w:jc w:val="left"/>
                    <w:jc w:val="center"/>
                  </w:pPr>
                  <w:r>
                    <w:t xml:space="preserve">CEX and others</w:t>
                  </w:r>
                </w:p>
              </w:tc>
              <w:tc>
                <w:tcPr/>
                <w:p>
                  <w:pPr>
                    <w:pStyle w:val="Compact"/>
                    <w:jc w:val="left"/>
                    <w:jc w:val="center"/>
                  </w:pPr>
                  <w:r>
                    <w:t xml:space="preserve">Lots of summaries</w:t>
                  </w:r>
                </w:p>
              </w:tc>
            </w:tr>
            <w:tr>
              <w:tc>
                <w:tcPr/>
                <w:p>
                  <w:pPr>
                    <w:pStyle w:val="Compact"/>
                    <w:jc w:val="left"/>
                    <w:jc w:val="center"/>
                  </w:pPr>
                  <w:r>
                    <w:t xml:space="preserve">A STUDY OF SPENDING,</w:t>
                  </w:r>
                  <w:r>
                    <w:t xml:space="preserve"> </w:t>
                  </w:r>
                  <w:r>
                    <w:t xml:space="preserve">SAVING AND</w:t>
                  </w:r>
                  <w:r>
                    <w:t xml:space="preserve"> </w:t>
                  </w:r>
                  <w:r>
                    <w:t xml:space="preserve">INVESTMENT PATTERNS</w:t>
                  </w:r>
                  <w:r>
                    <w:t xml:space="preserve"> </w:t>
                  </w:r>
                  <w:r>
                    <w:t xml:space="preserve">OF MARRIED COUPLES</w:t>
                  </w:r>
                  <w:r>
                    <w:t xml:space="preserve"> </w:t>
                  </w:r>
                  <w:r>
                    <w:t xml:space="preserve">WITH</w:t>
                  </w:r>
                  <w:r>
                    <w:t xml:space="preserve"> </w:t>
                  </w:r>
                  <w:r>
                    <w:t xml:space="preserve">CHILDREN(NON-DINK)</w:t>
                  </w:r>
                  <w:r>
                    <w:t xml:space="preserve"> </w:t>
                  </w:r>
                  <w:r>
                    <w:t xml:space="preserve">IN MUMBAI</w:t>
                  </w:r>
                </w:p>
              </w:tc>
              <w:tc>
                <w:tcPr/>
                <w:p>
                  <w:pPr>
                    <w:pStyle w:val="Compact"/>
                    <w:jc w:val="left"/>
                    <w:jc w:val="center"/>
                  </w:pPr>
                  <w:r>
                    <w:t xml:space="preserve">Hargunani, Vernekar, and Vernekar (2024)</w:t>
                  </w:r>
                </w:p>
              </w:tc>
              <w:tc>
                <w:tcPr/>
                <w:p>
                  <w:pPr>
                    <w:pStyle w:val="Compact"/>
                    <w:jc w:val="left"/>
                    <w:jc w:val="center"/>
                  </w:pPr>
                  <w:r>
                    <w:t xml:space="preserve">Data from</w:t>
                  </w:r>
                  <w:r>
                    <w:t xml:space="preserve"> </w:t>
                  </w:r>
                  <w:r>
                    <w:t xml:space="preserve">Mumbai</w:t>
                  </w:r>
                </w:p>
              </w:tc>
              <w:tc>
                <w:tcPr/>
                <w:p>
                  <w:pPr>
                    <w:pStyle w:val="Compact"/>
                    <w:jc w:val="left"/>
                    <w:jc w:val="center"/>
                  </w:pPr>
                  <w:r>
                    <w:t xml:space="preserve">The data analysis reveals distinct</w:t>
                  </w:r>
                  <w:r>
                    <w:t xml:space="preserve"> </w:t>
                  </w:r>
                  <w:r>
                    <w:t xml:space="preserve">spending, saving, and investment</w:t>
                  </w:r>
                  <w:r>
                    <w:t xml:space="preserve"> </w:t>
                  </w:r>
                  <w:r>
                    <w:t xml:space="preserve">patterns among married couples, with</w:t>
                  </w:r>
                  <w:r>
                    <w:t xml:space="preserve"> </w:t>
                  </w:r>
                  <w:r>
                    <w:t xml:space="preserve">a clear prioritization towards</w:t>
                  </w:r>
                  <w:r>
                    <w:t xml:space="preserve"> </w:t>
                  </w:r>
                  <w:r>
                    <w:t xml:space="preserve">ensuring the well-being and future</w:t>
                  </w:r>
                  <w:r>
                    <w:t xml:space="preserve"> </w:t>
                  </w:r>
                  <w:r>
                    <w:t xml:space="preserve">security of their families.”</w:t>
                  </w:r>
                </w:p>
              </w:tc>
            </w:tr>
            <w:tr>
              <w:tc>
                <w:tcPr/>
                <w:p>
                  <w:pPr>
                    <w:pStyle w:val="Compact"/>
                    <w:jc w:val="left"/>
                    <w:jc w:val="center"/>
                  </w:pPr>
                  <w:r>
                    <w:t xml:space="preserve">Subsidizing Car</w:t>
                  </w:r>
                  <w:r>
                    <w:t xml:space="preserve"> </w:t>
                  </w:r>
                  <w:r>
                    <w:t xml:space="preserve">Ownership for</w:t>
                  </w:r>
                  <w:r>
                    <w:t xml:space="preserve"> </w:t>
                  </w:r>
                  <w:r>
                    <w:t xml:space="preserve">Low-Income</w:t>
                  </w:r>
                  <w:r>
                    <w:t xml:space="preserve"> </w:t>
                  </w:r>
                  <w:r>
                    <w:t xml:space="preserve">Individuals and</w:t>
                  </w:r>
                  <w:r>
                    <w:t xml:space="preserve"> </w:t>
                  </w:r>
                  <w:r>
                    <w:t xml:space="preserve">Households</w:t>
                  </w:r>
                </w:p>
              </w:tc>
              <w:tc>
                <w:tcPr/>
                <w:p>
                  <w:pPr>
                    <w:pStyle w:val="Compact"/>
                    <w:jc w:val="left"/>
                    <w:jc w:val="center"/>
                  </w:pPr>
                  <w:r>
                    <w:t xml:space="preserve">Klein (2024)</w:t>
                  </w:r>
                </w:p>
              </w:tc>
              <w:tc>
                <w:tcPr/>
                <w:p>
                  <w:pPr>
                    <w:pStyle w:val="Compact"/>
                    <w:jc w:val="left"/>
                    <w:jc w:val="center"/>
                  </w:pPr>
                  <w:r>
                    <w:t xml:space="preserve">Personal</w:t>
                  </w:r>
                  <w:r>
                    <w:t xml:space="preserve"> </w:t>
                  </w:r>
                  <w:r>
                    <w:t xml:space="preserve">Survey Created</w:t>
                  </w:r>
                  <w:r>
                    <w:t xml:space="preserve"> </w:t>
                  </w:r>
                  <w:r>
                    <w:t xml:space="preserve">by Dr. Klein</w:t>
                  </w:r>
                </w:p>
              </w:tc>
              <w:tc>
                <w:tcPr/>
                <w:p>
                  <w:pPr>
                    <w:pStyle w:val="Compact"/>
                    <w:jc w:val="left"/>
                    <w:jc w:val="center"/>
                  </w:pPr>
                  <w:r>
                    <w:t xml:space="preserve">Having a car gave people more</w:t>
                  </w:r>
                  <w:r>
                    <w:t xml:space="preserve"> </w:t>
                  </w:r>
                  <w:r>
                    <w:t xml:space="preserve">opportunities than before, and they</w:t>
                  </w:r>
                  <w:r>
                    <w:t xml:space="preserve"> </w:t>
                  </w:r>
                  <w:r>
                    <w:t xml:space="preserve">usually had more time to spend with</w:t>
                  </w:r>
                  <w:r>
                    <w:t xml:space="preserve"> </w:t>
                  </w:r>
                  <w:r>
                    <w:t xml:space="preserve">the family. At the beginning and end</w:t>
                  </w:r>
                  <w:r>
                    <w:t xml:space="preserve"> </w:t>
                  </w:r>
                  <w:r>
                    <w:t xml:space="preserve">of the day.</w:t>
                  </w:r>
                </w:p>
              </w:tc>
            </w:tr>
            <w:tr>
              <w:tc>
                <w:tcPr/>
                <w:p>
                  <w:pPr>
                    <w:pStyle w:val="Compact"/>
                    <w:jc w:val="left"/>
                    <w:jc w:val="center"/>
                  </w:pPr>
                  <w:r>
                    <w:t xml:space="preserve">Investigating the</w:t>
                  </w:r>
                  <w:r>
                    <w:t xml:space="preserve"> </w:t>
                  </w:r>
                  <w:r>
                    <w:t xml:space="preserve">effects of</w:t>
                  </w:r>
                  <w:r>
                    <w:t xml:space="preserve"> </w:t>
                  </w:r>
                  <w:r>
                    <w:t xml:space="preserve">ridesourcing on the</w:t>
                  </w:r>
                  <w:r>
                    <w:t xml:space="preserve"> </w:t>
                  </w:r>
                  <w:r>
                    <w:t xml:space="preserve">dynamics of</w:t>
                  </w:r>
                  <w:r>
                    <w:t xml:space="preserve"> </w:t>
                  </w:r>
                  <w:r>
                    <w:t xml:space="preserve">household car</w:t>
                  </w:r>
                  <w:r>
                    <w:t xml:space="preserve"> </w:t>
                  </w:r>
                  <w:r>
                    <w:t xml:space="preserve">ownership</w:t>
                  </w:r>
                </w:p>
              </w:tc>
              <w:tc>
                <w:tcPr/>
                <w:p>
                  <w:pPr>
                    <w:pStyle w:val="Compact"/>
                    <w:jc w:val="left"/>
                    <w:jc w:val="center"/>
                  </w:pPr>
                  <w:r>
                    <w:t xml:space="preserve">Bilgin et al. (2025)</w:t>
                  </w:r>
                </w:p>
              </w:tc>
              <w:tc>
                <w:tcPr/>
                <w:p>
                  <w:pPr>
                    <w:pStyle w:val="Compact"/>
                    <w:jc w:val="left"/>
                    <w:jc w:val="center"/>
                  </w:pPr>
                  <w:r>
                    <w:t xml:space="preserve">United Kingdom</w:t>
                  </w:r>
                  <w:r>
                    <w:t xml:space="preserve"> </w:t>
                  </w:r>
                  <w:r>
                    <w:t xml:space="preserve">Household</w:t>
                  </w:r>
                  <w:r>
                    <w:t xml:space="preserve"> </w:t>
                  </w:r>
                  <w:r>
                    <w:t xml:space="preserve">Longitudinal</w:t>
                  </w:r>
                  <w:r>
                    <w:t xml:space="preserve"> </w:t>
                  </w:r>
                  <w:r>
                    <w:t xml:space="preserve">Study</w:t>
                  </w:r>
                </w:p>
              </w:tc>
              <w:tc>
                <w:tcPr/>
                <w:p>
                  <w:pPr>
                    <w:pStyle w:val="Compact"/>
                    <w:jc w:val="left"/>
                    <w:jc w:val="center"/>
                  </w:pPr>
                  <w:r>
                    <w:t xml:space="preserve">Suggests that households are less</w:t>
                  </w:r>
                  <w:r>
                    <w:t xml:space="preserve"> </w:t>
                  </w:r>
                  <w:r>
                    <w:t xml:space="preserve">likely to qcquire a car in the</w:t>
                  </w:r>
                  <w:r>
                    <w:t xml:space="preserve"> </w:t>
                  </w:r>
                  <w:r>
                    <w:t xml:space="preserve">presence of ridesourcing, but car</w:t>
                  </w:r>
                  <w:r>
                    <w:t xml:space="preserve"> </w:t>
                  </w:r>
                  <w:r>
                    <w:t xml:space="preserve">disposal is mainly driven by</w:t>
                  </w:r>
                  <w:r>
                    <w:t xml:space="preserve"> </w:t>
                  </w:r>
                  <w:r>
                    <w:t xml:space="preserve">household compositions and</w:t>
                  </w:r>
                  <w:r>
                    <w:t xml:space="preserve"> </w:t>
                  </w:r>
                  <w:r>
                    <w:t xml:space="preserve">residential relocation factors.</w:t>
                  </w:r>
                </w:p>
              </w:tc>
            </w:tr>
          </w:tbl>
          <w:bookmarkEnd w:id="22"/>
          <w:p/>
        </w:tc>
      </w:tr>
    </w:tbl>
    <w:p>
      <w:pPr>
        <w:pStyle w:val="BodyText"/>
      </w:pPr>
      <w:r>
        <w:rPr>
          <w:vertAlign w:val="subscript"/>
        </w:rPr>
        <w:t xml:space="preserve">Source:</w:t>
      </w:r>
      <w:r>
        <w:rPr>
          <w:vertAlign w:val="subscript"/>
        </w:rPr>
        <w:t xml:space="preserve"> </w:t>
      </w:r>
      <w:hyperlink r:id="rId23">
        <w:r>
          <w:rPr>
            <w:rStyle w:val="Hyperlink"/>
            <w:vertAlign w:val="subscript"/>
          </w:rPr>
          <w:t xml:space="preserve">Lit Review Table</w:t>
        </w:r>
      </w:hyperlink>
    </w:p>
    <w:p>
      <w:pPr>
        <w:pStyle w:val="BodyText"/>
      </w:pPr>
      <w:r>
        <w:t xml:space="preserve">The literature relating to this study has been classified into four groups: (1) Family Choices and Activity Patterns, (2) Family Transportation Choices, (3) Family Spending and Budgets, and (4) Family Transportation Budgets. The following sections describe the relevant findings from literature in each of these groups.</w:t>
      </w:r>
    </w:p>
    <w:bookmarkStart w:id="24" w:name="family-choices-and-activity-patterns"/>
    <w:p>
      <w:pPr>
        <w:pStyle w:val="Heading3"/>
      </w:pPr>
      <w:r>
        <w:t xml:space="preserve">2.1 Family Choices and Activity Patterns</w:t>
      </w:r>
    </w:p>
    <w:p>
      <w:pPr>
        <w:pStyle w:val="FirstParagraph"/>
      </w:pPr>
      <w:r>
        <w:t xml:space="preserve">There have been many studies done on the choices and activities of families</w:t>
      </w:r>
      <w:r>
        <w:t xml:space="preserve"> </w:t>
      </w:r>
      <w:r>
        <w:t xml:space="preserve">(see Sener and Bhat 2007; Rachel B. Copperman and Bhat 2007b; Sener et al. 2008; Leung et al. 2019)</w:t>
      </w:r>
      <w:r>
        <w:t xml:space="preserve">. These studies often focus on the activities choices of households and children.</w:t>
      </w:r>
    </w:p>
    <w:p>
      <w:pPr>
        <w:pStyle w:val="BodyText"/>
      </w:pPr>
      <w:r>
        <w:t xml:space="preserve">Paleti, Copperman, and Bhat (2011)</w:t>
      </w:r>
      <w:r>
        <w:t xml:space="preserve"> </w:t>
      </w:r>
      <w:r>
        <w:t xml:space="preserve">performed a study where they wanted to characterize the activity patterns of children after school. Their data were gathered from the Child Development Supplement to the Panel Study of Income Dynamics which has household demographics and time-use diaries for children. They looked at travel patterns using combinations of three activity-travel scenarios: staying at school, going home from school, and going somewhere else after school. They further identified specific after-school activities (e.g. Organized activities at school, recreation at the home of someone else, meals at restaurants, etc.) to use in a multiple discrete-continuous extreme value (MDCEV) model. The MDCEV is a type of discrete choice model that works when multiple options can be chosen, and was used to find predictors of children’s participation in the different after school activities. In their analysis, they found that 57.7% of children in the survey participated in at least one out-of-home activity after school. They also found that children’s activities were connected to household income, family dynamics, environment, and other things. For example, children in households with higher income were more likely to participate in activities after school. Children with no siblings along with children having a working primary caregiver were more likely to stay at school or go somewhere besides home directly after school. Children living close to a large city were less likely to go somewhere after school, go home, and then go back out. The findings of this study show the variety of factors that might affect a family’s activity, and therefore transportation, patterns.</w:t>
      </w:r>
    </w:p>
    <w:p>
      <w:pPr>
        <w:pStyle w:val="BodyText"/>
      </w:pPr>
      <w:r>
        <w:t xml:space="preserve">Another study on family choices was done by</w:t>
      </w:r>
      <w:r>
        <w:t xml:space="preserve"> </w:t>
      </w:r>
      <w:r>
        <w:t xml:space="preserve">Bernardo et al. (2015)</w:t>
      </w:r>
      <w:r>
        <w:t xml:space="preserve">. They used the American Time Use Survey and a Multiple Discrete Continuous Nested Extreme Value (MDCNEV) model to examine the activities of duel-earner households. The variables they used relate to household demographics, respondent demographics, couple characteristics, and day of the week. Findings indicated that women are more likely to participate in out-of-home maintenance, shopping, and social activities than men. They also found that respondents with higher education and with children are more likely to work from home. One key finding of this study is that couples with children are much less likely to participate in out-of-home, non-work activities.</w:t>
      </w:r>
    </w:p>
    <w:bookmarkEnd w:id="24"/>
    <w:bookmarkStart w:id="25" w:name="family-transportation-choices"/>
    <w:p>
      <w:pPr>
        <w:pStyle w:val="Heading3"/>
      </w:pPr>
      <w:r>
        <w:t xml:space="preserve">2.2 Family Transportation Choices</w:t>
      </w:r>
    </w:p>
    <w:p>
      <w:pPr>
        <w:pStyle w:val="FirstParagraph"/>
      </w:pPr>
      <w:r>
        <w:t xml:space="preserve">Among the studies on family choices is a group of studies that focus on family transportation choices</w:t>
      </w:r>
      <w:r>
        <w:t xml:space="preserve"> </w:t>
      </w:r>
      <w:r>
        <w:t xml:space="preserve">(Rachel B. Copperman and Bhat 2007a; Souche 2010; Lu et al. 2022; Amirnazmiafshar and Diana 2022)</w:t>
      </w:r>
      <w:r>
        <w:t xml:space="preserve">. These studies look at the connection between family mobility and family decisions.</w:t>
      </w:r>
    </w:p>
    <w:p>
      <w:pPr>
        <w:pStyle w:val="BodyText"/>
      </w:pPr>
      <w:r>
        <w:t xml:space="preserve">McCarthy et al. (2017)</w:t>
      </w:r>
      <w:r>
        <w:t xml:space="preserve"> </w:t>
      </w:r>
      <w:r>
        <w:t xml:space="preserve">is a literature review with some good findings, but I don’t know if I should site the literature review or if I should find individual papers from the review to talk about.</w:t>
      </w:r>
    </w:p>
    <w:p>
      <w:pPr>
        <w:pStyle w:val="BodyText"/>
      </w:pPr>
      <w:r>
        <w:t xml:space="preserve">A unique study to understand the effects car ownership has on household decisions was done by Nicholas</w:t>
      </w:r>
      <w:r>
        <w:t xml:space="preserve"> </w:t>
      </w:r>
      <w:r>
        <w:t xml:space="preserve">Klein (2024)</w:t>
      </w:r>
      <w:r>
        <w:t xml:space="preserve">. In order to understand how access to a car can effect a family in the United States, he interviewed 30 people in Maryland and Virginia who received a subsidized car. Two main findings of this study relate to travel behavior changes and access to opportunities. The people interviewed generally changed their travel behavior in similar ways after receiving a car. Before receiving the car, they would rely on public transit and others for transportation, but after receiving a car, they made many trips in their own cars, including some trips that they had to forgo before having a car. Another general conclusion Klein makes is that people had more access to opportunities after receiving a car. They had easier access to more potential jobs, but some also mentioned the ability to get more hours at the their current jobs. With less reliance on public transit, many respondents spent more time with their families at the beginning and end of the day.</w:t>
      </w:r>
    </w:p>
    <w:p>
      <w:pPr>
        <w:pStyle w:val="BodyText"/>
      </w:pPr>
      <w:r>
        <w:t xml:space="preserve">Another study interested in car ownership was done by @bilgin_investigating_2025. They analyzed car ownership across multiple years using the United Kingdom Household Longitudinal Study dataset to see if ridesourcing availability affects car ownership. They used two fixed effects logit models: one to model the effect of ridesourcing on the decision to increase the number of cars in the household and the other to model the effect of ridesourcing on the decision to decrease the number of cars in the household. Their results suggested that households with more than one car are more likely to get rid of a car and less likely to add a car compared to households with one car. Even with this tendency, their models did not show a strong connection between the presence of ride sourcing and changes in car ownership. They concluded that changes in household composition have a stronger impact on the change in number of cars of a household.</w:t>
      </w:r>
    </w:p>
    <w:bookmarkEnd w:id="25"/>
    <w:bookmarkStart w:id="26" w:name="family-spending-and-budgets"/>
    <w:p>
      <w:pPr>
        <w:pStyle w:val="Heading3"/>
      </w:pPr>
      <w:r>
        <w:t xml:space="preserve">2.3 Family Spending and Budgets</w:t>
      </w:r>
    </w:p>
    <w:p>
      <w:pPr>
        <w:pStyle w:val="FirstParagraph"/>
      </w:pPr>
      <w:r>
        <w:t xml:space="preserve">Another set of studies focuses on household budgets and household spending patterns</w:t>
      </w:r>
      <w:r>
        <w:t xml:space="preserve"> </w:t>
      </w:r>
      <w:r>
        <w:t xml:space="preserve">(Skinner 1985; Nayga 1998; Fontes and Fan 2006; Sabelhaus et al. 2013)</w:t>
      </w:r>
      <w:r>
        <w:t xml:space="preserve">. Many of the studies reviewed had an emphasis on the budgets related to raising children.</w:t>
      </w:r>
      <w:r>
        <w:t xml:space="preserve"> </w:t>
      </w:r>
      <w:r>
        <w:t xml:space="preserve">Hargunani, Vernekar, and Vernekar (2024)</w:t>
      </w:r>
      <w:r>
        <w:t xml:space="preserve"> </w:t>
      </w:r>
      <w:r>
        <w:t xml:space="preserve">analyzed family spending patterns in Mumbai and concluded that many families focus their expenditures on the current and future wellbeing of their children. This is evidenced by money spent on basic necessities and setting aside money for the future.</w:t>
      </w:r>
    </w:p>
    <w:p>
      <w:pPr>
        <w:pStyle w:val="BodyText"/>
      </w:pPr>
      <w:r>
        <w:t xml:space="preserve">The United States Department of Agriculture (USDA) has produced reports that use the CEX to specifically analyze the costs of raising a child in the United States. The most recent report</w:t>
      </w:r>
      <w:r>
        <w:t xml:space="preserve"> </w:t>
      </w:r>
      <w:r>
        <w:t xml:space="preserve">(Lino et al. 2017)</w:t>
      </w:r>
      <w:r>
        <w:t xml:space="preserve"> </w:t>
      </w:r>
      <w:r>
        <w:t xml:space="preserve">found the top expenditure for married-couple families with two children to be housing. The rankings of other expenditures were different depending on the age of children, but food, child care/education, and transportation were always the next highest expenditures on children. Similar to the USDA report on the cost of raising children,</w:t>
      </w:r>
      <w:r>
        <w:t xml:space="preserve"> </w:t>
      </w:r>
      <w:r>
        <w:t xml:space="preserve">Osborne, Wu, and Benson (2021)</w:t>
      </w:r>
      <w:r>
        <w:t xml:space="preserve"> </w:t>
      </w:r>
      <w:r>
        <w:t xml:space="preserve">modeled the cost of raising children in Texas by following similar methodologies but using Texas-specific data for housing and childcare costs. They looked not only at married-couple families, but also at single-parent households and duel households where children spend time with both parents in different locations. They found differing expenditures on children among the different family make-ups and among different incomes.</w:t>
      </w:r>
    </w:p>
    <w:p>
      <w:pPr>
        <w:pStyle w:val="BodyText"/>
      </w:pPr>
      <w:r>
        <w:t xml:space="preserve">Other studies with similar analyses have had similar findings. @hastings_parental_2022 used the CEX to compare expenditures between different racial and ethnic groups. When controlling for both family characteristics and income, he found that there was not a significant difference in total expenditures on children among racial and ethnic groups. This suggests that income and family characteristics play a larger role in family budgeting than race and ethnicity.</w:t>
      </w:r>
      <w:r>
        <w:t xml:space="preserve"> </w:t>
      </w:r>
      <w:r>
        <w:t xml:space="preserve">Duncan, Frank, and Guèvremont (2023)</w:t>
      </w:r>
      <w:r>
        <w:t xml:space="preserve"> </w:t>
      </w:r>
      <w:r>
        <w:t xml:space="preserve">performed a study in Canada using the country’s Survey of Household Spending (SHS) to analyze family expenditures. They found similar results as previously mentioned studies. Different income groups had different amounts allocated to children, but housing was always the highest expenditure with food, child care/education, and transportation being the next highest expenditures.</w:t>
      </w:r>
    </w:p>
    <w:bookmarkEnd w:id="26"/>
    <w:bookmarkStart w:id="27" w:name="Xd1288d884f3dc96237b9e9be2fc26c9cbb851ba"/>
    <w:p>
      <w:pPr>
        <w:pStyle w:val="Heading3"/>
      </w:pPr>
      <w:r>
        <w:t xml:space="preserve">2.4 Family Transportation Expenses and Budgets</w:t>
      </w:r>
    </w:p>
    <w:p>
      <w:pPr>
        <w:pStyle w:val="FirstParagraph"/>
      </w:pPr>
      <w:r>
        <w:t xml:space="preserve">There have been many studies on family budgets and transportation expenses</w:t>
      </w:r>
      <w:r>
        <w:t xml:space="preserve"> </w:t>
      </w:r>
      <w:r>
        <w:t xml:space="preserve">(Morris and Wigan 1979; Blumenberg 2003; Hong et al. 2005; Thakuriah (Vonu) and Liao 2006; Choo, Lee, and Mokhtarian 2007; Haas et al. 2008; Ferdous et al. 2010)</w:t>
      </w:r>
      <w:r>
        <w:t xml:space="preserve">.</w:t>
      </w:r>
    </w:p>
    <w:p>
      <w:pPr>
        <w:pStyle w:val="BodyText"/>
      </w:pPr>
      <w:r>
        <w:t xml:space="preserve">One study focused on transportation budgets was done by</w:t>
      </w:r>
      <w:r>
        <w:t xml:space="preserve"> </w:t>
      </w:r>
      <w:r>
        <w:t xml:space="preserve">Thakuriah and Liao (2005)</w:t>
      </w:r>
      <w:r>
        <w:t xml:space="preserve">. Using CEX data, they made multiple models to analyze the expenditures related to vehicle ownership of households in the United States. In each model, they used a variety of variables (income, household demographics, spatial factors, economic factors, and family condition factors) to predict the amount of money a household spends on vehicles. Their model results indicate 18 percent of additional household expenditures is a vehicle expense. They results also indicate many factors influence household vehicle expenses. The models showed that homeowners spend more on vehicle expenses. They also showed that vehicle expenses are connected with the sex of the head of household and the number of people in the household.</w:t>
      </w:r>
    </w:p>
    <w:p>
      <w:pPr>
        <w:pStyle w:val="BodyText"/>
      </w:pPr>
      <w:r>
        <w:t xml:space="preserve">In a study by</w:t>
      </w:r>
      <w:r>
        <w:t xml:space="preserve"> </w:t>
      </w:r>
      <w:r>
        <w:t xml:space="preserve">Deka (2015)</w:t>
      </w:r>
      <w:r>
        <w:t xml:space="preserve">, they used two years of the CEX to see the connection between housing expenses and transportation expenses. They created three least squares models: one to describe expenditures in dollar amounts, one to describe expenditures as percentages of income, and one to describe expenditures as shares of total household expenditures. They found a positive association between transportation expenses and housing expenses. Similarly, share of income on transportation was positively affected by share of income on housing, but there was no significant evidence showing the share of income on housing being affected by share of income on transportation. Both housing and transportation expenditures were found to be higher for those living in single-family detached homes and lower for those living in older homes.</w:t>
      </w:r>
    </w:p>
    <w:p>
      <w:pPr>
        <w:pStyle w:val="BodyText"/>
      </w:pPr>
      <w:r>
        <w:t xml:space="preserve">Mattson (2020)</w:t>
      </w:r>
      <w:r>
        <w:t xml:space="preserve"> </w:t>
      </w:r>
      <w:r>
        <w:t xml:space="preserve">Mattson and Peterson (2019)</w:t>
      </w:r>
      <w:r>
        <w:t xml:space="preserve"> </w:t>
      </w:r>
      <w:r>
        <w:t xml:space="preserve">- single family homes spend more on transportation, higher income is correlated with higher transportation costs. - denser areas are more likely to use transit to commute. People in single-family homes tend to spend more money on transportation</w:t>
      </w:r>
    </w:p>
    <w:p>
      <w:pPr>
        <w:pStyle w:val="BodyText"/>
      </w:pPr>
      <w:r>
        <w:t xml:space="preserve">Mattson and Peterson (2019)</w:t>
      </w:r>
      <w:r>
        <w:t xml:space="preserve"> </w:t>
      </w:r>
      <w:r>
        <w:t xml:space="preserve">looked at how density, land use, transportation, and household expenditures are related. They developed a regression model using CEX data where transportation expenditures were estimated using type of housing, population, family characteristics, and other factors. Similar to other studies, they found that income is positively associated with transportation expenditures. Their model showed single-family homes to have higher transportation expenditures than other types of dwellings. Using data from the U.S. Census Bureau’s Annual Survey of State and Local Government Finances, they also created models to explore how land use might affect municipal spending. In these models, increase in density was associated with a decrease in many per capita operational costs, including fire protection, streets and highways, parks and recreation, and others.</w:t>
      </w:r>
    </w:p>
    <w:p>
      <w:pPr>
        <w:pStyle w:val="BodyText"/>
      </w:pPr>
      <w:r>
        <w:t xml:space="preserve">A similar study was published by</w:t>
      </w:r>
      <w:r>
        <w:t xml:space="preserve"> </w:t>
      </w:r>
      <w:r>
        <w:t xml:space="preserve">Mattson (2020)</w:t>
      </w:r>
      <w:r>
        <w:t xml:space="preserve"> </w:t>
      </w:r>
      <w:r>
        <w:t xml:space="preserve">where he modeled transportation expenditures using CEX data. The results showed, like the previous publication, that single-family dwellings spend more on transportation compared to other types. He also found that larger household sizes and newer homes contribute to higher transportation spending.</w:t>
      </w:r>
    </w:p>
    <w:p>
      <w:pPr>
        <w:pStyle w:val="BodyText"/>
      </w:pPr>
      <w:r>
        <w:t xml:space="preserve">Molloy, Garrick, and Atkinson-Palombo (2024)</w:t>
      </w:r>
      <w:r>
        <w:t xml:space="preserve"> </w:t>
      </w:r>
      <w:r>
        <w:t xml:space="preserve">-</w:t>
      </w:r>
      <w:r>
        <w:t xml:space="preserve"> </w:t>
      </w:r>
      <w:r>
        <w:t xml:space="preserve">“Captive Riders”</w:t>
      </w:r>
      <w:r>
        <w:t xml:space="preserve"> </w:t>
      </w:r>
      <w:r>
        <w:t xml:space="preserve">have less spending allocated to transportation than captive drivers.</w:t>
      </w:r>
    </w:p>
    <w:p>
      <w:pPr>
        <w:pStyle w:val="BodyText"/>
      </w:pPr>
      <w:r>
        <w:t xml:space="preserve">In their study,</w:t>
      </w:r>
      <w:r>
        <w:t xml:space="preserve"> </w:t>
      </w:r>
      <w:r>
        <w:t xml:space="preserve">Molloy, Garrick, and Atkinson-Palombo (2024)</w:t>
      </w:r>
      <w:r>
        <w:t xml:space="preserve"> </w:t>
      </w:r>
      <w:r>
        <w:t xml:space="preserve">look at CEX data through after proposing new framework to look at transit users and vehicle users. In past studies, three categories have been used to analyze transportation users:</w:t>
      </w:r>
      <w:r>
        <w:t xml:space="preserve"> </w:t>
      </w:r>
      <w:r>
        <w:t xml:space="preserve">“drivers”</w:t>
      </w:r>
      <w:r>
        <w:t xml:space="preserve"> </w:t>
      </w:r>
      <w:r>
        <w:t xml:space="preserve">are those who own a car,</w:t>
      </w:r>
      <w:r>
        <w:t xml:space="preserve"> </w:t>
      </w:r>
      <w:r>
        <w:t xml:space="preserve">“captive riders”</w:t>
      </w:r>
      <w:r>
        <w:t xml:space="preserve"> </w:t>
      </w:r>
      <w:r>
        <w:t xml:space="preserve">are those who use transit because they ca not afford a car, and</w:t>
      </w:r>
      <w:r>
        <w:t xml:space="preserve"> </w:t>
      </w:r>
      <w:r>
        <w:t xml:space="preserve">“choice riders”</w:t>
      </w:r>
      <w:r>
        <w:t xml:space="preserve"> </w:t>
      </w:r>
      <w:r>
        <w:t xml:space="preserve">are those who can afford a car but do not. Instead of having one grouping for those that own cars,</w:t>
      </w:r>
      <w:r>
        <w:t xml:space="preserve"> </w:t>
      </w:r>
      <w:r>
        <w:t xml:space="preserve">Molloy, Garrick, and Atkinson-Palombo (2024)</w:t>
      </w:r>
      <w:r>
        <w:t xml:space="preserve"> </w:t>
      </w:r>
      <w:r>
        <w:t xml:space="preserve">propose splitting that category into</w:t>
      </w:r>
      <w:r>
        <w:t xml:space="preserve"> </w:t>
      </w:r>
      <w:r>
        <w:t xml:space="preserve">“captive drivers”</w:t>
      </w:r>
      <w:r>
        <w:t xml:space="preserve"> </w:t>
      </w:r>
      <w:r>
        <w:t xml:space="preserve">and</w:t>
      </w:r>
      <w:r>
        <w:t xml:space="preserve"> </w:t>
      </w:r>
      <w:r>
        <w:t xml:space="preserve">“choice drivers”</w:t>
      </w:r>
      <w:r>
        <w:t xml:space="preserve">. Captive drivers would be those in the population that are low income but have a car representing people with less transportation freedom. They analyzed the CEX with this new way of classifying transportation users and found that captive drivers carry the most transportation burden. The transportation expenditures of captive drivers average more than 16% of total household expenditures while the transportation expenditures of captive riders was only around 7% of total expenditures.</w:t>
      </w:r>
    </w:p>
    <w:p>
      <w:pPr>
        <w:pStyle w:val="BodyText"/>
      </w:pPr>
      <w:r>
        <w:t xml:space="preserve">Bureau of Transportation Statistics (2024)</w:t>
      </w:r>
      <w:r>
        <w:t xml:space="preserve"> </w:t>
      </w:r>
      <w:r>
        <w:t xml:space="preserve">- Chapter 2 has a whole section where they analyze household expenditures gettting much of their data from the CEX.</w:t>
      </w:r>
    </w:p>
    <w:bookmarkEnd w:id="27"/>
    <w:bookmarkEnd w:id="28"/>
    <w:bookmarkStart w:id="95" w:name="references"/>
    <w:p>
      <w:pPr>
        <w:pStyle w:val="Heading2"/>
      </w:pPr>
      <w:r>
        <w:t xml:space="preserve">3 References</w:t>
      </w:r>
    </w:p>
    <w:bookmarkStart w:id="94" w:name="refs"/>
    <w:bookmarkStart w:id="30" w:name="ref-amirnazmiafshar_review_2022"/>
    <w:p>
      <w:pPr>
        <w:pStyle w:val="Bibliography"/>
      </w:pPr>
      <w:r>
        <w:t xml:space="preserve">Amirnazmiafshar, Ehsan, and Marco Diana. 2022.</w:t>
      </w:r>
      <w:r>
        <w:t xml:space="preserve"> </w:t>
      </w:r>
      <w:r>
        <w:t xml:space="preserve">“A Review of the Socio-Demographic Characteristics Affecting the Demand for Different Car-Sharing Operational Schemes.”</w:t>
      </w:r>
      <w:r>
        <w:t xml:space="preserve"> </w:t>
      </w:r>
      <w:r>
        <w:rPr>
          <w:i/>
          <w:iCs/>
        </w:rPr>
        <w:t xml:space="preserve">Transportation Research Interdisciplinary Perspectives</w:t>
      </w:r>
      <w:r>
        <w:t xml:space="preserve"> </w:t>
      </w:r>
      <w:r>
        <w:t xml:space="preserve">14 (June): 100616.</w:t>
      </w:r>
      <w:r>
        <w:t xml:space="preserve"> </w:t>
      </w:r>
      <w:hyperlink r:id="rId29">
        <w:r>
          <w:rPr>
            <w:rStyle w:val="Hyperlink"/>
          </w:rPr>
          <w:t xml:space="preserve">https://doi.org/10.1016/j.trip.2022.100616</w:t>
        </w:r>
      </w:hyperlink>
      <w:r>
        <w:t xml:space="preserve">.</w:t>
      </w:r>
    </w:p>
    <w:bookmarkEnd w:id="30"/>
    <w:bookmarkStart w:id="32" w:name="ref-bernardo_empirical_2015"/>
    <w:p>
      <w:pPr>
        <w:pStyle w:val="Bibliography"/>
      </w:pPr>
      <w:r>
        <w:t xml:space="preserve">Bernardo, Christina, Rajesh Paleti, Megan Hoklas, and Chandra Bhat. 2015.</w:t>
      </w:r>
      <w:r>
        <w:t xml:space="preserve"> </w:t>
      </w:r>
      <w:r>
        <w:t xml:space="preserve">“An Empirical Investigation into the Time-Use and Activity Patterns of Dual-Earner Couples with and Without Young Children.”</w:t>
      </w:r>
      <w:r>
        <w:t xml:space="preserve"> </w:t>
      </w:r>
      <w:r>
        <w:rPr>
          <w:i/>
          <w:iCs/>
        </w:rPr>
        <w:t xml:space="preserve">Transportation Research Part A: Policy and Practice</w:t>
      </w:r>
      <w:r>
        <w:t xml:space="preserve"> </w:t>
      </w:r>
      <w:r>
        <w:t xml:space="preserve">76 (June): 71–91.</w:t>
      </w:r>
      <w:r>
        <w:t xml:space="preserve"> </w:t>
      </w:r>
      <w:hyperlink r:id="rId31">
        <w:r>
          <w:rPr>
            <w:rStyle w:val="Hyperlink"/>
          </w:rPr>
          <w:t xml:space="preserve">https://doi.org/10.1016/j.tra.2014.12.006</w:t>
        </w:r>
      </w:hyperlink>
      <w:r>
        <w:t xml:space="preserve">.</w:t>
      </w:r>
    </w:p>
    <w:bookmarkEnd w:id="32"/>
    <w:bookmarkStart w:id="34" w:name="ref-bilgin_investigating_2025"/>
    <w:p>
      <w:pPr>
        <w:pStyle w:val="Bibliography"/>
      </w:pPr>
      <w:r>
        <w:t xml:space="preserve">Bilgin, Pinar, Giulio Mattioli, Malcolm Morgan, and Zia Wadud. 2025.</w:t>
      </w:r>
      <w:r>
        <w:t xml:space="preserve"> </w:t>
      </w:r>
      <w:r>
        <w:t xml:space="preserve">“Investigating the Effects of Ridesourcing on the Dynamics of Household Car Ownership.”</w:t>
      </w:r>
      <w:r>
        <w:t xml:space="preserve"> </w:t>
      </w:r>
      <w:r>
        <w:rPr>
          <w:i/>
          <w:iCs/>
        </w:rPr>
        <w:t xml:space="preserve">Transportation Research Part D: Transport and Environment</w:t>
      </w:r>
      <w:r>
        <w:t xml:space="preserve"> </w:t>
      </w:r>
      <w:r>
        <w:t xml:space="preserve">146 (September): 104886.</w:t>
      </w:r>
      <w:r>
        <w:t xml:space="preserve"> </w:t>
      </w:r>
      <w:hyperlink r:id="rId33">
        <w:r>
          <w:rPr>
            <w:rStyle w:val="Hyperlink"/>
          </w:rPr>
          <w:t xml:space="preserve">https://doi.org/10.1016/j.trd.2025.104886</w:t>
        </w:r>
      </w:hyperlink>
      <w:r>
        <w:t xml:space="preserve">.</w:t>
      </w:r>
    </w:p>
    <w:bookmarkEnd w:id="34"/>
    <w:bookmarkStart w:id="35" w:name="ref-blumenberg_transportation_2003"/>
    <w:p>
      <w:pPr>
        <w:pStyle w:val="Bibliography"/>
      </w:pPr>
      <w:r>
        <w:t xml:space="preserve">Blumenberg, Evelyn. 2003.</w:t>
      </w:r>
      <w:r>
        <w:t xml:space="preserve"> </w:t>
      </w:r>
      <w:r>
        <w:t xml:space="preserve">“Transportation</w:t>
      </w:r>
      <w:r>
        <w:t xml:space="preserve"> </w:t>
      </w:r>
      <w:r>
        <w:t xml:space="preserve">Costs</w:t>
      </w:r>
      <w:r>
        <w:t xml:space="preserve"> </w:t>
      </w:r>
      <w:r>
        <w:t xml:space="preserve">and</w:t>
      </w:r>
      <w:r>
        <w:t xml:space="preserve"> </w:t>
      </w:r>
      <w:r>
        <w:t xml:space="preserve">Economic</w:t>
      </w:r>
      <w:r>
        <w:t xml:space="preserve"> </w:t>
      </w:r>
      <w:r>
        <w:t xml:space="preserve">Opportunity</w:t>
      </w:r>
      <w:r>
        <w:t xml:space="preserve"> </w:t>
      </w:r>
      <w:r>
        <w:t xml:space="preserve">Among</w:t>
      </w:r>
      <w:r>
        <w:t xml:space="preserve"> </w:t>
      </w:r>
      <w:r>
        <w:t xml:space="preserve">the</w:t>
      </w:r>
      <w:r>
        <w:t xml:space="preserve"> </w:t>
      </w:r>
      <w:r>
        <w:t xml:space="preserve">Poor</w:t>
      </w:r>
      <w:r>
        <w:t xml:space="preserve">,”</w:t>
      </w:r>
      <w:r>
        <w:t xml:space="preserve"> </w:t>
      </w:r>
      <w:r>
        <w:t xml:space="preserve">October.</w:t>
      </w:r>
    </w:p>
    <w:bookmarkEnd w:id="35"/>
    <w:bookmarkStart w:id="37" w:name="Xa66e51dc7d1b5a25f9f65477025553c1efad10b"/>
    <w:p>
      <w:pPr>
        <w:pStyle w:val="Bibliography"/>
      </w:pPr>
      <w:r>
        <w:t xml:space="preserve">Bureau of Transportation Statistics. 2024.</w:t>
      </w:r>
      <w:r>
        <w:t xml:space="preserve"> </w:t>
      </w:r>
      <w:r>
        <w:t xml:space="preserve">“Transportation</w:t>
      </w:r>
      <w:r>
        <w:t xml:space="preserve"> </w:t>
      </w:r>
      <w:r>
        <w:t xml:space="preserve">Statistics</w:t>
      </w:r>
      <w:r>
        <w:t xml:space="preserve"> </w:t>
      </w:r>
      <w:r>
        <w:t xml:space="preserve">Annual</w:t>
      </w:r>
      <w:r>
        <w:t xml:space="preserve"> </w:t>
      </w:r>
      <w:r>
        <w:t xml:space="preserve">Report</w:t>
      </w:r>
      <w:r>
        <w:t xml:space="preserve"> </w:t>
      </w:r>
      <w:r>
        <w:t xml:space="preserve">2024.”</w:t>
      </w:r>
      <w:r>
        <w:t xml:space="preserve"> </w:t>
      </w:r>
      <w:r>
        <w:t xml:space="preserve">Bureau of Transportation Statistics.</w:t>
      </w:r>
      <w:r>
        <w:t xml:space="preserve"> </w:t>
      </w:r>
      <w:hyperlink r:id="rId36">
        <w:r>
          <w:rPr>
            <w:rStyle w:val="Hyperlink"/>
          </w:rPr>
          <w:t xml:space="preserve">https://doi.org/10.21949/E0KQ-GF72</w:t>
        </w:r>
      </w:hyperlink>
      <w:r>
        <w:t xml:space="preserve">.</w:t>
      </w:r>
    </w:p>
    <w:bookmarkEnd w:id="37"/>
    <w:bookmarkStart w:id="39" w:name="ref-choo_transportation_2007"/>
    <w:p>
      <w:pPr>
        <w:pStyle w:val="Bibliography"/>
      </w:pPr>
      <w:r>
        <w:t xml:space="preserve">Choo, Sangho, Taihyeong Lee, and Patricia L. Mokhtarian. 2007.</w:t>
      </w:r>
      <w:r>
        <w:t xml:space="preserve"> </w:t>
      </w:r>
      <w:r>
        <w:t xml:space="preserve">“Do</w:t>
      </w:r>
      <w:r>
        <w:t xml:space="preserve"> </w:t>
      </w:r>
      <w:r>
        <w:t xml:space="preserve">Transportation</w:t>
      </w:r>
      <w:r>
        <w:t xml:space="preserve"> </w:t>
      </w:r>
      <w:r>
        <w:t xml:space="preserve">and</w:t>
      </w:r>
      <w:r>
        <w:t xml:space="preserve"> </w:t>
      </w:r>
      <w:r>
        <w:t xml:space="preserve">Communications</w:t>
      </w:r>
      <w:r>
        <w:t xml:space="preserve"> </w:t>
      </w:r>
      <w:r>
        <w:t xml:space="preserve">Tend</w:t>
      </w:r>
      <w:r>
        <w:t xml:space="preserve"> </w:t>
      </w:r>
      <w:r>
        <w:t xml:space="preserve">to Be</w:t>
      </w:r>
      <w:r>
        <w:t xml:space="preserve"> </w:t>
      </w:r>
      <w:r>
        <w:t xml:space="preserve">Substitutes</w:t>
      </w:r>
      <w:r>
        <w:t xml:space="preserve">,</w:t>
      </w:r>
      <w:r>
        <w:t xml:space="preserve"> </w:t>
      </w:r>
      <w:r>
        <w:t xml:space="preserve">Complements</w:t>
      </w:r>
      <w:r>
        <w:t xml:space="preserve">, or</w:t>
      </w:r>
      <w:r>
        <w:t xml:space="preserve"> </w:t>
      </w:r>
      <w:r>
        <w:t xml:space="preserve">Neither</w:t>
      </w:r>
      <w:r>
        <w:t xml:space="preserve">?:</w:t>
      </w:r>
      <w:r>
        <w:t xml:space="preserve"> </w:t>
      </w:r>
      <w:r>
        <w:t xml:space="preserve">U</w:t>
      </w:r>
      <w:r>
        <w:t xml:space="preserve">.</w:t>
      </w:r>
      <w:r>
        <w:t xml:space="preserve">S</w:t>
      </w:r>
      <w:r>
        <w:t xml:space="preserve">.</w:t>
      </w:r>
      <w:r>
        <w:t xml:space="preserve"> </w:t>
      </w:r>
      <w:r>
        <w:t xml:space="preserve">Consumer</w:t>
      </w:r>
      <w:r>
        <w:t xml:space="preserve"> </w:t>
      </w:r>
      <w:r>
        <w:t xml:space="preserve">Expenditures</w:t>
      </w:r>
      <w:r>
        <w:t xml:space="preserve"> </w:t>
      </w:r>
      <w:r>
        <w:t xml:space="preserve">Perspective</w:t>
      </w:r>
      <w:r>
        <w:t xml:space="preserve">, 1984–2002.”</w:t>
      </w:r>
      <w:r>
        <w:t xml:space="preserve"> </w:t>
      </w:r>
      <w:r>
        <w:rPr>
          <w:i/>
          <w:iCs/>
        </w:rPr>
        <w:t xml:space="preserve">Transportation Research Record</w:t>
      </w:r>
      <w:r>
        <w:t xml:space="preserve"> </w:t>
      </w:r>
      <w:r>
        <w:t xml:space="preserve">2010 (1): 121–32.</w:t>
      </w:r>
      <w:r>
        <w:t xml:space="preserve"> </w:t>
      </w:r>
      <w:hyperlink r:id="rId38">
        <w:r>
          <w:rPr>
            <w:rStyle w:val="Hyperlink"/>
          </w:rPr>
          <w:t xml:space="preserve">https://doi.org/10.3141/2010-14</w:t>
        </w:r>
      </w:hyperlink>
      <w:r>
        <w:t xml:space="preserve">.</w:t>
      </w:r>
    </w:p>
    <w:bookmarkEnd w:id="39"/>
    <w:bookmarkStart w:id="41" w:name="ref-copperman_analysis_2007"/>
    <w:p>
      <w:pPr>
        <w:pStyle w:val="Bibliography"/>
      </w:pPr>
      <w:r>
        <w:t xml:space="preserve">Copperman, Rachel B., and Chandra R. Bhat. 2007a.</w:t>
      </w:r>
      <w:r>
        <w:t xml:space="preserve"> </w:t>
      </w:r>
      <w:r>
        <w:t xml:space="preserve">“An Analysis of the Determinants of Children’s Weekend Physical Activity Participation.”</w:t>
      </w:r>
      <w:r>
        <w:t xml:space="preserve"> </w:t>
      </w:r>
      <w:r>
        <w:rPr>
          <w:i/>
          <w:iCs/>
        </w:rPr>
        <w:t xml:space="preserve">Transportation</w:t>
      </w:r>
      <w:r>
        <w:t xml:space="preserve"> </w:t>
      </w:r>
      <w:r>
        <w:t xml:space="preserve">34 (1): 67–87.</w:t>
      </w:r>
      <w:r>
        <w:t xml:space="preserve"> </w:t>
      </w:r>
      <w:hyperlink r:id="rId40">
        <w:r>
          <w:rPr>
            <w:rStyle w:val="Hyperlink"/>
          </w:rPr>
          <w:t xml:space="preserve">https://doi.org/10.1007/s11116-006-0005-5</w:t>
        </w:r>
      </w:hyperlink>
      <w:r>
        <w:t xml:space="preserve">.</w:t>
      </w:r>
    </w:p>
    <w:bookmarkEnd w:id="41"/>
    <w:bookmarkStart w:id="42" w:name="ref-copperman_exploratory_2007"/>
    <w:p>
      <w:pPr>
        <w:pStyle w:val="Bibliography"/>
      </w:pPr>
      <w:r>
        <w:t xml:space="preserve">Copperman, Rachel B, and Chandra R Bhat. 2007b.</w:t>
      </w:r>
      <w:r>
        <w:t xml:space="preserve"> </w:t>
      </w:r>
      <w:r>
        <w:t xml:space="preserve">“An</w:t>
      </w:r>
      <w:r>
        <w:t xml:space="preserve"> </w:t>
      </w:r>
      <w:r>
        <w:t xml:space="preserve">Exploratory</w:t>
      </w:r>
      <w:r>
        <w:t xml:space="preserve"> </w:t>
      </w:r>
      <w:r>
        <w:t xml:space="preserve">Analysis</w:t>
      </w:r>
      <w:r>
        <w:t xml:space="preserve"> </w:t>
      </w:r>
      <w:r>
        <w:t xml:space="preserve">of</w:t>
      </w:r>
      <w:r>
        <w:t xml:space="preserve"> </w:t>
      </w:r>
      <w:r>
        <w:t xml:space="preserve">Children</w:t>
      </w:r>
      <w:r>
        <w:t xml:space="preserve">’s</w:t>
      </w:r>
      <w:r>
        <w:t xml:space="preserve"> </w:t>
      </w:r>
      <w:r>
        <w:t xml:space="preserve">Daily</w:t>
      </w:r>
      <w:r>
        <w:t xml:space="preserve"> </w:t>
      </w:r>
      <w:r>
        <w:t xml:space="preserve">Time</w:t>
      </w:r>
      <w:r>
        <w:t xml:space="preserve">-</w:t>
      </w:r>
      <w:r>
        <w:t xml:space="preserve">Use</w:t>
      </w:r>
      <w:r>
        <w:t xml:space="preserve"> </w:t>
      </w:r>
      <w:r>
        <w:t xml:space="preserve">and</w:t>
      </w:r>
      <w:r>
        <w:t xml:space="preserve"> </w:t>
      </w:r>
      <w:r>
        <w:t xml:space="preserve">Activity</w:t>
      </w:r>
      <w:r>
        <w:t xml:space="preserve"> </w:t>
      </w:r>
      <w:r>
        <w:t xml:space="preserve">Patterns</w:t>
      </w:r>
      <w:r>
        <w:t xml:space="preserve"> </w:t>
      </w:r>
      <w:r>
        <w:t xml:space="preserve">Using</w:t>
      </w:r>
      <w:r>
        <w:t xml:space="preserve"> </w:t>
      </w:r>
      <w:r>
        <w:t xml:space="preserve">the</w:t>
      </w:r>
      <w:r>
        <w:t xml:space="preserve"> </w:t>
      </w:r>
      <w:r>
        <w:t xml:space="preserve">Child</w:t>
      </w:r>
      <w:r>
        <w:t xml:space="preserve"> </w:t>
      </w:r>
      <w:r>
        <w:t xml:space="preserve">Development</w:t>
      </w:r>
      <w:r>
        <w:t xml:space="preserve"> </w:t>
      </w:r>
      <w:r>
        <w:t xml:space="preserve">Supplement</w:t>
      </w:r>
      <w:r>
        <w:t xml:space="preserve"> </w:t>
      </w:r>
      <w:r>
        <w:t xml:space="preserve">(</w:t>
      </w:r>
      <w:r>
        <w:t xml:space="preserve">CDS</w:t>
      </w:r>
      <w:r>
        <w:t xml:space="preserve">) to the</w:t>
      </w:r>
      <w:r>
        <w:t xml:space="preserve"> </w:t>
      </w:r>
      <w:r>
        <w:t xml:space="preserve">US</w:t>
      </w:r>
      <w:r>
        <w:t xml:space="preserve"> </w:t>
      </w:r>
      <w:r>
        <w:t xml:space="preserve">Panel</w:t>
      </w:r>
      <w:r>
        <w:t xml:space="preserve"> </w:t>
      </w:r>
      <w:r>
        <w:t xml:space="preserve">Study</w:t>
      </w:r>
      <w:r>
        <w:t xml:space="preserve"> </w:t>
      </w:r>
      <w:r>
        <w:t xml:space="preserve">of</w:t>
      </w:r>
      <w:r>
        <w:t xml:space="preserve"> </w:t>
      </w:r>
      <w:r>
        <w:t xml:space="preserve">Income</w:t>
      </w:r>
      <w:r>
        <w:t xml:space="preserve"> </w:t>
      </w:r>
      <w:r>
        <w:t xml:space="preserve">Dynamics</w:t>
      </w:r>
      <w:r>
        <w:t xml:space="preserve"> </w:t>
      </w:r>
      <w:r>
        <w:t xml:space="preserve">(</w:t>
      </w:r>
      <w:r>
        <w:t xml:space="preserve">PSID</w:t>
      </w:r>
      <w:r>
        <w:t xml:space="preserve">).”</w:t>
      </w:r>
    </w:p>
    <w:bookmarkEnd w:id="42"/>
    <w:bookmarkStart w:id="44" w:name="ref-deka_relationship_2015"/>
    <w:p>
      <w:pPr>
        <w:pStyle w:val="Bibliography"/>
      </w:pPr>
      <w:r>
        <w:t xml:space="preserve">Deka, Devajyoti. 2015.</w:t>
      </w:r>
      <w:r>
        <w:t xml:space="preserve"> </w:t>
      </w:r>
      <w:r>
        <w:t xml:space="preserve">“Relationship Between</w:t>
      </w:r>
      <w:r>
        <w:t xml:space="preserve"> </w:t>
      </w:r>
      <w:r>
        <w:t xml:space="preserve">Households</w:t>
      </w:r>
      <w:r>
        <w:t xml:space="preserve">’</w:t>
      </w:r>
      <w:r>
        <w:t xml:space="preserve"> </w:t>
      </w:r>
      <w:r>
        <w:t xml:space="preserve">Housing</w:t>
      </w:r>
      <w:r>
        <w:t xml:space="preserve"> </w:t>
      </w:r>
      <w:r>
        <w:t xml:space="preserve">and</w:t>
      </w:r>
      <w:r>
        <w:t xml:space="preserve"> </w:t>
      </w:r>
      <w:r>
        <w:t xml:space="preserve">Transportation</w:t>
      </w:r>
      <w:r>
        <w:t xml:space="preserve"> </w:t>
      </w:r>
      <w:r>
        <w:t xml:space="preserve">Expenditures</w:t>
      </w:r>
      <w:r>
        <w:t xml:space="preserve">:</w:t>
      </w:r>
      <w:r>
        <w:t xml:space="preserve"> </w:t>
      </w:r>
      <w:r>
        <w:t xml:space="preserve">Examination</w:t>
      </w:r>
      <w:r>
        <w:t xml:space="preserve"> </w:t>
      </w:r>
      <w:r>
        <w:t xml:space="preserve">from</w:t>
      </w:r>
      <w:r>
        <w:t xml:space="preserve"> </w:t>
      </w:r>
      <w:r>
        <w:t xml:space="preserve">Lifestyle</w:t>
      </w:r>
      <w:r>
        <w:t xml:space="preserve"> </w:t>
      </w:r>
      <w:r>
        <w:t xml:space="preserve">Perspective</w:t>
      </w:r>
      <w:r>
        <w:t xml:space="preserve">.”</w:t>
      </w:r>
      <w:r>
        <w:t xml:space="preserve"> </w:t>
      </w:r>
      <w:r>
        <w:rPr>
          <w:i/>
          <w:iCs/>
        </w:rPr>
        <w:t xml:space="preserve">Transportation Research Record</w:t>
      </w:r>
      <w:r>
        <w:t xml:space="preserve"> </w:t>
      </w:r>
      <w:r>
        <w:t xml:space="preserve">2531 (1): 26–35.</w:t>
      </w:r>
      <w:r>
        <w:t xml:space="preserve"> </w:t>
      </w:r>
      <w:hyperlink r:id="rId43">
        <w:r>
          <w:rPr>
            <w:rStyle w:val="Hyperlink"/>
          </w:rPr>
          <w:t xml:space="preserve">https://doi.org/10.3141/2531-04</w:t>
        </w:r>
      </w:hyperlink>
      <w:r>
        <w:t xml:space="preserve">.</w:t>
      </w:r>
    </w:p>
    <w:bookmarkEnd w:id="44"/>
    <w:bookmarkStart w:id="46" w:name="ref-duncan_estimating_2023"/>
    <w:p>
      <w:pPr>
        <w:pStyle w:val="Bibliography"/>
      </w:pPr>
      <w:r>
        <w:t xml:space="preserve">Duncan, Karen A., Kristyn Frank, and Anne Guèvremont. 2023.</w:t>
      </w:r>
      <w:r>
        <w:t xml:space="preserve"> </w:t>
      </w:r>
      <w:r>
        <w:t xml:space="preserve">“Estimating</w:t>
      </w:r>
      <w:r>
        <w:t xml:space="preserve"> </w:t>
      </w:r>
      <w:r>
        <w:t xml:space="preserve">Expenditures</w:t>
      </w:r>
      <w:r>
        <w:t xml:space="preserve"> </w:t>
      </w:r>
      <w:r>
        <w:t xml:space="preserve">on</w:t>
      </w:r>
      <w:r>
        <w:t xml:space="preserve"> </w:t>
      </w:r>
      <w:r>
        <w:t xml:space="preserve">Children</w:t>
      </w:r>
      <w:r>
        <w:t xml:space="preserve"> </w:t>
      </w:r>
      <w:r>
        <w:t xml:space="preserve">by</w:t>
      </w:r>
      <w:r>
        <w:t xml:space="preserve"> </w:t>
      </w:r>
      <w:r>
        <w:t xml:space="preserve">Families</w:t>
      </w:r>
      <w:r>
        <w:t xml:space="preserve"> </w:t>
      </w:r>
      <w:r>
        <w:t xml:space="preserve">in</w:t>
      </w:r>
      <w:r>
        <w:t xml:space="preserve"> </w:t>
      </w:r>
      <w:r>
        <w:t xml:space="preserve">Canada</w:t>
      </w:r>
      <w:r>
        <w:t xml:space="preserve">, 2014 to 2017,”</w:t>
      </w:r>
      <w:r>
        <w:t xml:space="preserve"> </w:t>
      </w:r>
      <w:r>
        <w:t xml:space="preserve">September.</w:t>
      </w:r>
      <w:r>
        <w:t xml:space="preserve"> </w:t>
      </w:r>
      <w:hyperlink r:id="rId45">
        <w:r>
          <w:rPr>
            <w:rStyle w:val="Hyperlink"/>
          </w:rPr>
          <w:t xml:space="preserve">https://doi.org/10.25318/11F0019M2023007-ENG</w:t>
        </w:r>
      </w:hyperlink>
      <w:r>
        <w:t xml:space="preserve">.</w:t>
      </w:r>
    </w:p>
    <w:bookmarkEnd w:id="46"/>
    <w:bookmarkStart w:id="48" w:name="ref-ferdous_comprehensive_2010"/>
    <w:p>
      <w:pPr>
        <w:pStyle w:val="Bibliography"/>
      </w:pPr>
      <w:r>
        <w:t xml:space="preserve">Ferdous, Nazneen, Abdul Rawoof Pinjari, Chandra R. Bhat, and Ram M. Pendyala. 2010.</w:t>
      </w:r>
      <w:r>
        <w:t xml:space="preserve"> </w:t>
      </w:r>
      <w:r>
        <w:t xml:space="preserve">“A Comprehensive Analysis of Household Transportation Expenditures Relative to Other Goods and Services: An Application to</w:t>
      </w:r>
      <w:r>
        <w:t xml:space="preserve"> </w:t>
      </w:r>
      <w:r>
        <w:t xml:space="preserve">United</w:t>
      </w:r>
      <w:r>
        <w:t xml:space="preserve"> </w:t>
      </w:r>
      <w:r>
        <w:t xml:space="preserve">States</w:t>
      </w:r>
      <w:r>
        <w:t xml:space="preserve"> </w:t>
      </w:r>
      <w:r>
        <w:t xml:space="preserve">Consumer Expenditure Data.”</w:t>
      </w:r>
      <w:r>
        <w:t xml:space="preserve"> </w:t>
      </w:r>
      <w:r>
        <w:rPr>
          <w:i/>
          <w:iCs/>
        </w:rPr>
        <w:t xml:space="preserve">Transportation</w:t>
      </w:r>
      <w:r>
        <w:t xml:space="preserve"> </w:t>
      </w:r>
      <w:r>
        <w:t xml:space="preserve">37 (3): 363–90.</w:t>
      </w:r>
      <w:r>
        <w:t xml:space="preserve"> </w:t>
      </w:r>
      <w:hyperlink r:id="rId47">
        <w:r>
          <w:rPr>
            <w:rStyle w:val="Hyperlink"/>
          </w:rPr>
          <w:t xml:space="preserve">https://doi.org/10.1007/s11116-010-9264-2</w:t>
        </w:r>
      </w:hyperlink>
      <w:r>
        <w:t xml:space="preserve">.</w:t>
      </w:r>
    </w:p>
    <w:bookmarkEnd w:id="48"/>
    <w:bookmarkStart w:id="50" w:name="ref-fontes_effects_2006"/>
    <w:p>
      <w:pPr>
        <w:pStyle w:val="Bibliography"/>
      </w:pPr>
      <w:r>
        <w:t xml:space="preserve">Fontes, Angela, and Jessie Fan. 2006.</w:t>
      </w:r>
      <w:r>
        <w:t xml:space="preserve"> </w:t>
      </w:r>
      <w:r>
        <w:t xml:space="preserve">“The</w:t>
      </w:r>
      <w:r>
        <w:t xml:space="preserve"> </w:t>
      </w:r>
      <w:r>
        <w:t xml:space="preserve">Effects</w:t>
      </w:r>
      <w:r>
        <w:t xml:space="preserve"> </w:t>
      </w:r>
      <w:r>
        <w:t xml:space="preserve">of</w:t>
      </w:r>
      <w:r>
        <w:t xml:space="preserve"> </w:t>
      </w:r>
      <w:r>
        <w:t xml:space="preserve">Ethnic</w:t>
      </w:r>
      <w:r>
        <w:t xml:space="preserve"> </w:t>
      </w:r>
      <w:r>
        <w:t xml:space="preserve">Identity</w:t>
      </w:r>
      <w:r>
        <w:t xml:space="preserve"> </w:t>
      </w:r>
      <w:r>
        <w:t xml:space="preserve">on</w:t>
      </w:r>
      <w:r>
        <w:t xml:space="preserve"> </w:t>
      </w:r>
      <w:r>
        <w:t xml:space="preserve">Household</w:t>
      </w:r>
      <w:r>
        <w:t xml:space="preserve"> </w:t>
      </w:r>
      <w:r>
        <w:t xml:space="preserve">Budget</w:t>
      </w:r>
      <w:r>
        <w:t xml:space="preserve"> </w:t>
      </w:r>
      <w:r>
        <w:t xml:space="preserve">Allocation</w:t>
      </w:r>
      <w:r>
        <w:t xml:space="preserve"> </w:t>
      </w:r>
      <w:r>
        <w:t xml:space="preserve">to</w:t>
      </w:r>
      <w:r>
        <w:t xml:space="preserve"> </w:t>
      </w:r>
      <w:r>
        <w:t xml:space="preserve">Status</w:t>
      </w:r>
      <w:r>
        <w:t xml:space="preserve"> </w:t>
      </w:r>
      <w:r>
        <w:t xml:space="preserve">Conveying</w:t>
      </w:r>
      <w:r>
        <w:t xml:space="preserve"> </w:t>
      </w:r>
      <w:r>
        <w:t xml:space="preserve">Goods</w:t>
      </w:r>
      <w:r>
        <w:t xml:space="preserve">.”</w:t>
      </w:r>
      <w:r>
        <w:t xml:space="preserve"> </w:t>
      </w:r>
      <w:r>
        <w:rPr>
          <w:i/>
          <w:iCs/>
        </w:rPr>
        <w:t xml:space="preserve">Journal of Family and Economic Issues</w:t>
      </w:r>
      <w:r>
        <w:t xml:space="preserve"> </w:t>
      </w:r>
      <w:r>
        <w:t xml:space="preserve">27 (February): 643–63.</w:t>
      </w:r>
      <w:r>
        <w:t xml:space="preserve"> </w:t>
      </w:r>
      <w:hyperlink r:id="rId49">
        <w:r>
          <w:rPr>
            <w:rStyle w:val="Hyperlink"/>
          </w:rPr>
          <w:t xml:space="preserve">https://doi.org/10.1007/s10834-006-9031-x</w:t>
        </w:r>
      </w:hyperlink>
      <w:r>
        <w:t xml:space="preserve">.</w:t>
      </w:r>
    </w:p>
    <w:bookmarkEnd w:id="50"/>
    <w:bookmarkStart w:id="52" w:name="ref-haas_estimating_2008"/>
    <w:p>
      <w:pPr>
        <w:pStyle w:val="Bibliography"/>
      </w:pPr>
      <w:r>
        <w:t xml:space="preserve">Haas, Peter M., Carrie Makarewicz, Albert Benedict, and Scott Bernstein. 2008.</w:t>
      </w:r>
      <w:r>
        <w:t xml:space="preserve"> </w:t>
      </w:r>
      <w:r>
        <w:t xml:space="preserve">“Estimating</w:t>
      </w:r>
      <w:r>
        <w:t xml:space="preserve"> </w:t>
      </w:r>
      <w:r>
        <w:t xml:space="preserve">Transportation</w:t>
      </w:r>
      <w:r>
        <w:t xml:space="preserve"> </w:t>
      </w:r>
      <w:r>
        <w:t xml:space="preserve">Costs</w:t>
      </w:r>
      <w:r>
        <w:t xml:space="preserve"> </w:t>
      </w:r>
      <w:r>
        <w:t xml:space="preserve">by</w:t>
      </w:r>
      <w:r>
        <w:t xml:space="preserve"> </w:t>
      </w:r>
      <w:r>
        <w:t xml:space="preserve">Characteristics</w:t>
      </w:r>
      <w:r>
        <w:t xml:space="preserve"> </w:t>
      </w:r>
      <w:r>
        <w:t xml:space="preserve">of</w:t>
      </w:r>
      <w:r>
        <w:t xml:space="preserve"> </w:t>
      </w:r>
      <w:r>
        <w:t xml:space="preserve">Neighborhood</w:t>
      </w:r>
      <w:r>
        <w:t xml:space="preserve"> </w:t>
      </w:r>
      <w:r>
        <w:t xml:space="preserve">and</w:t>
      </w:r>
      <w:r>
        <w:t xml:space="preserve"> </w:t>
      </w:r>
      <w:r>
        <w:t xml:space="preserve">Household</w:t>
      </w:r>
      <w:r>
        <w:t xml:space="preserve">.”</w:t>
      </w:r>
      <w:r>
        <w:t xml:space="preserve"> </w:t>
      </w:r>
      <w:r>
        <w:rPr>
          <w:i/>
          <w:iCs/>
        </w:rPr>
        <w:t xml:space="preserve">Transportation Research Record</w:t>
      </w:r>
      <w:r>
        <w:t xml:space="preserve"> </w:t>
      </w:r>
      <w:r>
        <w:t xml:space="preserve">2077 (1): 62–70.</w:t>
      </w:r>
      <w:r>
        <w:t xml:space="preserve"> </w:t>
      </w:r>
      <w:hyperlink r:id="rId51">
        <w:r>
          <w:rPr>
            <w:rStyle w:val="Hyperlink"/>
          </w:rPr>
          <w:t xml:space="preserve">https://doi.org/10.3141/2077-09</w:t>
        </w:r>
      </w:hyperlink>
      <w:r>
        <w:t xml:space="preserve">.</w:t>
      </w:r>
    </w:p>
    <w:bookmarkEnd w:id="52"/>
    <w:bookmarkStart w:id="53" w:name="ref-hargunani_study_2024"/>
    <w:p>
      <w:pPr>
        <w:pStyle w:val="Bibliography"/>
      </w:pPr>
      <w:r>
        <w:t xml:space="preserve">Hargunani, Chahat, Sachin Vernekar, and Shradha Vernekar. 2024.</w:t>
      </w:r>
      <w:r>
        <w:t xml:space="preserve"> </w:t>
      </w:r>
      <w:r>
        <w:t xml:space="preserve">“A</w:t>
      </w:r>
      <w:r>
        <w:t xml:space="preserve"> </w:t>
      </w:r>
      <w:r>
        <w:t xml:space="preserve">STUDY</w:t>
      </w:r>
      <w:r>
        <w:t xml:space="preserve"> </w:t>
      </w:r>
      <w:r>
        <w:t xml:space="preserve">OF</w:t>
      </w:r>
      <w:r>
        <w:t xml:space="preserve"> </w:t>
      </w:r>
      <w:r>
        <w:t xml:space="preserve">SPENDING</w:t>
      </w:r>
      <w:r>
        <w:t xml:space="preserve">,</w:t>
      </w:r>
      <w:r>
        <w:t xml:space="preserve"> </w:t>
      </w:r>
      <w:r>
        <w:t xml:space="preserve">SAVING</w:t>
      </w:r>
      <w:r>
        <w:t xml:space="preserve"> </w:t>
      </w:r>
      <w:r>
        <w:t xml:space="preserve">AND</w:t>
      </w:r>
      <w:r>
        <w:t xml:space="preserve"> </w:t>
      </w:r>
      <w:r>
        <w:t xml:space="preserve">INVESTMENT</w:t>
      </w:r>
      <w:r>
        <w:t xml:space="preserve"> </w:t>
      </w:r>
      <w:r>
        <w:t xml:space="preserve">PATTERNS</w:t>
      </w:r>
      <w:r>
        <w:t xml:space="preserve"> </w:t>
      </w:r>
      <w:r>
        <w:t xml:space="preserve">OF</w:t>
      </w:r>
      <w:r>
        <w:t xml:space="preserve"> </w:t>
      </w:r>
      <w:r>
        <w:t xml:space="preserve">MARRIED</w:t>
      </w:r>
      <w:r>
        <w:t xml:space="preserve"> </w:t>
      </w:r>
      <w:r>
        <w:t xml:space="preserve">COUPLES</w:t>
      </w:r>
      <w:r>
        <w:t xml:space="preserve"> </w:t>
      </w:r>
      <w:r>
        <w:t xml:space="preserve">WITH</w:t>
      </w:r>
      <w:r>
        <w:t xml:space="preserve"> </w:t>
      </w:r>
      <w:r>
        <w:t xml:space="preserve">CHILDREN</w:t>
      </w:r>
      <w:r>
        <w:t xml:space="preserve">(</w:t>
      </w:r>
      <w:r>
        <w:t xml:space="preserve">NON</w:t>
      </w:r>
      <w:r>
        <w:t xml:space="preserve">-</w:t>
      </w:r>
      <w:r>
        <w:t xml:space="preserve">DINK</w:t>
      </w:r>
      <w:r>
        <w:t xml:space="preserve">)</w:t>
      </w:r>
      <w:r>
        <w:t xml:space="preserve"> </w:t>
      </w:r>
      <w:r>
        <w:t xml:space="preserve">IN</w:t>
      </w:r>
      <w:r>
        <w:t xml:space="preserve"> </w:t>
      </w:r>
      <w:r>
        <w:t xml:space="preserve">MUMBAI</w:t>
      </w:r>
      <w:r>
        <w:t xml:space="preserve">”</w:t>
      </w:r>
      <w:r>
        <w:t xml:space="preserve"> </w:t>
      </w:r>
      <w:r>
        <w:t xml:space="preserve">20 (1).</w:t>
      </w:r>
    </w:p>
    <w:bookmarkEnd w:id="53"/>
    <w:bookmarkStart w:id="55" w:name="ref-hastings_parental_2022"/>
    <w:p>
      <w:pPr>
        <w:pStyle w:val="Bibliography"/>
      </w:pPr>
      <w:r>
        <w:t xml:space="preserve">Hastings, Orestes P. 2022.</w:t>
      </w:r>
      <w:r>
        <w:t xml:space="preserve"> </w:t>
      </w:r>
      <w:r>
        <w:t xml:space="preserve">“Parental</w:t>
      </w:r>
      <w:r>
        <w:t xml:space="preserve"> </w:t>
      </w:r>
      <w:r>
        <w:t xml:space="preserve">Investments</w:t>
      </w:r>
      <w:r>
        <w:t xml:space="preserve"> </w:t>
      </w:r>
      <w:r>
        <w:t xml:space="preserve">of</w:t>
      </w:r>
      <w:r>
        <w:t xml:space="preserve"> </w:t>
      </w:r>
      <w:r>
        <w:t xml:space="preserve">Money</w:t>
      </w:r>
      <w:r>
        <w:t xml:space="preserve"> </w:t>
      </w:r>
      <w:r>
        <w:t xml:space="preserve">for</w:t>
      </w:r>
      <w:r>
        <w:t xml:space="preserve"> </w:t>
      </w:r>
      <w:r>
        <w:t xml:space="preserve">White</w:t>
      </w:r>
      <w:r>
        <w:t xml:space="preserve">,</w:t>
      </w:r>
      <w:r>
        <w:t xml:space="preserve"> </w:t>
      </w:r>
      <w:r>
        <w:t xml:space="preserve">Black</w:t>
      </w:r>
      <w:r>
        <w:t xml:space="preserve">, and</w:t>
      </w:r>
      <w:r>
        <w:t xml:space="preserve"> </w:t>
      </w:r>
      <w:r>
        <w:t xml:space="preserve">Hispanic</w:t>
      </w:r>
      <w:r>
        <w:t xml:space="preserve"> </w:t>
      </w:r>
      <w:r>
        <w:t xml:space="preserve">Children</w:t>
      </w:r>
      <w:r>
        <w:t xml:space="preserve"> </w:t>
      </w:r>
      <w:r>
        <w:t xml:space="preserve">in the</w:t>
      </w:r>
      <w:r>
        <w:t xml:space="preserve"> </w:t>
      </w:r>
      <w:r>
        <w:t xml:space="preserve">United</w:t>
      </w:r>
      <w:r>
        <w:t xml:space="preserve"> </w:t>
      </w:r>
      <w:r>
        <w:t xml:space="preserve">States</w:t>
      </w:r>
      <w:r>
        <w:t xml:space="preserve">.”</w:t>
      </w:r>
      <w:r>
        <w:t xml:space="preserve"> </w:t>
      </w:r>
      <w:r>
        <w:rPr>
          <w:i/>
          <w:iCs/>
        </w:rPr>
        <w:t xml:space="preserve">Socius: Sociological Research for a Dynamic World</w:t>
      </w:r>
      <w:r>
        <w:t xml:space="preserve"> </w:t>
      </w:r>
      <w:r>
        <w:t xml:space="preserve">8 (January): 23780231221103054.</w:t>
      </w:r>
      <w:r>
        <w:t xml:space="preserve"> </w:t>
      </w:r>
      <w:hyperlink r:id="rId54">
        <w:r>
          <w:rPr>
            <w:rStyle w:val="Hyperlink"/>
          </w:rPr>
          <w:t xml:space="preserve">https://doi.org/10.1177/23780231221103054</w:t>
        </w:r>
      </w:hyperlink>
      <w:r>
        <w:t xml:space="preserve">.</w:t>
      </w:r>
    </w:p>
    <w:bookmarkEnd w:id="55"/>
    <w:bookmarkStart w:id="57" w:name="ref-hong_leisure_2005"/>
    <w:p>
      <w:pPr>
        <w:pStyle w:val="Bibliography"/>
      </w:pPr>
      <w:r>
        <w:t xml:space="preserve">Hong, Gong-Soog, Jessie X. Fan, Lance Palmer, and Vibha Bhargava. 2005.</w:t>
      </w:r>
      <w:r>
        <w:t xml:space="preserve"> </w:t>
      </w:r>
      <w:r>
        <w:t xml:space="preserve">“Leisure</w:t>
      </w:r>
      <w:r>
        <w:t xml:space="preserve"> </w:t>
      </w:r>
      <w:r>
        <w:t xml:space="preserve">Travel</w:t>
      </w:r>
      <w:r>
        <w:t xml:space="preserve"> </w:t>
      </w:r>
      <w:r>
        <w:t xml:space="preserve">Expenditure</w:t>
      </w:r>
      <w:r>
        <w:t xml:space="preserve"> </w:t>
      </w:r>
      <w:r>
        <w:t xml:space="preserve">Patterns</w:t>
      </w:r>
      <w:r>
        <w:t xml:space="preserve"> </w:t>
      </w:r>
      <w:r>
        <w:t xml:space="preserve">by</w:t>
      </w:r>
      <w:r>
        <w:t xml:space="preserve"> </w:t>
      </w:r>
      <w:r>
        <w:t xml:space="preserve">Family</w:t>
      </w:r>
      <w:r>
        <w:t xml:space="preserve"> </w:t>
      </w:r>
      <w:r>
        <w:t xml:space="preserve">Life</w:t>
      </w:r>
      <w:r>
        <w:t xml:space="preserve"> </w:t>
      </w:r>
      <w:r>
        <w:t xml:space="preserve">Cycle</w:t>
      </w:r>
      <w:r>
        <w:t xml:space="preserve"> </w:t>
      </w:r>
      <w:r>
        <w:t xml:space="preserve">Stages</w:t>
      </w:r>
      <w:r>
        <w:t xml:space="preserve">.”</w:t>
      </w:r>
      <w:r>
        <w:t xml:space="preserve"> </w:t>
      </w:r>
      <w:r>
        <w:rPr>
          <w:i/>
          <w:iCs/>
        </w:rPr>
        <w:t xml:space="preserve">Journal of Travel &amp; Tourism Marketing</w:t>
      </w:r>
      <w:r>
        <w:t xml:space="preserve"> </w:t>
      </w:r>
      <w:r>
        <w:t xml:space="preserve">18 (2): 15–30.</w:t>
      </w:r>
      <w:r>
        <w:t xml:space="preserve"> </w:t>
      </w:r>
      <w:hyperlink r:id="rId56">
        <w:r>
          <w:rPr>
            <w:rStyle w:val="Hyperlink"/>
          </w:rPr>
          <w:t xml:space="preserve">https://doi.org/10.1300/J073v18n02_02</w:t>
        </w:r>
      </w:hyperlink>
      <w:r>
        <w:t xml:space="preserve">.</w:t>
      </w:r>
    </w:p>
    <w:bookmarkEnd w:id="57"/>
    <w:bookmarkStart w:id="59" w:name="ref-klein_subsidizing_2024"/>
    <w:p>
      <w:pPr>
        <w:pStyle w:val="Bibliography"/>
      </w:pPr>
      <w:r>
        <w:t xml:space="preserve">Klein, Nicholas J. 2024.</w:t>
      </w:r>
      <w:r>
        <w:t xml:space="preserve"> </w:t>
      </w:r>
      <w:r>
        <w:t xml:space="preserve">“Subsidizing</w:t>
      </w:r>
      <w:r>
        <w:t xml:space="preserve"> </w:t>
      </w:r>
      <w:r>
        <w:t xml:space="preserve">Car</w:t>
      </w:r>
      <w:r>
        <w:t xml:space="preserve"> </w:t>
      </w:r>
      <w:r>
        <w:t xml:space="preserve">Ownership</w:t>
      </w:r>
      <w:r>
        <w:t xml:space="preserve"> </w:t>
      </w:r>
      <w:r>
        <w:t xml:space="preserve">for</w:t>
      </w:r>
      <w:r>
        <w:t xml:space="preserve"> </w:t>
      </w:r>
      <w:r>
        <w:t xml:space="preserve">Low</w:t>
      </w:r>
      <w:r>
        <w:t xml:space="preserve">-</w:t>
      </w:r>
      <w:r>
        <w:t xml:space="preserve">Income</w:t>
      </w:r>
      <w:r>
        <w:t xml:space="preserve"> </w:t>
      </w:r>
      <w:r>
        <w:t xml:space="preserve">Individuals</w:t>
      </w:r>
      <w:r>
        <w:t xml:space="preserve"> </w:t>
      </w:r>
      <w:r>
        <w:t xml:space="preserve">and</w:t>
      </w:r>
      <w:r>
        <w:t xml:space="preserve"> </w:t>
      </w:r>
      <w:r>
        <w:t xml:space="preserve">Households</w:t>
      </w:r>
      <w:r>
        <w:t xml:space="preserve">.”</w:t>
      </w:r>
      <w:r>
        <w:t xml:space="preserve"> </w:t>
      </w:r>
      <w:r>
        <w:rPr>
          <w:i/>
          <w:iCs/>
        </w:rPr>
        <w:t xml:space="preserve">Journal of Planning Education and Research</w:t>
      </w:r>
      <w:r>
        <w:t xml:space="preserve"> </w:t>
      </w:r>
      <w:r>
        <w:t xml:space="preserve">44 (1): 165–77.</w:t>
      </w:r>
      <w:r>
        <w:t xml:space="preserve"> </w:t>
      </w:r>
      <w:hyperlink r:id="rId58">
        <w:r>
          <w:rPr>
            <w:rStyle w:val="Hyperlink"/>
          </w:rPr>
          <w:t xml:space="preserve">https://doi.org/10.1177/0739456X20950428</w:t>
        </w:r>
      </w:hyperlink>
      <w:r>
        <w:t xml:space="preserve">.</w:t>
      </w:r>
    </w:p>
    <w:bookmarkEnd w:id="59"/>
    <w:bookmarkStart w:id="61" w:name="ref-leung_environment-people_2019"/>
    <w:p>
      <w:pPr>
        <w:pStyle w:val="Bibliography"/>
      </w:pPr>
      <w:r>
        <w:t xml:space="preserve">Leung, Kevin Y. K., Sebastian Astroza, Becky P. Y. Loo, and Chandra R. Bhat. 2019.</w:t>
      </w:r>
      <w:r>
        <w:t xml:space="preserve"> </w:t>
      </w:r>
      <w:r>
        <w:t xml:space="preserve">“An Environment-People Interactions Framework for Analysing Children’s Extra-Curricular Activities and Active Transport.”</w:t>
      </w:r>
      <w:r>
        <w:t xml:space="preserve"> </w:t>
      </w:r>
      <w:r>
        <w:rPr>
          <w:i/>
          <w:iCs/>
        </w:rPr>
        <w:t xml:space="preserve">Journal of Transport Geography</w:t>
      </w:r>
      <w:r>
        <w:t xml:space="preserve"> </w:t>
      </w:r>
      <w:r>
        <w:t xml:space="preserve">74 (January): 341–58.</w:t>
      </w:r>
      <w:r>
        <w:t xml:space="preserve"> </w:t>
      </w:r>
      <w:hyperlink r:id="rId60">
        <w:r>
          <w:rPr>
            <w:rStyle w:val="Hyperlink"/>
          </w:rPr>
          <w:t xml:space="preserve">https://doi.org/10.1016/j.jtrangeo.2018.12.015</w:t>
        </w:r>
      </w:hyperlink>
      <w:r>
        <w:t xml:space="preserve">.</w:t>
      </w:r>
    </w:p>
    <w:bookmarkEnd w:id="61"/>
    <w:bookmarkStart w:id="63" w:name="ref-lino_expenditures_2017"/>
    <w:p>
      <w:pPr>
        <w:pStyle w:val="Bibliography"/>
      </w:pPr>
      <w:r>
        <w:t xml:space="preserve">Lino, Mark, Kevin Kuczynski, Nestor Rodriguez, and TusaRebecca Schap. 2017.</w:t>
      </w:r>
      <w:r>
        <w:t xml:space="preserve"> </w:t>
      </w:r>
      <w:r>
        <w:t xml:space="preserve">“Expenditures on</w:t>
      </w:r>
      <w:r>
        <w:t xml:space="preserve"> </w:t>
      </w:r>
      <w:r>
        <w:t xml:space="preserve">Children</w:t>
      </w:r>
      <w:r>
        <w:t xml:space="preserve"> </w:t>
      </w:r>
      <w:r>
        <w:t xml:space="preserve">by</w:t>
      </w:r>
      <w:r>
        <w:t xml:space="preserve"> </w:t>
      </w:r>
      <w:r>
        <w:t xml:space="preserve">Families</w:t>
      </w:r>
      <w:r>
        <w:t xml:space="preserve">, 2015.”</w:t>
      </w:r>
      <w:r>
        <w:t xml:space="preserve"> </w:t>
      </w:r>
      <w:r>
        <w:t xml:space="preserve">United States Department of Agriculture.</w:t>
      </w:r>
      <w:r>
        <w:t xml:space="preserve"> </w:t>
      </w:r>
      <w:hyperlink r:id="rId62">
        <w:r>
          <w:rPr>
            <w:rStyle w:val="Hyperlink"/>
          </w:rPr>
          <w:t xml:space="preserve">https://doi.org/10.22004/ag.econ.327257</w:t>
        </w:r>
      </w:hyperlink>
      <w:r>
        <w:t xml:space="preserve">.</w:t>
      </w:r>
    </w:p>
    <w:bookmarkEnd w:id="63"/>
    <w:bookmarkStart w:id="65" w:name="ref-lu_role_2022"/>
    <w:p>
      <w:pPr>
        <w:pStyle w:val="Bibliography"/>
      </w:pPr>
      <w:r>
        <w:t xml:space="preserve">Lu, Ying, Carlo G. Prato, Neil Sipe, Anthony Kimpton, and Jonathan Corcoran. 2022.</w:t>
      </w:r>
      <w:r>
        <w:t xml:space="preserve"> </w:t>
      </w:r>
      <w:r>
        <w:t xml:space="preserve">“The Role of Household Modality Style in First and Last Mile Travel Mode Choice.”</w:t>
      </w:r>
      <w:r>
        <w:t xml:space="preserve"> </w:t>
      </w:r>
      <w:r>
        <w:rPr>
          <w:i/>
          <w:iCs/>
        </w:rPr>
        <w:t xml:space="preserve">Transportation Research Part A: Policy and Practice</w:t>
      </w:r>
      <w:r>
        <w:t xml:space="preserve"> </w:t>
      </w:r>
      <w:r>
        <w:t xml:space="preserve">158 (April): 95–109.</w:t>
      </w:r>
      <w:r>
        <w:t xml:space="preserve"> </w:t>
      </w:r>
      <w:hyperlink r:id="rId64">
        <w:r>
          <w:rPr>
            <w:rStyle w:val="Hyperlink"/>
          </w:rPr>
          <w:t xml:space="preserve">https://doi.org/10.1016/j.tra.2022.02.003</w:t>
        </w:r>
      </w:hyperlink>
      <w:r>
        <w:t xml:space="preserve">.</w:t>
      </w:r>
    </w:p>
    <w:bookmarkEnd w:id="65"/>
    <w:bookmarkStart w:id="67" w:name="ref-mattson_relationships_2020"/>
    <w:p>
      <w:pPr>
        <w:pStyle w:val="Bibliography"/>
      </w:pPr>
      <w:r>
        <w:t xml:space="preserve">Mattson, Jeremy. 2020.</w:t>
      </w:r>
      <w:r>
        <w:t xml:space="preserve"> </w:t>
      </w:r>
      <w:r>
        <w:t xml:space="preserve">“Relationships Between Density, Transit, and Household Expenditures in Small Urban Areas.”</w:t>
      </w:r>
      <w:r>
        <w:t xml:space="preserve"> </w:t>
      </w:r>
      <w:r>
        <w:rPr>
          <w:i/>
          <w:iCs/>
        </w:rPr>
        <w:t xml:space="preserve">Transportation Research Interdisciplinary Perspectives</w:t>
      </w:r>
      <w:r>
        <w:t xml:space="preserve"> </w:t>
      </w:r>
      <w:r>
        <w:t xml:space="preserve">8 (November): 100260.</w:t>
      </w:r>
      <w:r>
        <w:t xml:space="preserve"> </w:t>
      </w:r>
      <w:hyperlink r:id="rId66">
        <w:r>
          <w:rPr>
            <w:rStyle w:val="Hyperlink"/>
          </w:rPr>
          <w:t xml:space="preserve">https://doi.org/10.1016/j.trip.2020.100260</w:t>
        </w:r>
      </w:hyperlink>
      <w:r>
        <w:t xml:space="preserve">.</w:t>
      </w:r>
    </w:p>
    <w:bookmarkEnd w:id="67"/>
    <w:bookmarkStart w:id="68" w:name="ref-mattson_relationships_2019"/>
    <w:p>
      <w:pPr>
        <w:pStyle w:val="Bibliography"/>
      </w:pPr>
      <w:r>
        <w:t xml:space="preserve">Mattson, Jeremy, and Del Peterson. 2019.</w:t>
      </w:r>
      <w:r>
        <w:t xml:space="preserve"> </w:t>
      </w:r>
      <w:r>
        <w:t xml:space="preserve">“Relationships Between</w:t>
      </w:r>
      <w:r>
        <w:t xml:space="preserve"> </w:t>
      </w:r>
      <w:r>
        <w:t xml:space="preserve">Land</w:t>
      </w:r>
      <w:r>
        <w:t xml:space="preserve"> </w:t>
      </w:r>
      <w:r>
        <w:t xml:space="preserve">Use</w:t>
      </w:r>
      <w:r>
        <w:t xml:space="preserve">,</w:t>
      </w:r>
      <w:r>
        <w:t xml:space="preserve"> </w:t>
      </w:r>
      <w:r>
        <w:t xml:space="preserve">Transportation</w:t>
      </w:r>
      <w:r>
        <w:t xml:space="preserve">,</w:t>
      </w:r>
      <w:r>
        <w:t xml:space="preserve"> </w:t>
      </w:r>
      <w:r>
        <w:t xml:space="preserve">Household</w:t>
      </w:r>
      <w:r>
        <w:t xml:space="preserve"> </w:t>
      </w:r>
      <w:r>
        <w:t xml:space="preserve">Expenditures</w:t>
      </w:r>
      <w:r>
        <w:t xml:space="preserve">, and</w:t>
      </w:r>
      <w:r>
        <w:t xml:space="preserve"> </w:t>
      </w:r>
      <w:r>
        <w:t xml:space="preserve">Municipal</w:t>
      </w:r>
      <w:r>
        <w:t xml:space="preserve"> </w:t>
      </w:r>
      <w:r>
        <w:t xml:space="preserve">Spending</w:t>
      </w:r>
      <w:r>
        <w:t xml:space="preserve"> </w:t>
      </w:r>
      <w:r>
        <w:t xml:space="preserve">in</w:t>
      </w:r>
      <w:r>
        <w:t xml:space="preserve"> </w:t>
      </w:r>
      <w:r>
        <w:t xml:space="preserve">Small</w:t>
      </w:r>
      <w:r>
        <w:t xml:space="preserve"> </w:t>
      </w:r>
      <w:r>
        <w:t xml:space="preserve">Urban</w:t>
      </w:r>
      <w:r>
        <w:t xml:space="preserve"> </w:t>
      </w:r>
      <w:r>
        <w:t xml:space="preserve">Areas</w:t>
      </w:r>
      <w:r>
        <w:t xml:space="preserve">,”</w:t>
      </w:r>
      <w:r>
        <w:t xml:space="preserve"> </w:t>
      </w:r>
      <w:r>
        <w:t xml:space="preserve">December.</w:t>
      </w:r>
    </w:p>
    <w:bookmarkEnd w:id="68"/>
    <w:bookmarkStart w:id="70" w:name="ref-mccarthy_factors_2017"/>
    <w:p>
      <w:pPr>
        <w:pStyle w:val="Bibliography"/>
      </w:pPr>
      <w:r>
        <w:t xml:space="preserve">McCarthy, Laura, Alexa Delbosc, Graham Currie, and Andrew Molloy. 2017.</w:t>
      </w:r>
      <w:r>
        <w:t xml:space="preserve"> </w:t>
      </w:r>
      <w:r>
        <w:t xml:space="preserve">“Factors Influencing Travel Mode Choice Among Families with Young Children (Aged 0–4): A Review of the Literature.”</w:t>
      </w:r>
      <w:r>
        <w:t xml:space="preserve"> </w:t>
      </w:r>
      <w:r>
        <w:rPr>
          <w:i/>
          <w:iCs/>
        </w:rPr>
        <w:t xml:space="preserve">Transport Reviews</w:t>
      </w:r>
      <w:r>
        <w:t xml:space="preserve"> </w:t>
      </w:r>
      <w:r>
        <w:t xml:space="preserve">37 (6): 767–81.</w:t>
      </w:r>
      <w:r>
        <w:t xml:space="preserve"> </w:t>
      </w:r>
      <w:hyperlink r:id="rId69">
        <w:r>
          <w:rPr>
            <w:rStyle w:val="Hyperlink"/>
          </w:rPr>
          <w:t xml:space="preserve">https://doi.org/10.1080/01441647.2017.1354942</w:t>
        </w:r>
      </w:hyperlink>
      <w:r>
        <w:t xml:space="preserve">.</w:t>
      </w:r>
    </w:p>
    <w:bookmarkEnd w:id="70"/>
    <w:bookmarkStart w:id="72" w:name="ref-molloy_new_2024"/>
    <w:p>
      <w:pPr>
        <w:pStyle w:val="Bibliography"/>
      </w:pPr>
      <w:r>
        <w:t xml:space="preserve">Molloy, Quinn, Norman Garrick, and Carol Atkinson-Palombo. 2024.</w:t>
      </w:r>
      <w:r>
        <w:t xml:space="preserve"> </w:t>
      </w:r>
      <w:r>
        <w:t xml:space="preserve">“A</w:t>
      </w:r>
      <w:r>
        <w:t xml:space="preserve"> </w:t>
      </w:r>
      <w:r>
        <w:t xml:space="preserve">New</w:t>
      </w:r>
      <w:r>
        <w:t xml:space="preserve"> </w:t>
      </w:r>
      <w:r>
        <w:t xml:space="preserve">Approach</w:t>
      </w:r>
      <w:r>
        <w:t xml:space="preserve"> </w:t>
      </w:r>
      <w:r>
        <w:t xml:space="preserve">to</w:t>
      </w:r>
      <w:r>
        <w:t xml:space="preserve"> </w:t>
      </w:r>
      <w:r>
        <w:t xml:space="preserve">Understanding</w:t>
      </w:r>
      <w:r>
        <w:t xml:space="preserve"> </w:t>
      </w:r>
      <w:r>
        <w:t xml:space="preserve">the</w:t>
      </w:r>
      <w:r>
        <w:t xml:space="preserve"> </w:t>
      </w:r>
      <w:r>
        <w:t xml:space="preserve">Impact</w:t>
      </w:r>
      <w:r>
        <w:t xml:space="preserve"> </w:t>
      </w:r>
      <w:r>
        <w:t xml:space="preserve">of</w:t>
      </w:r>
      <w:r>
        <w:t xml:space="preserve"> </w:t>
      </w:r>
      <w:r>
        <w:t xml:space="preserve">Automobile</w:t>
      </w:r>
      <w:r>
        <w:t xml:space="preserve"> </w:t>
      </w:r>
      <w:r>
        <w:t xml:space="preserve">Ownership</w:t>
      </w:r>
      <w:r>
        <w:t xml:space="preserve"> </w:t>
      </w:r>
      <w:r>
        <w:t xml:space="preserve">on</w:t>
      </w:r>
      <w:r>
        <w:t xml:space="preserve"> </w:t>
      </w:r>
      <w:r>
        <w:t xml:space="preserve">Transportation</w:t>
      </w:r>
      <w:r>
        <w:t xml:space="preserve"> </w:t>
      </w:r>
      <w:r>
        <w:t xml:space="preserve">Equity</w:t>
      </w:r>
      <w:r>
        <w:t xml:space="preserve">.”</w:t>
      </w:r>
      <w:r>
        <w:t xml:space="preserve"> </w:t>
      </w:r>
      <w:r>
        <w:rPr>
          <w:i/>
          <w:iCs/>
        </w:rPr>
        <w:t xml:space="preserve">Transportation Research Record</w:t>
      </w:r>
      <w:r>
        <w:t xml:space="preserve"> </w:t>
      </w:r>
      <w:r>
        <w:t xml:space="preserve">2678 (2): 366–76.</w:t>
      </w:r>
      <w:r>
        <w:t xml:space="preserve"> </w:t>
      </w:r>
      <w:hyperlink r:id="rId71">
        <w:r>
          <w:rPr>
            <w:rStyle w:val="Hyperlink"/>
          </w:rPr>
          <w:t xml:space="preserve">https://doi.org/10.1177/03611981231174444</w:t>
        </w:r>
      </w:hyperlink>
      <w:r>
        <w:t xml:space="preserve">.</w:t>
      </w:r>
    </w:p>
    <w:bookmarkEnd w:id="72"/>
    <w:bookmarkStart w:id="74" w:name="ref-morris_family_1979"/>
    <w:p>
      <w:pPr>
        <w:pStyle w:val="Bibliography"/>
      </w:pPr>
      <w:r>
        <w:t xml:space="preserve">Morris, J. M., and M. R. Wigan. 1979.</w:t>
      </w:r>
      <w:r>
        <w:t xml:space="preserve"> </w:t>
      </w:r>
      <w:r>
        <w:t xml:space="preserve">“A Family Expenditure Perspective on Transport Planning:</w:t>
      </w:r>
      <w:r>
        <w:t xml:space="preserve"> </w:t>
      </w:r>
      <w:r>
        <w:t xml:space="preserve">Australian</w:t>
      </w:r>
      <w:r>
        <w:t xml:space="preserve"> </w:t>
      </w:r>
      <w:r>
        <w:t xml:space="preserve">Evidence in Context.”</w:t>
      </w:r>
      <w:r>
        <w:t xml:space="preserve"> </w:t>
      </w:r>
      <w:r>
        <w:rPr>
          <w:i/>
          <w:iCs/>
        </w:rPr>
        <w:t xml:space="preserve">Transportation Research Part A: General</w:t>
      </w:r>
      <w:r>
        <w:t xml:space="preserve"> </w:t>
      </w:r>
      <w:r>
        <w:t xml:space="preserve">13 (4): 249–85.</w:t>
      </w:r>
      <w:r>
        <w:t xml:space="preserve"> </w:t>
      </w:r>
      <w:hyperlink r:id="rId73">
        <w:r>
          <w:rPr>
            <w:rStyle w:val="Hyperlink"/>
          </w:rPr>
          <w:t xml:space="preserve">https://doi.org/10.1016/0191-2607(79)90051-7</w:t>
        </w:r>
      </w:hyperlink>
      <w:r>
        <w:t xml:space="preserve">.</w:t>
      </w:r>
    </w:p>
    <w:bookmarkEnd w:id="74"/>
    <w:bookmarkStart w:id="76" w:name="ref-nayga_sample_1998"/>
    <w:p>
      <w:pPr>
        <w:pStyle w:val="Bibliography"/>
      </w:pPr>
      <w:r>
        <w:t xml:space="preserve">Nayga, Rodolfo M. 1998.</w:t>
      </w:r>
      <w:r>
        <w:t xml:space="preserve"> </w:t>
      </w:r>
      <w:r>
        <w:t xml:space="preserve">“A Sample Selection Model for Prepared Food Expenditures.”</w:t>
      </w:r>
      <w:r>
        <w:t xml:space="preserve"> </w:t>
      </w:r>
      <w:r>
        <w:rPr>
          <w:i/>
          <w:iCs/>
        </w:rPr>
        <w:t xml:space="preserve">Applied Economics</w:t>
      </w:r>
      <w:r>
        <w:t xml:space="preserve"> </w:t>
      </w:r>
      <w:r>
        <w:t xml:space="preserve">30 (3): 345–52.</w:t>
      </w:r>
      <w:r>
        <w:t xml:space="preserve"> </w:t>
      </w:r>
      <w:hyperlink r:id="rId75">
        <w:r>
          <w:rPr>
            <w:rStyle w:val="Hyperlink"/>
          </w:rPr>
          <w:t xml:space="preserve">https://doi.org/10.1080/000368498325868</w:t>
        </w:r>
      </w:hyperlink>
      <w:r>
        <w:t xml:space="preserve">.</w:t>
      </w:r>
    </w:p>
    <w:bookmarkEnd w:id="76"/>
    <w:bookmarkStart w:id="77" w:name="ref-osborne_updated_2021"/>
    <w:p>
      <w:pPr>
        <w:pStyle w:val="Bibliography"/>
      </w:pPr>
      <w:r>
        <w:t xml:space="preserve">Osborne, Cynthia, Erin Wu, and Kaeley Benson. 2021.</w:t>
      </w:r>
      <w:r>
        <w:t xml:space="preserve"> </w:t>
      </w:r>
      <w:r>
        <w:t xml:space="preserve">“An</w:t>
      </w:r>
      <w:r>
        <w:t xml:space="preserve"> </w:t>
      </w:r>
      <w:r>
        <w:t xml:space="preserve">Updated</w:t>
      </w:r>
      <w:r>
        <w:t xml:space="preserve"> </w:t>
      </w:r>
      <w:r>
        <w:t xml:space="preserve">Estimation</w:t>
      </w:r>
      <w:r>
        <w:t xml:space="preserve"> </w:t>
      </w:r>
      <w:r>
        <w:t xml:space="preserve">Model</w:t>
      </w:r>
      <w:r>
        <w:t xml:space="preserve"> </w:t>
      </w:r>
      <w:r>
        <w:t xml:space="preserve">of the</w:t>
      </w:r>
      <w:r>
        <w:t xml:space="preserve"> </w:t>
      </w:r>
      <w:r>
        <w:t xml:space="preserve">Cost</w:t>
      </w:r>
      <w:r>
        <w:t xml:space="preserve"> </w:t>
      </w:r>
      <w:r>
        <w:t xml:space="preserve">of</w:t>
      </w:r>
      <w:r>
        <w:t xml:space="preserve"> </w:t>
      </w:r>
      <w:r>
        <w:t xml:space="preserve">Raising</w:t>
      </w:r>
      <w:r>
        <w:t xml:space="preserve"> </w:t>
      </w:r>
      <w:r>
        <w:t xml:space="preserve">Children</w:t>
      </w:r>
      <w:r>
        <w:t xml:space="preserve"> </w:t>
      </w:r>
      <w:r>
        <w:t xml:space="preserve">in</w:t>
      </w:r>
      <w:r>
        <w:t xml:space="preserve"> </w:t>
      </w:r>
      <w:r>
        <w:t xml:space="preserve">Texas</w:t>
      </w:r>
      <w:r>
        <w:t xml:space="preserve">.”</w:t>
      </w:r>
    </w:p>
    <w:bookmarkEnd w:id="77"/>
    <w:bookmarkStart w:id="79" w:name="ref-paleti_empirical_2011"/>
    <w:p>
      <w:pPr>
        <w:pStyle w:val="Bibliography"/>
      </w:pPr>
      <w:r>
        <w:t xml:space="preserve">Paleti, Rajesh, Rachel B. Copperman, and Chandra R. Bhat. 2011.</w:t>
      </w:r>
      <w:r>
        <w:t xml:space="preserve"> </w:t>
      </w:r>
      <w:r>
        <w:t xml:space="preserve">“An Empirical Analysis of Children’s After School Out-of-Home Activity-Location Engagement Patterns and Time Allocation.”</w:t>
      </w:r>
      <w:r>
        <w:t xml:space="preserve"> </w:t>
      </w:r>
      <w:r>
        <w:rPr>
          <w:i/>
          <w:iCs/>
        </w:rPr>
        <w:t xml:space="preserve">Transportation</w:t>
      </w:r>
      <w:r>
        <w:t xml:space="preserve"> </w:t>
      </w:r>
      <w:r>
        <w:t xml:space="preserve">38 (2): 273–303.</w:t>
      </w:r>
      <w:r>
        <w:t xml:space="preserve"> </w:t>
      </w:r>
      <w:hyperlink r:id="rId78">
        <w:r>
          <w:rPr>
            <w:rStyle w:val="Hyperlink"/>
          </w:rPr>
          <w:t xml:space="preserve">https://doi.org/10.1007/s11116-010-9300-2</w:t>
        </w:r>
      </w:hyperlink>
      <w:r>
        <w:t xml:space="preserve">.</w:t>
      </w:r>
    </w:p>
    <w:bookmarkEnd w:id="79"/>
    <w:bookmarkStart w:id="81" w:name="ref-sabelhaus_is_2013"/>
    <w:p>
      <w:pPr>
        <w:pStyle w:val="Bibliography"/>
      </w:pPr>
      <w:r>
        <w:t xml:space="preserve">Sabelhaus, John, David Johnson, Stephen Ash, David Swanson, Thesia Garner, John Greenlees, and Steve Henderson. 2013.</w:t>
      </w:r>
      <w:r>
        <w:t xml:space="preserve"> </w:t>
      </w:r>
      <w:r>
        <w:t xml:space="preserve">“Is the</w:t>
      </w:r>
      <w:r>
        <w:t xml:space="preserve"> </w:t>
      </w:r>
      <w:r>
        <w:t xml:space="preserve">Consumer</w:t>
      </w:r>
      <w:r>
        <w:t xml:space="preserve"> </w:t>
      </w:r>
      <w:r>
        <w:t xml:space="preserve">Expenditure</w:t>
      </w:r>
      <w:r>
        <w:t xml:space="preserve"> </w:t>
      </w:r>
      <w:r>
        <w:t xml:space="preserve">Survey</w:t>
      </w:r>
      <w:r>
        <w:t xml:space="preserve"> </w:t>
      </w:r>
      <w:r>
        <w:t xml:space="preserve">Representative</w:t>
      </w:r>
      <w:r>
        <w:t xml:space="preserve"> </w:t>
      </w:r>
      <w:r>
        <w:t xml:space="preserve">by</w:t>
      </w:r>
      <w:r>
        <w:t xml:space="preserve"> </w:t>
      </w:r>
      <w:r>
        <w:t xml:space="preserve">Income</w:t>
      </w:r>
      <w:r>
        <w:t xml:space="preserve">?”</w:t>
      </w:r>
      <w:r>
        <w:t xml:space="preserve"> w19589. National Bureau of Economic Research.</w:t>
      </w:r>
      <w:r>
        <w:t xml:space="preserve"> </w:t>
      </w:r>
      <w:hyperlink r:id="rId80">
        <w:r>
          <w:rPr>
            <w:rStyle w:val="Hyperlink"/>
          </w:rPr>
          <w:t xml:space="preserve">https://doi.org/10.3386/w19589</w:t>
        </w:r>
      </w:hyperlink>
      <w:r>
        <w:t xml:space="preserve">.</w:t>
      </w:r>
    </w:p>
    <w:bookmarkEnd w:id="81"/>
    <w:bookmarkStart w:id="83" w:name="ref-sener_analysis_2007"/>
    <w:p>
      <w:pPr>
        <w:pStyle w:val="Bibliography"/>
      </w:pPr>
      <w:r>
        <w:t xml:space="preserve">Sener, Ipek N., and Chandra R. Bhat. 2007.</w:t>
      </w:r>
      <w:r>
        <w:t xml:space="preserve"> </w:t>
      </w:r>
      <w:r>
        <w:t xml:space="preserve">“An Analysis of the Social Context of Children’s Weekend Discretionary Activity Participation.”</w:t>
      </w:r>
      <w:r>
        <w:t xml:space="preserve"> </w:t>
      </w:r>
      <w:r>
        <w:rPr>
          <w:i/>
          <w:iCs/>
        </w:rPr>
        <w:t xml:space="preserve">Transportation</w:t>
      </w:r>
      <w:r>
        <w:t xml:space="preserve"> </w:t>
      </w:r>
      <w:r>
        <w:t xml:space="preserve">34 (6): 697–721.</w:t>
      </w:r>
      <w:r>
        <w:t xml:space="preserve"> </w:t>
      </w:r>
      <w:hyperlink r:id="rId82">
        <w:r>
          <w:rPr>
            <w:rStyle w:val="Hyperlink"/>
          </w:rPr>
          <w:t xml:space="preserve">https://doi.org/10.1007/s11116-007-9125-9</w:t>
        </w:r>
      </w:hyperlink>
      <w:r>
        <w:t xml:space="preserve">.</w:t>
      </w:r>
    </w:p>
    <w:bookmarkEnd w:id="83"/>
    <w:bookmarkStart w:id="85" w:name="ref-sener_analysis_2008"/>
    <w:p>
      <w:pPr>
        <w:pStyle w:val="Bibliography"/>
      </w:pPr>
      <w:r>
        <w:t xml:space="preserve">Sener, Ipek N., Rachel B. Copperman, Ram M. Pendyala, and Chandra R. Bhat. 2008.</w:t>
      </w:r>
      <w:r>
        <w:t xml:space="preserve"> </w:t>
      </w:r>
      <w:r>
        <w:t xml:space="preserve">“An Analysis of Children’s Leisure Activity Engagement: Examining the Day of Week, Location, Physical Activity Level, and Fixity Dimensions.”</w:t>
      </w:r>
      <w:r>
        <w:t xml:space="preserve"> </w:t>
      </w:r>
      <w:r>
        <w:rPr>
          <w:i/>
          <w:iCs/>
        </w:rPr>
        <w:t xml:space="preserve">Transportation</w:t>
      </w:r>
      <w:r>
        <w:t xml:space="preserve"> </w:t>
      </w:r>
      <w:r>
        <w:t xml:space="preserve">35 (5): 673–96.</w:t>
      </w:r>
      <w:r>
        <w:t xml:space="preserve"> </w:t>
      </w:r>
      <w:hyperlink r:id="rId84">
        <w:r>
          <w:rPr>
            <w:rStyle w:val="Hyperlink"/>
          </w:rPr>
          <w:t xml:space="preserve">https://doi.org/10.1007/s11116-008-9173-9</w:t>
        </w:r>
      </w:hyperlink>
      <w:r>
        <w:t xml:space="preserve">.</w:t>
      </w:r>
    </w:p>
    <w:bookmarkEnd w:id="85"/>
    <w:bookmarkStart w:id="87" w:name="ref-skinner_variable_1985"/>
    <w:p>
      <w:pPr>
        <w:pStyle w:val="Bibliography"/>
      </w:pPr>
      <w:r>
        <w:t xml:space="preserve">Skinner, Jonathan. 1985.</w:t>
      </w:r>
      <w:r>
        <w:t xml:space="preserve"> </w:t>
      </w:r>
      <w:r>
        <w:t xml:space="preserve">“Variable</w:t>
      </w:r>
      <w:r>
        <w:t xml:space="preserve"> </w:t>
      </w:r>
      <w:r>
        <w:t xml:space="preserve">Lifespan</w:t>
      </w:r>
      <w:r>
        <w:t xml:space="preserve"> </w:t>
      </w:r>
      <w:r>
        <w:t xml:space="preserve">and the</w:t>
      </w:r>
      <w:r>
        <w:t xml:space="preserve"> </w:t>
      </w:r>
      <w:r>
        <w:t xml:space="preserve">Intertemporal</w:t>
      </w:r>
      <w:r>
        <w:t xml:space="preserve"> </w:t>
      </w:r>
      <w:r>
        <w:t xml:space="preserve">Elasticity</w:t>
      </w:r>
      <w:r>
        <w:t xml:space="preserve"> </w:t>
      </w:r>
      <w:r>
        <w:t xml:space="preserve">of</w:t>
      </w:r>
      <w:r>
        <w:t xml:space="preserve"> </w:t>
      </w:r>
      <w:r>
        <w:t xml:space="preserve">Consumption</w:t>
      </w:r>
      <w:r>
        <w:t xml:space="preserve">.”</w:t>
      </w:r>
      <w:r>
        <w:t xml:space="preserve"> </w:t>
      </w:r>
      <w:r>
        <w:rPr>
          <w:i/>
          <w:iCs/>
        </w:rPr>
        <w:t xml:space="preserve">The Review of Economics and Statistics</w:t>
      </w:r>
      <w:r>
        <w:t xml:space="preserve"> </w:t>
      </w:r>
      <w:r>
        <w:t xml:space="preserve">67 (4): 616–23.</w:t>
      </w:r>
      <w:r>
        <w:t xml:space="preserve"> </w:t>
      </w:r>
      <w:hyperlink r:id="rId86">
        <w:r>
          <w:rPr>
            <w:rStyle w:val="Hyperlink"/>
          </w:rPr>
          <w:t xml:space="preserve">https://doi.org/10.2307/1924806</w:t>
        </w:r>
      </w:hyperlink>
      <w:r>
        <w:t xml:space="preserve">.</w:t>
      </w:r>
    </w:p>
    <w:bookmarkEnd w:id="87"/>
    <w:bookmarkStart w:id="89" w:name="ref-souche_measuring_2010"/>
    <w:p>
      <w:pPr>
        <w:pStyle w:val="Bibliography"/>
      </w:pPr>
      <w:r>
        <w:t xml:space="preserve">Souche, Stéphanie. 2010.</w:t>
      </w:r>
      <w:r>
        <w:t xml:space="preserve"> </w:t>
      </w:r>
      <w:r>
        <w:t xml:space="preserve">“Measuring the Structural Determinants of Urban Travel Demand.”</w:t>
      </w:r>
      <w:r>
        <w:t xml:space="preserve"> </w:t>
      </w:r>
      <w:r>
        <w:rPr>
          <w:i/>
          <w:iCs/>
        </w:rPr>
        <w:t xml:space="preserve">Transport Policy</w:t>
      </w:r>
      <w:r>
        <w:t xml:space="preserve"> </w:t>
      </w:r>
      <w:r>
        <w:t xml:space="preserve">17 (3): 127–34.</w:t>
      </w:r>
      <w:r>
        <w:t xml:space="preserve"> </w:t>
      </w:r>
      <w:hyperlink r:id="rId88">
        <w:r>
          <w:rPr>
            <w:rStyle w:val="Hyperlink"/>
          </w:rPr>
          <w:t xml:space="preserve">https://doi.org/10.1016/j.tranpol.2009.12.003</w:t>
        </w:r>
      </w:hyperlink>
      <w:r>
        <w:t xml:space="preserve">.</w:t>
      </w:r>
    </w:p>
    <w:bookmarkEnd w:id="89"/>
    <w:bookmarkStart w:id="91" w:name="ref-thakuriah_analysis_2005"/>
    <w:p>
      <w:pPr>
        <w:pStyle w:val="Bibliography"/>
      </w:pPr>
      <w:r>
        <w:t xml:space="preserve">Thakuriah, Piyushimita (Vonu), and Yihua Liao. 2005.</w:t>
      </w:r>
      <w:r>
        <w:t xml:space="preserve"> </w:t>
      </w:r>
      <w:r>
        <w:t xml:space="preserve">“Analysis of</w:t>
      </w:r>
      <w:r>
        <w:t xml:space="preserve"> </w:t>
      </w:r>
      <w:r>
        <w:t xml:space="preserve">Variations</w:t>
      </w:r>
      <w:r>
        <w:t xml:space="preserve"> </w:t>
      </w:r>
      <w:r>
        <w:t xml:space="preserve">in</w:t>
      </w:r>
      <w:r>
        <w:t xml:space="preserve"> </w:t>
      </w:r>
      <w:r>
        <w:t xml:space="preserve">Vehicle</w:t>
      </w:r>
      <w:r>
        <w:t xml:space="preserve"> </w:t>
      </w:r>
      <w:r>
        <w:t xml:space="preserve">Ownership</w:t>
      </w:r>
      <w:r>
        <w:t xml:space="preserve"> </w:t>
      </w:r>
      <w:r>
        <w:t xml:space="preserve">Expenditures</w:t>
      </w:r>
      <w:r>
        <w:t xml:space="preserve">.”</w:t>
      </w:r>
      <w:r>
        <w:t xml:space="preserve"> </w:t>
      </w:r>
      <w:r>
        <w:rPr>
          <w:i/>
          <w:iCs/>
        </w:rPr>
        <w:t xml:space="preserve">Transportation Research Record: Journal of the Transportation Research Board</w:t>
      </w:r>
      <w:r>
        <w:t xml:space="preserve"> </w:t>
      </w:r>
      <w:r>
        <w:t xml:space="preserve">1926 (1): 1–9.</w:t>
      </w:r>
      <w:r>
        <w:t xml:space="preserve"> </w:t>
      </w:r>
      <w:hyperlink r:id="rId90">
        <w:r>
          <w:rPr>
            <w:rStyle w:val="Hyperlink"/>
          </w:rPr>
          <w:t xml:space="preserve">https://doi.org/10.1177/0361198105192600101</w:t>
        </w:r>
      </w:hyperlink>
      <w:r>
        <w:t xml:space="preserve">.</w:t>
      </w:r>
    </w:p>
    <w:bookmarkEnd w:id="91"/>
    <w:bookmarkStart w:id="93" w:name="ref-thakuriah_vonu_transportation_2006"/>
    <w:p>
      <w:pPr>
        <w:pStyle w:val="Bibliography"/>
      </w:pPr>
      <w:r>
        <w:t xml:space="preserve">Thakuriah (Vonu), Piyushimita, and Yihua Liao. 2006.</w:t>
      </w:r>
      <w:r>
        <w:t xml:space="preserve"> </w:t>
      </w:r>
      <w:r>
        <w:t xml:space="preserve">“Transportation</w:t>
      </w:r>
      <w:r>
        <w:t xml:space="preserve"> </w:t>
      </w:r>
      <w:r>
        <w:t xml:space="preserve">Expenditures</w:t>
      </w:r>
      <w:r>
        <w:t xml:space="preserve"> </w:t>
      </w:r>
      <w:r>
        <w:t xml:space="preserve">and</w:t>
      </w:r>
      <w:r>
        <w:t xml:space="preserve"> </w:t>
      </w:r>
      <w:r>
        <w:t xml:space="preserve">Ability</w:t>
      </w:r>
      <w:r>
        <w:t xml:space="preserve"> </w:t>
      </w:r>
      <w:r>
        <w:t xml:space="preserve">to</w:t>
      </w:r>
      <w:r>
        <w:t xml:space="preserve"> </w:t>
      </w:r>
      <w:r>
        <w:t xml:space="preserve">Pay</w:t>
      </w:r>
      <w:r>
        <w:t xml:space="preserve">:</w:t>
      </w:r>
      <w:r>
        <w:t xml:space="preserve"> </w:t>
      </w:r>
      <w:r>
        <w:t xml:space="preserve">Evidence</w:t>
      </w:r>
      <w:r>
        <w:t xml:space="preserve"> </w:t>
      </w:r>
      <w:r>
        <w:t xml:space="preserve">from</w:t>
      </w:r>
      <w:r>
        <w:t xml:space="preserve"> </w:t>
      </w:r>
      <w:r>
        <w:t xml:space="preserve">Consumer</w:t>
      </w:r>
      <w:r>
        <w:t xml:space="preserve"> </w:t>
      </w:r>
      <w:r>
        <w:t xml:space="preserve">Expenditure</w:t>
      </w:r>
      <w:r>
        <w:t xml:space="preserve"> </w:t>
      </w:r>
      <w:r>
        <w:t xml:space="preserve">Survey</w:t>
      </w:r>
      <w:r>
        <w:t xml:space="preserve">.”</w:t>
      </w:r>
      <w:r>
        <w:t xml:space="preserve"> </w:t>
      </w:r>
      <w:r>
        <w:rPr>
          <w:i/>
          <w:iCs/>
        </w:rPr>
        <w:t xml:space="preserve">Transportation Research Record</w:t>
      </w:r>
      <w:r>
        <w:t xml:space="preserve"> </w:t>
      </w:r>
      <w:r>
        <w:t xml:space="preserve">1985 (1): 257–65.</w:t>
      </w:r>
      <w:r>
        <w:t xml:space="preserve"> </w:t>
      </w:r>
      <w:hyperlink r:id="rId92">
        <w:r>
          <w:rPr>
            <w:rStyle w:val="Hyperlink"/>
          </w:rPr>
          <w:t xml:space="preserve">https://doi.org/10.1177/0361198106198500128</w:t>
        </w:r>
      </w:hyperlink>
      <w:r>
        <w:t xml:space="preserve">.</w:t>
      </w:r>
    </w:p>
    <w:bookmarkEnd w:id="93"/>
    <w:bookmarkEnd w:id="94"/>
    <w:bookmarkEnd w:id="95"/>
    <w:sectPr w:rsidR="00F06186">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0A174570"/>
    <w:multiLevelType w:val="multilevel"/>
    <w:tmpl w:val="5E823312"/>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
    <w:nsid w:val="12091B35"/>
    <w:multiLevelType w:val="multilevel"/>
    <w:tmpl w:val="5E823312"/>
    <w:styleLink w:val="CurrentList6"/>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
    <w:nsid w:val="170CD2DE"/>
    <w:multiLevelType w:val="multilevel"/>
    <w:tmpl w:val="0CBE16F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196F5A08"/>
    <w:multiLevelType w:val="multilevel"/>
    <w:tmpl w:val="BD527198"/>
    <w:lvl w:ilvl="0">
      <w:start w:val="1"/>
      <w:numFmt w:val="upperRoman"/>
      <w:lvlText w:val="Article %1."/>
      <w:lvlJc w:val="left"/>
      <w:pPr>
        <w:ind w:firstLine="0" w:left="0"/>
      </w:pPr>
    </w:lvl>
    <w:lvl w:ilvl="1">
      <w:start w:val="1"/>
      <w:numFmt w:val="decimalZero"/>
      <w:isLgl/>
      <w:lvlText w:val="Section %1.%2"/>
      <w:lvlJc w:val="left"/>
      <w:pPr>
        <w:ind w:firstLine="0" w:left="0"/>
      </w:pPr>
    </w:lvl>
    <w:lvl w:ilvl="2">
      <w:start w:val="1"/>
      <w:numFmt w:val="lowerLetter"/>
      <w:lvlText w:val="(%3)"/>
      <w:lvlJc w:val="left"/>
      <w:pPr>
        <w:ind w:hanging="432" w:left="720"/>
      </w:pPr>
    </w:lvl>
    <w:lvl w:ilvl="3">
      <w:start w:val="1"/>
      <w:numFmt w:val="lowerRoman"/>
      <w:lvlText w:val="(%4)"/>
      <w:lvlJc w:val="right"/>
      <w:pPr>
        <w:ind w:hanging="144" w:left="864"/>
      </w:pPr>
    </w:lvl>
    <w:lvl w:ilvl="4">
      <w:start w:val="1"/>
      <w:numFmt w:val="decimal"/>
      <w:lvlText w:val="%5)"/>
      <w:lvlJc w:val="left"/>
      <w:pPr>
        <w:ind w:hanging="432" w:left="1008"/>
      </w:pPr>
    </w:lvl>
    <w:lvl w:ilvl="5">
      <w:start w:val="1"/>
      <w:numFmt w:val="lowerLetter"/>
      <w:lvlText w:val="%6)"/>
      <w:lvlJc w:val="left"/>
      <w:pPr>
        <w:ind w:hanging="432" w:left="1152"/>
      </w:pPr>
    </w:lvl>
    <w:lvl w:ilvl="6">
      <w:start w:val="1"/>
      <w:numFmt w:val="lowerRoman"/>
      <w:lvlText w:val="%7)"/>
      <w:lvlJc w:val="right"/>
      <w:pPr>
        <w:ind w:hanging="288" w:left="1296"/>
      </w:pPr>
    </w:lvl>
    <w:lvl w:ilvl="7">
      <w:start w:val="1"/>
      <w:numFmt w:val="lowerLetter"/>
      <w:lvlText w:val="%8."/>
      <w:lvlJc w:val="left"/>
      <w:pPr>
        <w:ind w:hanging="432" w:left="1440"/>
      </w:pPr>
    </w:lvl>
    <w:lvl w:ilvl="8">
      <w:start w:val="1"/>
      <w:numFmt w:val="lowerRoman"/>
      <w:lvlText w:val="%9."/>
      <w:lvlJc w:val="right"/>
      <w:pPr>
        <w:ind w:hanging="144" w:left="1584"/>
      </w:pPr>
    </w:lvl>
  </w:abstractNum>
  <w:abstractNum w15:restartNumberingAfterBreak="0" w:abstractNumId="4">
    <w:nsid w:val="22E137E1"/>
    <w:multiLevelType w:val="multilevel"/>
    <w:tmpl w:val="2202F1FE"/>
    <w:styleLink w:val="CurrentList3"/>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5">
    <w:nsid w:val="32274A8C"/>
    <w:multiLevelType w:val="multilevel"/>
    <w:tmpl w:val="C1682E04"/>
    <w:styleLink w:val="CurrentList1"/>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6">
    <w:nsid w:val="3AE358D6"/>
    <w:multiLevelType w:val="multilevel"/>
    <w:tmpl w:val="C1682E04"/>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7">
    <w:nsid w:val="3E6D1870"/>
    <w:multiLevelType w:val="multilevel"/>
    <w:tmpl w:val="358E1780"/>
    <w:styleLink w:val="CurrentList4"/>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8">
    <w:nsid w:val="606B2164"/>
    <w:multiLevelType w:val="multilevel"/>
    <w:tmpl w:val="0BC630BE"/>
    <w:styleLink w:val="CurrentList2"/>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9">
    <w:nsid w:val="67CC4707"/>
    <w:multiLevelType w:val="multilevel"/>
    <w:tmpl w:val="246EE08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0">
    <w:nsid w:val="72591C35"/>
    <w:multiLevelType w:val="multilevel"/>
    <w:tmpl w:val="246EE080"/>
    <w:styleLink w:val="CurrentList5"/>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734355193" w:numId="1">
    <w:abstractNumId w:val="2"/>
  </w:num>
  <w:num w16cid:durableId="1603874240" w:numId="2">
    <w:abstractNumId w:val="6"/>
  </w:num>
  <w:num w16cid:durableId="1314483353" w:numId="3">
    <w:abstractNumId w:val="0"/>
  </w:num>
  <w:num w16cid:durableId="1300576016" w:numId="4">
    <w:abstractNumId w:val="9"/>
  </w:num>
  <w:num w16cid:durableId="704477132" w:numId="5">
    <w:abstractNumId w:val="3"/>
  </w:num>
  <w:num w16cid:durableId="605620385" w:numId="6">
    <w:abstractNumId w:val="3"/>
  </w:num>
  <w:num w16cid:durableId="997539110" w:numId="7">
    <w:abstractNumId w:val="3"/>
  </w:num>
  <w:num w16cid:durableId="506939983" w:numId="8">
    <w:abstractNumId w:val="3"/>
  </w:num>
  <w:num w16cid:durableId="220870042" w:numId="9">
    <w:abstractNumId w:val="3"/>
  </w:num>
  <w:num w16cid:durableId="410856602" w:numId="10">
    <w:abstractNumId w:val="3"/>
  </w:num>
  <w:num w16cid:durableId="530993547" w:numId="11">
    <w:abstractNumId w:val="5"/>
  </w:num>
  <w:num w16cid:durableId="1132214860" w:numId="12">
    <w:abstractNumId w:val="8"/>
  </w:num>
  <w:num w16cid:durableId="1972320487" w:numId="13">
    <w:abstractNumId w:val="4"/>
  </w:num>
  <w:num w16cid:durableId="1223710168" w:numId="14">
    <w:abstractNumId w:val="7"/>
  </w:num>
  <w:num w16cid:durableId="1425879406" w:numId="15">
    <w:abstractNumId w:val="10"/>
  </w:num>
  <w:num w16cid:durableId="34084539" w:numId="16">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4"/>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F06186"/>
    <w:rsid w:val="00105308"/>
    <w:rsid w:val="00654248"/>
    <w:rsid w:val="007D5D4D"/>
    <w:rsid w:val="009B7AD2"/>
    <w:rsid w:val="00B6247C"/>
    <w:rsid w:val="00E5359F"/>
    <w:rsid w:val="00EF0BA2"/>
    <w:rsid w:val="00F0618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ajorHAnsi" w:cstheme="majorBidi" w:eastAsiaTheme="majorEastAsia" w:hAnsiTheme="majorHAnsi"/>
        <w:sz w:val="22"/>
        <w:szCs w:val="22"/>
        <w:lang w:bidi="ar-SA" w:eastAsia="en-US" w:val="en-US"/>
      </w:rPr>
    </w:rPrDefault>
    <w:pPrDefault>
      <w:pPr>
        <w:spacing w:after="200" w:line="276" w:lineRule="auto"/>
      </w:pPr>
    </w:pPrDefault>
  </w:docDefaults>
  <w:latentStyles w:count="376" w:defLockedState="0" w:defQFormat="0" w:defSemiHidden="0" w:defUIPriority="0" w:defUnhideWhenUsed="0">
    <w:lsdException w:name="caption" w:semiHidden="1" w:uiPriority="35" w:unhideWhenUsed="1"/>
    <w:lsdException w:name="Strong" w:qFormat="1" w:uiPriority="22"/>
    <w:lsdException w:name="Emphasis" w:qFormat="1" w:uiPriority="2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E5359F"/>
  </w:style>
  <w:style w:styleId="Heading1" w:type="paragraph">
    <w:name w:val="heading 1"/>
    <w:basedOn w:val="Normal"/>
    <w:next w:val="Normal"/>
    <w:link w:val="Heading1Char"/>
    <w:uiPriority w:val="9"/>
    <w:qFormat/>
    <w:rsid w:val="00E5359F"/>
    <w:pPr>
      <w:spacing w:after="0" w:before="480"/>
      <w:contextualSpacing/>
      <w:outlineLvl w:val="0"/>
    </w:pPr>
    <w:rPr>
      <w:smallCaps/>
      <w:spacing w:val="5"/>
      <w:sz w:val="36"/>
      <w:szCs w:val="36"/>
    </w:rPr>
  </w:style>
  <w:style w:styleId="Heading2" w:type="paragraph">
    <w:name w:val="heading 2"/>
    <w:basedOn w:val="Normal"/>
    <w:next w:val="Normal"/>
    <w:link w:val="Heading2Char"/>
    <w:uiPriority w:val="9"/>
    <w:semiHidden/>
    <w:unhideWhenUsed/>
    <w:qFormat/>
    <w:rsid w:val="00E5359F"/>
    <w:pPr>
      <w:spacing w:after="0" w:before="200" w:line="271" w:lineRule="auto"/>
      <w:outlineLvl w:val="1"/>
    </w:pPr>
    <w:rPr>
      <w:smallCaps/>
      <w:sz w:val="28"/>
      <w:szCs w:val="28"/>
    </w:rPr>
  </w:style>
  <w:style w:styleId="Heading3" w:type="paragraph">
    <w:name w:val="heading 3"/>
    <w:basedOn w:val="Normal"/>
    <w:next w:val="Normal"/>
    <w:link w:val="Heading3Char"/>
    <w:uiPriority w:val="9"/>
    <w:semiHidden/>
    <w:unhideWhenUsed/>
    <w:qFormat/>
    <w:rsid w:val="00E5359F"/>
    <w:pPr>
      <w:spacing w:after="0" w:before="200" w:line="271" w:lineRule="auto"/>
      <w:outlineLvl w:val="2"/>
    </w:pPr>
    <w:rPr>
      <w:i/>
      <w:iCs/>
      <w:smallCaps/>
      <w:spacing w:val="5"/>
      <w:sz w:val="26"/>
      <w:szCs w:val="26"/>
    </w:rPr>
  </w:style>
  <w:style w:styleId="Heading4" w:type="paragraph">
    <w:name w:val="heading 4"/>
    <w:basedOn w:val="Normal"/>
    <w:next w:val="Normal"/>
    <w:link w:val="Heading4Char"/>
    <w:uiPriority w:val="9"/>
    <w:semiHidden/>
    <w:unhideWhenUsed/>
    <w:qFormat/>
    <w:rsid w:val="00E5359F"/>
    <w:pPr>
      <w:spacing w:after="0" w:line="271" w:lineRule="auto"/>
      <w:outlineLvl w:val="3"/>
    </w:pPr>
    <w:rPr>
      <w:b/>
      <w:bCs/>
      <w:spacing w:val="5"/>
      <w:sz w:val="24"/>
      <w:szCs w:val="24"/>
    </w:rPr>
  </w:style>
  <w:style w:styleId="Heading5" w:type="paragraph">
    <w:name w:val="heading 5"/>
    <w:basedOn w:val="Normal"/>
    <w:next w:val="Normal"/>
    <w:link w:val="Heading5Char"/>
    <w:uiPriority w:val="9"/>
    <w:semiHidden/>
    <w:unhideWhenUsed/>
    <w:qFormat/>
    <w:rsid w:val="00E5359F"/>
    <w:pPr>
      <w:spacing w:after="0" w:line="271" w:lineRule="auto"/>
      <w:outlineLvl w:val="4"/>
    </w:pPr>
    <w:rPr>
      <w:i/>
      <w:iCs/>
      <w:sz w:val="24"/>
      <w:szCs w:val="24"/>
    </w:rPr>
  </w:style>
  <w:style w:styleId="Heading6" w:type="paragraph">
    <w:name w:val="heading 6"/>
    <w:basedOn w:val="Normal"/>
    <w:next w:val="Normal"/>
    <w:link w:val="Heading6Char"/>
    <w:uiPriority w:val="9"/>
    <w:semiHidden/>
    <w:unhideWhenUsed/>
    <w:qFormat/>
    <w:rsid w:val="00E5359F"/>
    <w:pPr>
      <w:shd w:color="auto" w:fill="FFFFFF" w:themeFill="background1" w:val="clear"/>
      <w:spacing w:after="0" w:line="271" w:lineRule="auto"/>
      <w:outlineLvl w:val="5"/>
    </w:pPr>
    <w:rPr>
      <w:b/>
      <w:bCs/>
      <w:color w:themeColor="text1" w:themeTint="A6" w:val="595959"/>
      <w:spacing w:val="5"/>
    </w:rPr>
  </w:style>
  <w:style w:styleId="Heading7" w:type="paragraph">
    <w:name w:val="heading 7"/>
    <w:basedOn w:val="Normal"/>
    <w:next w:val="Normal"/>
    <w:link w:val="Heading7Char"/>
    <w:uiPriority w:val="9"/>
    <w:semiHidden/>
    <w:unhideWhenUsed/>
    <w:qFormat/>
    <w:rsid w:val="00E5359F"/>
    <w:pPr>
      <w:spacing w:after="0"/>
      <w:outlineLvl w:val="6"/>
    </w:pPr>
    <w:rPr>
      <w:b/>
      <w:bCs/>
      <w:i/>
      <w:iCs/>
      <w:color w:themeColor="text1" w:themeTint="A5" w:val="5A5A5A"/>
      <w:sz w:val="20"/>
      <w:szCs w:val="20"/>
    </w:rPr>
  </w:style>
  <w:style w:styleId="Heading8" w:type="paragraph">
    <w:name w:val="heading 8"/>
    <w:basedOn w:val="Normal"/>
    <w:next w:val="Normal"/>
    <w:link w:val="Heading8Char"/>
    <w:uiPriority w:val="9"/>
    <w:semiHidden/>
    <w:unhideWhenUsed/>
    <w:qFormat/>
    <w:rsid w:val="00E5359F"/>
    <w:pPr>
      <w:spacing w:after="0"/>
      <w:outlineLvl w:val="7"/>
    </w:pPr>
    <w:rPr>
      <w:b/>
      <w:bCs/>
      <w:color w:themeColor="text1" w:themeTint="80" w:val="7F7F7F"/>
      <w:sz w:val="20"/>
      <w:szCs w:val="20"/>
    </w:rPr>
  </w:style>
  <w:style w:styleId="Heading9" w:type="paragraph">
    <w:name w:val="heading 9"/>
    <w:basedOn w:val="Normal"/>
    <w:next w:val="Normal"/>
    <w:link w:val="Heading9Char"/>
    <w:uiPriority w:val="9"/>
    <w:semiHidden/>
    <w:unhideWhenUsed/>
    <w:qFormat/>
    <w:rsid w:val="00E5359F"/>
    <w:pPr>
      <w:spacing w:after="0" w:line="271" w:lineRule="auto"/>
      <w:outlineLvl w:val="8"/>
    </w:pPr>
    <w:rPr>
      <w:b/>
      <w:bCs/>
      <w:i/>
      <w:iCs/>
      <w:color w:themeColor="text1" w:themeTint="80" w:val="7F7F7F"/>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Normal"/>
    <w:link w:val="TitleChar"/>
    <w:uiPriority w:val="10"/>
    <w:qFormat/>
    <w:rsid w:val="00E5359F"/>
    <w:pPr>
      <w:spacing w:after="300" w:line="240" w:lineRule="auto"/>
      <w:contextualSpacing/>
    </w:pPr>
    <w:rPr>
      <w:smallCaps/>
      <w:sz w:val="52"/>
      <w:szCs w:val="52"/>
    </w:rPr>
  </w:style>
  <w:style w:customStyle="1" w:styleId="TitleChar" w:type="character">
    <w:name w:val="Title Char"/>
    <w:basedOn w:val="DefaultParagraphFont"/>
    <w:link w:val="Title"/>
    <w:uiPriority w:val="10"/>
    <w:rsid w:val="00E5359F"/>
    <w:rPr>
      <w:smallCaps/>
      <w:sz w:val="52"/>
      <w:szCs w:val="52"/>
    </w:rPr>
  </w:style>
  <w:style w:styleId="Subtitle" w:type="paragraph">
    <w:name w:val="Subtitle"/>
    <w:basedOn w:val="Normal"/>
    <w:next w:val="Normal"/>
    <w:link w:val="SubtitleChar"/>
    <w:uiPriority w:val="11"/>
    <w:qFormat/>
    <w:rsid w:val="00E5359F"/>
    <w:rPr>
      <w:i/>
      <w:iCs/>
      <w:smallCaps/>
      <w:spacing w:val="10"/>
      <w:sz w:val="28"/>
      <w:szCs w:val="28"/>
    </w:rPr>
  </w:style>
  <w:style w:customStyle="1" w:styleId="SubtitleChar" w:type="character">
    <w:name w:val="Subtitle Char"/>
    <w:basedOn w:val="DefaultParagraphFont"/>
    <w:link w:val="Subtitle"/>
    <w:uiPriority w:val="11"/>
    <w:rsid w:val="00E5359F"/>
    <w:rPr>
      <w:i/>
      <w:iCs/>
      <w:smallCaps/>
      <w:spacing w:val="10"/>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style>
  <w:style w:customStyle="1" w:styleId="Heading1Char" w:type="character">
    <w:name w:val="Heading 1 Char"/>
    <w:basedOn w:val="DefaultParagraphFont"/>
    <w:link w:val="Heading1"/>
    <w:uiPriority w:val="9"/>
    <w:rsid w:val="00E5359F"/>
    <w:rPr>
      <w:smallCaps/>
      <w:spacing w:val="5"/>
      <w:sz w:val="36"/>
      <w:szCs w:val="36"/>
    </w:rPr>
  </w:style>
  <w:style w:customStyle="1" w:styleId="Heading2Char" w:type="character">
    <w:name w:val="Heading 2 Char"/>
    <w:basedOn w:val="DefaultParagraphFont"/>
    <w:link w:val="Heading2"/>
    <w:uiPriority w:val="9"/>
    <w:semiHidden/>
    <w:rsid w:val="00E5359F"/>
    <w:rPr>
      <w:smallCaps/>
      <w:sz w:val="28"/>
      <w:szCs w:val="28"/>
    </w:rPr>
  </w:style>
  <w:style w:customStyle="1" w:styleId="Heading3Char" w:type="character">
    <w:name w:val="Heading 3 Char"/>
    <w:basedOn w:val="DefaultParagraphFont"/>
    <w:link w:val="Heading3"/>
    <w:uiPriority w:val="9"/>
    <w:semiHidden/>
    <w:rsid w:val="00E5359F"/>
    <w:rPr>
      <w:i/>
      <w:iCs/>
      <w:smallCaps/>
      <w:spacing w:val="5"/>
      <w:sz w:val="26"/>
      <w:szCs w:val="26"/>
    </w:rPr>
  </w:style>
  <w:style w:customStyle="1" w:styleId="Heading4Char" w:type="character">
    <w:name w:val="Heading 4 Char"/>
    <w:basedOn w:val="DefaultParagraphFont"/>
    <w:link w:val="Heading4"/>
    <w:uiPriority w:val="9"/>
    <w:semiHidden/>
    <w:rsid w:val="00E5359F"/>
    <w:rPr>
      <w:b/>
      <w:bCs/>
      <w:spacing w:val="5"/>
      <w:sz w:val="24"/>
      <w:szCs w:val="24"/>
    </w:rPr>
  </w:style>
  <w:style w:customStyle="1" w:styleId="Heading5Char" w:type="character">
    <w:name w:val="Heading 5 Char"/>
    <w:basedOn w:val="DefaultParagraphFont"/>
    <w:link w:val="Heading5"/>
    <w:uiPriority w:val="9"/>
    <w:semiHidden/>
    <w:rsid w:val="00E5359F"/>
    <w:rPr>
      <w:i/>
      <w:iCs/>
      <w:sz w:val="24"/>
      <w:szCs w:val="24"/>
    </w:rPr>
  </w:style>
  <w:style w:customStyle="1" w:styleId="Heading6Char" w:type="character">
    <w:name w:val="Heading 6 Char"/>
    <w:basedOn w:val="DefaultParagraphFont"/>
    <w:link w:val="Heading6"/>
    <w:uiPriority w:val="9"/>
    <w:semiHidden/>
    <w:rsid w:val="00E5359F"/>
    <w:rPr>
      <w:b/>
      <w:bCs/>
      <w:color w:themeColor="text1" w:themeTint="A6" w:val="595959"/>
      <w:spacing w:val="5"/>
      <w:shd w:color="auto" w:fill="FFFFFF" w:themeFill="background1" w:val="clear"/>
    </w:rPr>
  </w:style>
  <w:style w:customStyle="1" w:styleId="Heading7Char" w:type="character">
    <w:name w:val="Heading 7 Char"/>
    <w:basedOn w:val="DefaultParagraphFont"/>
    <w:link w:val="Heading7"/>
    <w:uiPriority w:val="9"/>
    <w:semiHidden/>
    <w:rsid w:val="00E5359F"/>
    <w:rPr>
      <w:b/>
      <w:bCs/>
      <w:i/>
      <w:iCs/>
      <w:color w:themeColor="text1" w:themeTint="A5" w:val="5A5A5A"/>
      <w:sz w:val="20"/>
      <w:szCs w:val="20"/>
    </w:rPr>
  </w:style>
  <w:style w:customStyle="1" w:styleId="Heading8Char" w:type="character">
    <w:name w:val="Heading 8 Char"/>
    <w:basedOn w:val="DefaultParagraphFont"/>
    <w:link w:val="Heading8"/>
    <w:uiPriority w:val="9"/>
    <w:semiHidden/>
    <w:rsid w:val="00E5359F"/>
    <w:rPr>
      <w:b/>
      <w:bCs/>
      <w:color w:themeColor="text1" w:themeTint="80" w:val="7F7F7F"/>
      <w:sz w:val="20"/>
      <w:szCs w:val="20"/>
    </w:rPr>
  </w:style>
  <w:style w:customStyle="1" w:styleId="Heading9Char" w:type="character">
    <w:name w:val="Heading 9 Char"/>
    <w:basedOn w:val="DefaultParagraphFont"/>
    <w:link w:val="Heading9"/>
    <w:uiPriority w:val="9"/>
    <w:semiHidden/>
    <w:rsid w:val="00E5359F"/>
    <w:rPr>
      <w:b/>
      <w:bCs/>
      <w:i/>
      <w:iCs/>
      <w:color w:themeColor="text1" w:themeTint="80" w:val="7F7F7F"/>
      <w:sz w:val="18"/>
      <w:szCs w:val="18"/>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semiHidden/>
    <w:unhideWhenUsed/>
    <w:rsid w:val="00E5359F"/>
    <w:rPr>
      <w:b/>
      <w:bCs/>
      <w:caps/>
      <w:sz w:val="16"/>
      <w:szCs w:val="18"/>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semiHidden/>
    <w:rPr>
      <w:b/>
      <w:bCs/>
      <w:caps/>
      <w:sz w:val="16"/>
      <w:szCs w:val="18"/>
    </w:rPr>
  </w:style>
  <w:style w:customStyle="1" w:styleId="VerbatimChar" w:type="character">
    <w:name w:val="Verbatim Char"/>
    <w:basedOn w:val="CaptionChar"/>
    <w:rPr>
      <w:rFonts w:ascii="Consolas" w:hAnsi="Consolas"/>
      <w:b/>
      <w:bCs/>
      <w:i w:val="0"/>
      <w:iCs w:val="0"/>
      <w:caps/>
      <w:color w:themeColor="text2" w:val="0E2841"/>
      <w:sz w:val="22"/>
      <w:szCs w:val="18"/>
    </w:rPr>
  </w:style>
  <w:style w:customStyle="1" w:styleId="SectionNumber" w:type="character">
    <w:name w:val="Section Number"/>
    <w:basedOn w:val="CaptionChar"/>
    <w:rPr>
      <w:rFonts w:ascii="Times New Roman" w:hAnsi="Times New Roman"/>
      <w:b/>
      <w:bCs/>
      <w:i w:val="0"/>
      <w:iCs w:val="0"/>
      <w:caps/>
      <w:color w:themeColor="text2" w:val="0E2841"/>
      <w:sz w:val="18"/>
      <w:szCs w:val="18"/>
    </w:rPr>
  </w:style>
  <w:style w:styleId="FootnoteReference" w:type="character">
    <w:name w:val="footnote reference"/>
    <w:basedOn w:val="CaptionChar"/>
    <w:rPr>
      <w:rFonts w:ascii="Times New Roman" w:hAnsi="Times New Roman"/>
      <w:b/>
      <w:bCs/>
      <w:i w:val="0"/>
      <w:iCs w:val="0"/>
      <w:caps/>
      <w:color w:themeColor="text2" w:val="0E2841"/>
      <w:sz w:val="18"/>
      <w:szCs w:val="18"/>
      <w:vertAlign w:val="superscript"/>
    </w:rPr>
  </w:style>
  <w:style w:styleId="Hyperlink" w:type="character">
    <w:name w:val="Hyperlink"/>
    <w:basedOn w:val="CaptionChar"/>
    <w:rPr>
      <w:rFonts w:ascii="Times New Roman" w:hAnsi="Times New Roman"/>
      <w:b/>
      <w:bCs/>
      <w:i w:val="0"/>
      <w:iCs w:val="0"/>
      <w:caps/>
      <w:color w:themeColor="accent1" w:val="156082"/>
      <w:sz w:val="18"/>
      <w:szCs w:val="18"/>
    </w:rPr>
  </w:style>
  <w:style w:styleId="TOCHeading" w:type="paragraph">
    <w:name w:val="TOC Heading"/>
    <w:basedOn w:val="Heading1"/>
    <w:next w:val="Normal"/>
    <w:uiPriority w:val="39"/>
    <w:semiHidden/>
    <w:unhideWhenUsed/>
    <w:qFormat/>
    <w:rsid w:val="00E5359F"/>
    <w:pPr>
      <w:outlineLvl w:val="9"/>
    </w:pPr>
  </w:style>
  <w:style w:customStyle="1" w:styleId="Style1" w:type="paragraph">
    <w:name w:val="Style1"/>
    <w:basedOn w:val="Heading1"/>
    <w:rsid w:val="00B6247C"/>
    <w:rPr>
      <w:b/>
      <w:color w:themeColor="text1" w:val="000000"/>
      <w:sz w:val="28"/>
    </w:rPr>
  </w:style>
  <w:style w:styleId="NoSpacing" w:type="paragraph">
    <w:name w:val="No Spacing"/>
    <w:basedOn w:val="Normal"/>
    <w:link w:val="NoSpacingChar"/>
    <w:uiPriority w:val="1"/>
    <w:qFormat/>
    <w:rsid w:val="00E5359F"/>
    <w:pPr>
      <w:spacing w:after="0" w:line="240" w:lineRule="auto"/>
    </w:pPr>
  </w:style>
  <w:style w:styleId="ListParagraph" w:type="paragraph">
    <w:name w:val="List Paragraph"/>
    <w:basedOn w:val="Normal"/>
    <w:uiPriority w:val="34"/>
    <w:qFormat/>
    <w:rsid w:val="00E5359F"/>
    <w:pPr>
      <w:ind w:left="720"/>
      <w:contextualSpacing/>
    </w:pPr>
  </w:style>
  <w:style w:styleId="Quote" w:type="paragraph">
    <w:name w:val="Quote"/>
    <w:basedOn w:val="Normal"/>
    <w:next w:val="Normal"/>
    <w:link w:val="QuoteChar"/>
    <w:uiPriority w:val="29"/>
    <w:qFormat/>
    <w:rsid w:val="00E5359F"/>
    <w:rPr>
      <w:i/>
      <w:iCs/>
    </w:rPr>
  </w:style>
  <w:style w:customStyle="1" w:styleId="QuoteChar" w:type="character">
    <w:name w:val="Quote Char"/>
    <w:basedOn w:val="DefaultParagraphFont"/>
    <w:link w:val="Quote"/>
    <w:uiPriority w:val="29"/>
    <w:rsid w:val="00E5359F"/>
    <w:rPr>
      <w:i/>
      <w:iCs/>
    </w:rPr>
  </w:style>
  <w:style w:styleId="IntenseQuote" w:type="paragraph">
    <w:name w:val="Intense Quote"/>
    <w:basedOn w:val="Normal"/>
    <w:next w:val="Normal"/>
    <w:link w:val="IntenseQuoteChar"/>
    <w:uiPriority w:val="30"/>
    <w:qFormat/>
    <w:rsid w:val="00E5359F"/>
    <w:pPr>
      <w:pBdr>
        <w:top w:color="auto" w:space="10" w:sz="4" w:val="single"/>
        <w:bottom w:color="auto" w:space="10" w:sz="4" w:val="single"/>
      </w:pBdr>
      <w:spacing w:after="240" w:before="240" w:line="300" w:lineRule="auto"/>
      <w:ind w:left="1152" w:right="1152"/>
      <w:jc w:val="both"/>
    </w:pPr>
    <w:rPr>
      <w:i/>
      <w:iCs/>
    </w:rPr>
  </w:style>
  <w:style w:customStyle="1" w:styleId="IntenseQuoteChar" w:type="character">
    <w:name w:val="Intense Quote Char"/>
    <w:basedOn w:val="DefaultParagraphFont"/>
    <w:link w:val="IntenseQuote"/>
    <w:uiPriority w:val="30"/>
    <w:rsid w:val="00E5359F"/>
    <w:rPr>
      <w:i/>
      <w:iCs/>
    </w:rPr>
  </w:style>
  <w:style w:styleId="IntenseEmphasis" w:type="character">
    <w:name w:val="Intense Emphasis"/>
    <w:uiPriority w:val="21"/>
    <w:qFormat/>
    <w:rsid w:val="00E5359F"/>
    <w:rPr>
      <w:b/>
      <w:bCs/>
      <w:i/>
      <w:iCs/>
    </w:rPr>
  </w:style>
  <w:style w:styleId="IntenseReference" w:type="character">
    <w:name w:val="Intense Reference"/>
    <w:uiPriority w:val="32"/>
    <w:qFormat/>
    <w:rsid w:val="00E5359F"/>
    <w:rPr>
      <w:b/>
      <w:bCs/>
      <w:smallCaps/>
    </w:rPr>
  </w:style>
  <w:style w:customStyle="1" w:styleId="CurrentList1" w:type="numbering">
    <w:name w:val="Current List1"/>
    <w:uiPriority w:val="99"/>
    <w:rsid w:val="007D5D4D"/>
    <w:pPr>
      <w:numPr>
        <w:numId w:val="11"/>
      </w:numPr>
    </w:pPr>
  </w:style>
  <w:style w:customStyle="1" w:styleId="Style2" w:type="paragraph">
    <w:name w:val="Style2"/>
    <w:basedOn w:val="Heading2"/>
    <w:rsid w:val="007D5D4D"/>
  </w:style>
  <w:style w:customStyle="1" w:styleId="CurrentList2" w:type="numbering">
    <w:name w:val="Current List2"/>
    <w:uiPriority w:val="99"/>
    <w:rsid w:val="007D5D4D"/>
    <w:pPr>
      <w:numPr>
        <w:numId w:val="12"/>
      </w:numPr>
    </w:pPr>
  </w:style>
  <w:style w:customStyle="1" w:styleId="Style3" w:type="paragraph">
    <w:name w:val="Style3"/>
    <w:basedOn w:val="Heading2"/>
    <w:rsid w:val="007D5D4D"/>
  </w:style>
  <w:style w:customStyle="1" w:styleId="CurrentList3" w:type="numbering">
    <w:name w:val="Current List3"/>
    <w:uiPriority w:val="99"/>
    <w:rsid w:val="007D5D4D"/>
    <w:pPr>
      <w:numPr>
        <w:numId w:val="13"/>
      </w:numPr>
    </w:pPr>
  </w:style>
  <w:style w:customStyle="1" w:styleId="Style4" w:type="paragraph">
    <w:name w:val="Style4"/>
    <w:basedOn w:val="Heading2"/>
    <w:rsid w:val="007D5D4D"/>
  </w:style>
  <w:style w:customStyle="1" w:styleId="CurrentList4" w:type="numbering">
    <w:name w:val="Current List4"/>
    <w:uiPriority w:val="99"/>
    <w:rsid w:val="007D5D4D"/>
    <w:pPr>
      <w:numPr>
        <w:numId w:val="14"/>
      </w:numPr>
    </w:pPr>
  </w:style>
  <w:style w:customStyle="1" w:styleId="Style5" w:type="paragraph">
    <w:name w:val="Style5"/>
    <w:basedOn w:val="Heading1"/>
    <w:rsid w:val="007D5D4D"/>
  </w:style>
  <w:style w:customStyle="1" w:styleId="CurrentList5" w:type="numbering">
    <w:name w:val="Current List5"/>
    <w:uiPriority w:val="99"/>
    <w:rsid w:val="007D5D4D"/>
    <w:pPr>
      <w:numPr>
        <w:numId w:val="15"/>
      </w:numPr>
    </w:pPr>
  </w:style>
  <w:style w:customStyle="1" w:styleId="Style6" w:type="paragraph">
    <w:name w:val="Style6"/>
    <w:basedOn w:val="Heading1"/>
    <w:autoRedefine/>
    <w:rsid w:val="00E5359F"/>
    <w:pPr>
      <w:numPr>
        <w:ilvl w:val="1"/>
        <w:numId w:val="3"/>
      </w:numPr>
    </w:pPr>
  </w:style>
  <w:style w:customStyle="1" w:styleId="CurrentList6" w:type="numbering">
    <w:name w:val="Current List6"/>
    <w:uiPriority w:val="99"/>
    <w:rsid w:val="00E5359F"/>
    <w:pPr>
      <w:numPr>
        <w:numId w:val="16"/>
      </w:numPr>
    </w:pPr>
  </w:style>
  <w:style w:customStyle="1" w:styleId="Style7" w:type="paragraph">
    <w:name w:val="Style7"/>
    <w:basedOn w:val="Heading1"/>
    <w:rsid w:val="00E5359F"/>
  </w:style>
  <w:style w:styleId="Strong" w:type="character">
    <w:name w:val="Strong"/>
    <w:uiPriority w:val="22"/>
    <w:qFormat/>
    <w:rsid w:val="00E5359F"/>
    <w:rPr>
      <w:b/>
      <w:bCs/>
    </w:rPr>
  </w:style>
  <w:style w:styleId="Emphasis" w:type="character">
    <w:name w:val="Emphasis"/>
    <w:uiPriority w:val="20"/>
    <w:qFormat/>
    <w:rsid w:val="00E5359F"/>
    <w:rPr>
      <w:b/>
      <w:bCs/>
      <w:i/>
      <w:iCs/>
      <w:spacing w:val="10"/>
    </w:rPr>
  </w:style>
  <w:style w:customStyle="1" w:styleId="NoSpacingChar" w:type="character">
    <w:name w:val="No Spacing Char"/>
    <w:basedOn w:val="DefaultParagraphFont"/>
    <w:link w:val="NoSpacing"/>
    <w:uiPriority w:val="1"/>
    <w:rsid w:val="00E5359F"/>
  </w:style>
  <w:style w:styleId="SubtleEmphasis" w:type="character">
    <w:name w:val="Subtle Emphasis"/>
    <w:uiPriority w:val="19"/>
    <w:qFormat/>
    <w:rsid w:val="00E5359F"/>
    <w:rPr>
      <w:i/>
      <w:iCs/>
    </w:rPr>
  </w:style>
  <w:style w:styleId="SubtleReference" w:type="character">
    <w:name w:val="Subtle Reference"/>
    <w:basedOn w:val="DefaultParagraphFont"/>
    <w:uiPriority w:val="31"/>
    <w:qFormat/>
    <w:rsid w:val="00E5359F"/>
    <w:rPr>
      <w:smallCaps/>
    </w:rPr>
  </w:style>
  <w:style w:styleId="BookTitle" w:type="character">
    <w:name w:val="Book Title"/>
    <w:basedOn w:val="DefaultParagraphFont"/>
    <w:uiPriority w:val="33"/>
    <w:qFormat/>
    <w:rsid w:val="00E5359F"/>
    <w:rPr>
      <w:i/>
      <w:iCs/>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KamrynMansfield.github.io/transpo_budget_ces/index.qmd.html" TargetMode="External" /><Relationship Type="http://schemas.openxmlformats.org/officeDocument/2006/relationships/hyperlink" Id="rId23" Target="https://KamrynMansfield.github.io/transpo_budget_ces/notebooks/lit_review_table-preview.html#cell-tbl-lit-summary" TargetMode="External" /><Relationship Type="http://schemas.openxmlformats.org/officeDocument/2006/relationships/hyperlink" Id="rId49" Target="https://doi.org/10.1007/s10834-006-9031-x" TargetMode="External" /><Relationship Type="http://schemas.openxmlformats.org/officeDocument/2006/relationships/hyperlink" Id="rId40" Target="https://doi.org/10.1007/s11116-006-0005-5" TargetMode="External" /><Relationship Type="http://schemas.openxmlformats.org/officeDocument/2006/relationships/hyperlink" Id="rId82" Target="https://doi.org/10.1007/s11116-007-9125-9" TargetMode="External" /><Relationship Type="http://schemas.openxmlformats.org/officeDocument/2006/relationships/hyperlink" Id="rId84" Target="https://doi.org/10.1007/s11116-008-9173-9" TargetMode="External" /><Relationship Type="http://schemas.openxmlformats.org/officeDocument/2006/relationships/hyperlink" Id="rId47" Target="https://doi.org/10.1007/s11116-010-9264-2" TargetMode="External" /><Relationship Type="http://schemas.openxmlformats.org/officeDocument/2006/relationships/hyperlink" Id="rId78" Target="https://doi.org/10.1007/s11116-010-9300-2" TargetMode="External" /><Relationship Type="http://schemas.openxmlformats.org/officeDocument/2006/relationships/hyperlink" Id="rId73" Target="https://doi.org/10.1016/0191-2607(79)90051-7" TargetMode="External" /><Relationship Type="http://schemas.openxmlformats.org/officeDocument/2006/relationships/hyperlink" Id="rId60" Target="https://doi.org/10.1016/j.jtrangeo.2018.12.015" TargetMode="External" /><Relationship Type="http://schemas.openxmlformats.org/officeDocument/2006/relationships/hyperlink" Id="rId31" Target="https://doi.org/10.1016/j.tra.2014.12.006" TargetMode="External" /><Relationship Type="http://schemas.openxmlformats.org/officeDocument/2006/relationships/hyperlink" Id="rId64" Target="https://doi.org/10.1016/j.tra.2022.02.003" TargetMode="External" /><Relationship Type="http://schemas.openxmlformats.org/officeDocument/2006/relationships/hyperlink" Id="rId88" Target="https://doi.org/10.1016/j.tranpol.2009.12.003" TargetMode="External" /><Relationship Type="http://schemas.openxmlformats.org/officeDocument/2006/relationships/hyperlink" Id="rId33" Target="https://doi.org/10.1016/j.trd.2025.104886" TargetMode="External" /><Relationship Type="http://schemas.openxmlformats.org/officeDocument/2006/relationships/hyperlink" Id="rId66" Target="https://doi.org/10.1016/j.trip.2020.100260" TargetMode="External" /><Relationship Type="http://schemas.openxmlformats.org/officeDocument/2006/relationships/hyperlink" Id="rId29" Target="https://doi.org/10.1016/j.trip.2022.100616" TargetMode="External" /><Relationship Type="http://schemas.openxmlformats.org/officeDocument/2006/relationships/hyperlink" Id="rId75" Target="https://doi.org/10.1080/000368498325868" TargetMode="External" /><Relationship Type="http://schemas.openxmlformats.org/officeDocument/2006/relationships/hyperlink" Id="rId69" Target="https://doi.org/10.1080/01441647.2017.1354942" TargetMode="External" /><Relationship Type="http://schemas.openxmlformats.org/officeDocument/2006/relationships/hyperlink" Id="rId90" Target="https://doi.org/10.1177/0361198105192600101" TargetMode="External" /><Relationship Type="http://schemas.openxmlformats.org/officeDocument/2006/relationships/hyperlink" Id="rId92" Target="https://doi.org/10.1177/0361198106198500128" TargetMode="External" /><Relationship Type="http://schemas.openxmlformats.org/officeDocument/2006/relationships/hyperlink" Id="rId71" Target="https://doi.org/10.1177/03611981231174444" TargetMode="External" /><Relationship Type="http://schemas.openxmlformats.org/officeDocument/2006/relationships/hyperlink" Id="rId58" Target="https://doi.org/10.1177/0739456X20950428" TargetMode="External" /><Relationship Type="http://schemas.openxmlformats.org/officeDocument/2006/relationships/hyperlink" Id="rId54" Target="https://doi.org/10.1177/23780231221103054" TargetMode="External" /><Relationship Type="http://schemas.openxmlformats.org/officeDocument/2006/relationships/hyperlink" Id="rId56" Target="https://doi.org/10.1300/J073v18n02_02" TargetMode="External" /><Relationship Type="http://schemas.openxmlformats.org/officeDocument/2006/relationships/hyperlink" Id="rId36" Target="https://doi.org/10.21949/E0KQ-GF72" TargetMode="External" /><Relationship Type="http://schemas.openxmlformats.org/officeDocument/2006/relationships/hyperlink" Id="rId62" Target="https://doi.org/10.22004/ag.econ.327257" TargetMode="External" /><Relationship Type="http://schemas.openxmlformats.org/officeDocument/2006/relationships/hyperlink" Id="rId86" Target="https://doi.org/10.2307/1924806" TargetMode="External" /><Relationship Type="http://schemas.openxmlformats.org/officeDocument/2006/relationships/hyperlink" Id="rId45" Target="https://doi.org/10.25318/11F0019M2023007-ENG" TargetMode="External" /><Relationship Type="http://schemas.openxmlformats.org/officeDocument/2006/relationships/hyperlink" Id="rId38" Target="https://doi.org/10.3141/2010-14" TargetMode="External" /><Relationship Type="http://schemas.openxmlformats.org/officeDocument/2006/relationships/hyperlink" Id="rId51" Target="https://doi.org/10.3141/2077-09" TargetMode="External" /><Relationship Type="http://schemas.openxmlformats.org/officeDocument/2006/relationships/hyperlink" Id="rId43" Target="https://doi.org/10.3141/2531-04" TargetMode="External" /><Relationship Type="http://schemas.openxmlformats.org/officeDocument/2006/relationships/hyperlink" Id="rId80" Target="https://doi.org/10.3386/w19589" TargetMode="External" /></Relationships>
</file>

<file path=word/_rels/footnotes.xml.rels><?xml version="1.0" encoding="UTF-8"?><Relationships xmlns="http://schemas.openxmlformats.org/package/2006/relationships"><Relationship Type="http://schemas.openxmlformats.org/officeDocument/2006/relationships/hyperlink" Id="rId21" Target="https://KamrynMansfield.github.io/transpo_budget_ces/index.qmd.html" TargetMode="External" /><Relationship Type="http://schemas.openxmlformats.org/officeDocument/2006/relationships/hyperlink" Id="rId23" Target="https://KamrynMansfield.github.io/transpo_budget_ces/notebooks/lit_review_table-preview.html#cell-tbl-lit-summary" TargetMode="External" /><Relationship Type="http://schemas.openxmlformats.org/officeDocument/2006/relationships/hyperlink" Id="rId49" Target="https://doi.org/10.1007/s10834-006-9031-x" TargetMode="External" /><Relationship Type="http://schemas.openxmlformats.org/officeDocument/2006/relationships/hyperlink" Id="rId40" Target="https://doi.org/10.1007/s11116-006-0005-5" TargetMode="External" /><Relationship Type="http://schemas.openxmlformats.org/officeDocument/2006/relationships/hyperlink" Id="rId82" Target="https://doi.org/10.1007/s11116-007-9125-9" TargetMode="External" /><Relationship Type="http://schemas.openxmlformats.org/officeDocument/2006/relationships/hyperlink" Id="rId84" Target="https://doi.org/10.1007/s11116-008-9173-9" TargetMode="External" /><Relationship Type="http://schemas.openxmlformats.org/officeDocument/2006/relationships/hyperlink" Id="rId47" Target="https://doi.org/10.1007/s11116-010-9264-2" TargetMode="External" /><Relationship Type="http://schemas.openxmlformats.org/officeDocument/2006/relationships/hyperlink" Id="rId78" Target="https://doi.org/10.1007/s11116-010-9300-2" TargetMode="External" /><Relationship Type="http://schemas.openxmlformats.org/officeDocument/2006/relationships/hyperlink" Id="rId73" Target="https://doi.org/10.1016/0191-2607(79)90051-7" TargetMode="External" /><Relationship Type="http://schemas.openxmlformats.org/officeDocument/2006/relationships/hyperlink" Id="rId60" Target="https://doi.org/10.1016/j.jtrangeo.2018.12.015" TargetMode="External" /><Relationship Type="http://schemas.openxmlformats.org/officeDocument/2006/relationships/hyperlink" Id="rId31" Target="https://doi.org/10.1016/j.tra.2014.12.006" TargetMode="External" /><Relationship Type="http://schemas.openxmlformats.org/officeDocument/2006/relationships/hyperlink" Id="rId64" Target="https://doi.org/10.1016/j.tra.2022.02.003" TargetMode="External" /><Relationship Type="http://schemas.openxmlformats.org/officeDocument/2006/relationships/hyperlink" Id="rId88" Target="https://doi.org/10.1016/j.tranpol.2009.12.003" TargetMode="External" /><Relationship Type="http://schemas.openxmlformats.org/officeDocument/2006/relationships/hyperlink" Id="rId33" Target="https://doi.org/10.1016/j.trd.2025.104886" TargetMode="External" /><Relationship Type="http://schemas.openxmlformats.org/officeDocument/2006/relationships/hyperlink" Id="rId66" Target="https://doi.org/10.1016/j.trip.2020.100260" TargetMode="External" /><Relationship Type="http://schemas.openxmlformats.org/officeDocument/2006/relationships/hyperlink" Id="rId29" Target="https://doi.org/10.1016/j.trip.2022.100616" TargetMode="External" /><Relationship Type="http://schemas.openxmlformats.org/officeDocument/2006/relationships/hyperlink" Id="rId75" Target="https://doi.org/10.1080/000368498325868" TargetMode="External" /><Relationship Type="http://schemas.openxmlformats.org/officeDocument/2006/relationships/hyperlink" Id="rId69" Target="https://doi.org/10.1080/01441647.2017.1354942" TargetMode="External" /><Relationship Type="http://schemas.openxmlformats.org/officeDocument/2006/relationships/hyperlink" Id="rId90" Target="https://doi.org/10.1177/0361198105192600101" TargetMode="External" /><Relationship Type="http://schemas.openxmlformats.org/officeDocument/2006/relationships/hyperlink" Id="rId92" Target="https://doi.org/10.1177/0361198106198500128" TargetMode="External" /><Relationship Type="http://schemas.openxmlformats.org/officeDocument/2006/relationships/hyperlink" Id="rId71" Target="https://doi.org/10.1177/03611981231174444" TargetMode="External" /><Relationship Type="http://schemas.openxmlformats.org/officeDocument/2006/relationships/hyperlink" Id="rId58" Target="https://doi.org/10.1177/0739456X20950428" TargetMode="External" /><Relationship Type="http://schemas.openxmlformats.org/officeDocument/2006/relationships/hyperlink" Id="rId54" Target="https://doi.org/10.1177/23780231221103054" TargetMode="External" /><Relationship Type="http://schemas.openxmlformats.org/officeDocument/2006/relationships/hyperlink" Id="rId56" Target="https://doi.org/10.1300/J073v18n02_02" TargetMode="External" /><Relationship Type="http://schemas.openxmlformats.org/officeDocument/2006/relationships/hyperlink" Id="rId36" Target="https://doi.org/10.21949/E0KQ-GF72" TargetMode="External" /><Relationship Type="http://schemas.openxmlformats.org/officeDocument/2006/relationships/hyperlink" Id="rId62" Target="https://doi.org/10.22004/ag.econ.327257" TargetMode="External" /><Relationship Type="http://schemas.openxmlformats.org/officeDocument/2006/relationships/hyperlink" Id="rId86" Target="https://doi.org/10.2307/1924806" TargetMode="External" /><Relationship Type="http://schemas.openxmlformats.org/officeDocument/2006/relationships/hyperlink" Id="rId45" Target="https://doi.org/10.25318/11F0019M2023007-ENG" TargetMode="External" /><Relationship Type="http://schemas.openxmlformats.org/officeDocument/2006/relationships/hyperlink" Id="rId38" Target="https://doi.org/10.3141/2010-14" TargetMode="External" /><Relationship Type="http://schemas.openxmlformats.org/officeDocument/2006/relationships/hyperlink" Id="rId51" Target="https://doi.org/10.3141/2077-09" TargetMode="External" /><Relationship Type="http://schemas.openxmlformats.org/officeDocument/2006/relationships/hyperlink" Id="rId43" Target="https://doi.org/10.3141/2531-04" TargetMode="External" /><Relationship Type="http://schemas.openxmlformats.org/officeDocument/2006/relationships/hyperlink" Id="rId80" Target="https://doi.org/10.3386/w1958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Pages>
  <Words>62</Words>
  <Characters>360</Characters>
  <Application>Microsoft Office Word</Application>
  <DocSecurity>0</DocSecurity>
  <Lines>3</Lines>
  <Paragraphs>1</Paragraphs>
  <ScaleCrop>false</ScaleCrop>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Unpacking Household Budgeting Strategies through a Transportation Lens</dc:title>
  <dc:creator>Kamryn Mansfield; Katie Asmussen</dc:creator>
  <cp:keywords>Consumer Expenditure Survey, Transportation Spending, Family Spending, Budget</cp:keywords>
  <dcterms:created xsi:type="dcterms:W3CDTF">2025-12-17T19:17:54Z</dcterms:created>
  <dcterms:modified xsi:type="dcterms:W3CDTF">2025-12-17T19:17:54Z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is where we will put our abstract.</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2025-12-17</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key-points">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plain-language-summary">
    <vt:lpwstr>This is a plain language summary</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