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2026-03-12</w:t>
      </w:r>
    </w:p>
    <w:p>
      <w:pPr>
        <w:pStyle w:val="AbstractTitle"/>
      </w:pPr>
      <w:r>
        <w:t xml:space="preserve">Abstract</w:t>
      </w:r>
    </w:p>
    <w:p>
      <w:pPr>
        <w:pStyle w:val="Abstract"/>
      </w:pPr>
      <w:r>
        <w:t xml:space="preserve">This is where we will put our abstract.</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The way U.S. households choose to spend their money provides evidence of the weight of transportation decisions in a household. For the last 20 years, the average household has allocated between 15 and 20 percent of its budget on transportation expenditures</w:t>
      </w:r>
      <w:r>
        <w:t xml:space="preserve"> </w:t>
      </w:r>
      <w:r>
        <w:t xml:space="preserve">(Bureau of Transportation Statistics 2024)</w:t>
      </w:r>
      <w:r>
        <w:t xml:space="preserve">. That is almost double what it was 100 years ago</w:t>
      </w:r>
      <w:r>
        <w:t xml:space="preserve"> </w:t>
      </w:r>
      <w:r>
        <w:t xml:space="preserve">(Johnson et al. 2001)</w:t>
      </w:r>
      <w:r>
        <w:t xml:space="preserve">. This means that either families are traveling more than they used to or that transportation has become more expensive compared to other household expenditures. Either way, the amount of budget that is put towards a household’s travel indicates that transportation is an important part of a family’s daily life. The fact that lower income households often have a larger portion of their budget spent on transportation further shows the major role it plays in household decisions and suggests that transportation decisions might have a broader effect on other household expenditures</w:t>
      </w:r>
      <w:r>
        <w:t xml:space="preserve"> </w:t>
      </w:r>
      <w:r>
        <w:t xml:space="preserve">(Molloy et al. 2024)</w:t>
      </w:r>
      <w:r>
        <w:t xml:space="preserve">.</w:t>
      </w:r>
    </w:p>
    <w:p>
      <w:pPr>
        <w:pStyle w:val="BodyText"/>
      </w:pPr>
      <w:r>
        <w:t xml:space="preserve">While transportation is a big portion of the average household’s budget, its relative weight compared to housing, childcare, and other spending varies widely across families. Household characteristics like family size, income, car ownership, and location play a role in how much they spend on transportation. For example, people with bigger families or living in single-family homes tend to spend more on transportation</w:t>
      </w:r>
      <w:r>
        <w:t xml:space="preserve"> </w:t>
      </w:r>
      <w:r>
        <w:t xml:space="preserve">(Mattson 2020)</w:t>
      </w:r>
      <w:r>
        <w:t xml:space="preserve">. The relationship between household budgeting and mobility is shaped not only by household demographics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p>
      <w:pPr>
        <w:pStyle w:val="BodyText"/>
      </w:pPr>
      <w:r>
        <w:rPr>
          <w:i/>
          <w:iCs/>
        </w:rPr>
        <w:t xml:space="preserve">Things I haven’t included but could maybe include in the future?</w:t>
      </w:r>
    </w:p>
    <w:p>
      <w:pPr>
        <w:pStyle w:val="Compact"/>
        <w:numPr>
          <w:ilvl w:val="0"/>
          <w:numId w:val="1001"/>
        </w:numPr>
      </w:pPr>
      <w:r>
        <w:t xml:space="preserve">Since 1960, a larger percent of US households have at least one car. It was in the 80s when the percentage of 2-car households surpassed the percentage of 1-car households</w:t>
      </w:r>
      <w:r>
        <w:t xml:space="preserve"> </w:t>
      </w:r>
      <w:r>
        <w:t xml:space="preserve">(Bureau of Transportation Statistics 2024)</w:t>
      </w:r>
    </w:p>
    <w:bookmarkEnd w:id="10"/>
    <w:bookmarkStart w:id="20"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 The literature relating to this study has been classified into four categories: (1) Household Choices and Activity Patterns, (2) Household Transportation Choices, (3) Household Spending and Budgets, and (4) Household Transportation Budgets. The following sections describe the relevant findings from literature in each of these groups.</w:t>
      </w:r>
    </w:p>
    <w:tbl>
      <w:tblPr>
        <w:tblStyle w:val="Table"/>
        <w:tblW w:type="pct" w:w="5000"/>
        <w:tblLayout w:type="fixed"/>
        <w:tblLook w:firstRow="0" w:lastRow="0" w:firstColumn="0" w:lastColumn="0" w:noHBand="0" w:noVBand="0" w:val="0000"/>
      </w:tblPr>
      <w:tblGrid>
        <w:gridCol w:w="7920"/>
      </w:tblGrid>
      <w:tr>
        <w:tc>
          <w:tcPr/>
          <w:bookmarkStart w:id="11" w:name="tbl-lit-summary"/>
          <w:p>
            <w:pPr>
              <w:jc w:val="center"/>
            </w:pPr>
            <w:pPr>
              <w:jc w:val="left"/>
              <w:spacing w:before="200"/>
              <w:pStyle w:val="ImageCaption"/>
            </w:pPr>
            <w:r>
              <w:t xml:space="preserve">Table 1: Summary of the Literature</w:t>
            </w:r>
          </w:p>
          <w:tbl>
            <w:tblPr>
              <w:tblStyle w:val="Table"/>
              <w:tblW w:type="pct" w:w="4891"/>
              <w:tblLayout w:type="fixed"/>
              <w:tblLook w:firstRow="1" w:lastRow="0" w:firstColumn="0" w:lastColumn="0" w:noHBand="0" w:noVBand="0" w:val="0020"/>
            </w:tblPr>
            <w:tblGrid>
              <w:gridCol w:w="5079"/>
              <w:gridCol w:w="946"/>
              <w:gridCol w:w="1721"/>
            </w:tblGrid>
            <w:tr>
              <w:trPr>
                <w:tblHeader w:val="on"/>
              </w:trPr>
              <w:tc>
                <w:tcPr/>
                <w:p>
                  <w:pPr>
                    <w:pStyle w:val="Compact"/>
                    <w:jc w:val="left"/>
                    <w:jc w:val="center"/>
                  </w:pPr>
                  <w:r>
                    <w:t xml:space="preserve">Study</w:t>
                  </w:r>
                </w:p>
              </w:tc>
              <w:tc>
                <w:tcPr/>
                <w:p>
                  <w:pPr>
                    <w:pStyle w:val="Compact"/>
                    <w:jc w:val="left"/>
                    <w:jc w:val="center"/>
                  </w:pPr>
                  <w:r>
                    <w:t xml:space="preserve">Uses CEX</w:t>
                  </w:r>
                  <w:r>
                    <w:t xml:space="preserve"> </w:t>
                  </w:r>
                  <w:r>
                    <w:t xml:space="preserve">Data</w:t>
                  </w:r>
                </w:p>
              </w:tc>
              <w:tc>
                <w:tcPr/>
                <w:p>
                  <w:pPr>
                    <w:pStyle w:val="Compact"/>
                    <w:jc w:val="left"/>
                    <w:jc w:val="center"/>
                  </w:pPr>
                  <w:r>
                    <w:t xml:space="preserve">Category</w:t>
                  </w:r>
                </w:p>
              </w:tc>
            </w:tr>
            <w:tr>
              <w:tc>
                <w:tcPr/>
                <w:p>
                  <w:pPr>
                    <w:pStyle w:val="Compact"/>
                    <w:jc w:val="left"/>
                    <w:jc w:val="center"/>
                  </w:pPr>
                  <w:r>
                    <w:t xml:space="preserve">Morris and Wigan (1979)</w:t>
                  </w:r>
                </w:p>
              </w:tc>
              <w:tc>
                <w:tcPr/>
                <w:p>
                  <w:pPr>
                    <w:pStyle w:val="Compact"/>
                    <w:jc w:val="left"/>
                    <w:jc w:val="center"/>
                  </w:pPr>
                  <w:r>
                    <w:t xml:space="preserve">FALSE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Skinner (1985)</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Nayga (1998)</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Blumenberg (2003)</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Thakuriah and Liao (2005)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Hong et al. (2005)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Thakuriah (Vonu) and Liao (2006)</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Fontes and Fan (2006)</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Choo et al. (2007)</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Rachel B. Copperman and Bhat (2007a)</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Sener and Bhat (2007)</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Rachel B. Copperman and Bhat (2007b)</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Haas et al. (2008)</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Sener et al. (2008)</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Ferdous et al. (2010)</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Souche (2010)</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Paleti et al. (2011)</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Sabelhaus et al. (2013)</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Deka (2015)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Bernardo et al. (2015)</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Lino et al. (2017)</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McCarthy et al. (2017)</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Mattson and Peterson (2019)</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Leung et al. (2019)</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Mattson (2020)</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Osborne et al. (2021)</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Hastings (2022)</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Lu et al. (2022)</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Amirnazmiafshar and Diana (2022)</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Duncan et al. (2023)</w:t>
                  </w:r>
                </w:p>
              </w:tc>
              <w:tc>
                <w:tcPr/>
                <w:p>
                  <w:pPr>
                    <w:pStyle w:val="Compact"/>
                    <w:jc w:val="left"/>
                    <w:jc w:val="center"/>
                  </w:pPr>
                  <w:r>
                    <w:t xml:space="preserve">FALSE</w:t>
                  </w:r>
                </w:p>
              </w:tc>
              <w:tc>
                <w:tcPr/>
                <w:p>
                  <w:pPr>
                    <w:pStyle w:val="Compact"/>
                    <w:jc w:val="left"/>
                    <w:jc w:val="center"/>
                  </w:pPr>
                  <w:r>
                    <w:t xml:space="preserve">Budgets</w:t>
                  </w:r>
                </w:p>
              </w:tc>
            </w:tr>
            <w:tr>
              <w:tc>
                <w:tcPr/>
                <w:p>
                  <w:pPr>
                    <w:pStyle w:val="Compact"/>
                    <w:jc w:val="left"/>
                    <w:jc w:val="center"/>
                  </w:pPr>
                  <w:r>
                    <w:t xml:space="preserve">Molloy et al. (2024)</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Bureau of Transportation Statistics (2024)</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Hargunani et al. (2024)</w:t>
                  </w:r>
                </w:p>
              </w:tc>
              <w:tc>
                <w:tcPr/>
                <w:p>
                  <w:pPr>
                    <w:pStyle w:val="Compact"/>
                    <w:jc w:val="left"/>
                    <w:jc w:val="center"/>
                  </w:pPr>
                  <w:r>
                    <w:t xml:space="preserve">FALSE</w:t>
                  </w:r>
                </w:p>
              </w:tc>
              <w:tc>
                <w:tcPr/>
                <w:p>
                  <w:pPr>
                    <w:pStyle w:val="Compact"/>
                    <w:jc w:val="left"/>
                    <w:jc w:val="center"/>
                  </w:pPr>
                  <w:r>
                    <w:t xml:space="preserve">Budgets</w:t>
                  </w:r>
                </w:p>
              </w:tc>
            </w:tr>
            <w:tr>
              <w:tc>
                <w:tcPr/>
                <w:p>
                  <w:pPr>
                    <w:pStyle w:val="Compact"/>
                    <w:jc w:val="left"/>
                    <w:jc w:val="center"/>
                  </w:pPr>
                  <w:r>
                    <w:t xml:space="preserve">Klein (2024)</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Bilgin et al. (2025)</w:t>
                  </w:r>
                </w:p>
              </w:tc>
              <w:tc>
                <w:tcPr/>
                <w:p>
                  <w:pPr>
                    <w:pStyle w:val="Compact"/>
                    <w:jc w:val="left"/>
                    <w:jc w:val="center"/>
                  </w:pPr>
                  <w:r>
                    <w:t xml:space="preserve">FALSE</w:t>
                  </w:r>
                </w:p>
              </w:tc>
              <w:tc>
                <w:tcPr/>
                <w:p>
                  <w:pPr>
                    <w:pStyle w:val="Compact"/>
                    <w:jc w:val="left"/>
                    <w:jc w:val="center"/>
                  </w:pPr>
                  <w:r>
                    <w:t xml:space="preserve">Transportation</w:t>
                  </w:r>
                </w:p>
              </w:tc>
            </w:tr>
          </w:tbl>
          <w:bookmarkEnd w:id="11"/>
          <w:p/>
        </w:tc>
      </w:tr>
    </w:tbl>
    <w:p>
      <w:pPr>
        <w:pStyle w:val="BodyText"/>
      </w:pPr>
      <w:r>
        <w:rPr>
          <w:vertAlign w:val="subscript"/>
        </w:rPr>
        <w:t xml:space="preserve">Source:</w:t>
      </w:r>
      <w:r>
        <w:rPr>
          <w:vertAlign w:val="subscript"/>
        </w:rPr>
        <w:t xml:space="preserve"> </w:t>
      </w:r>
      <w:hyperlink r:id="rId12">
        <w:r>
          <w:rPr>
            <w:rStyle w:val="Hyperlink"/>
            <w:vertAlign w:val="subscript"/>
          </w:rPr>
          <w:t xml:space="preserve">Lit Review Table</w:t>
        </w:r>
      </w:hyperlink>
    </w:p>
    <w:bookmarkStart w:id="13" w:name="X11645761b5b89cb5d510699a2f6a54e37840b1c"/>
    <w:p>
      <w:pPr>
        <w:pStyle w:val="Heading3"/>
      </w:pPr>
      <w:r>
        <w:t xml:space="preserve">2.1 Household Activities and Transportation Choices</w:t>
      </w:r>
    </w:p>
    <w:p>
      <w:pPr>
        <w:pStyle w:val="FirstParagraph"/>
      </w:pPr>
      <w:r>
        <w:t xml:space="preserve">The literature shows that household dynamics affect the activity patterns of those in the household, and many studies focus on the role children play in these household activities. Some studies aim to find how the presence of children affect the activities of the household</w:t>
      </w:r>
      <w:r>
        <w:t xml:space="preserve"> </w:t>
      </w:r>
      <w:r>
        <w:t xml:space="preserve">(Bernardo et al. 2015)</w:t>
      </w:r>
      <w:r>
        <w:t xml:space="preserve">, and many studies focus on how children’s activities are affected by household demographics</w:t>
      </w:r>
      <w:r>
        <w:t xml:space="preserve"> </w:t>
      </w:r>
      <w:r>
        <w:t xml:space="preserve">(see Sener and Bhat 2007; Rachel B. Copperman and Bhat 2007b; Sener et al. 2008; Paleti et al. 2011; Leung et al. 2019)</w:t>
      </w:r>
      <w:r>
        <w:t xml:space="preserve">. A common finding in these studies is that child activity participation is associated with the environment the child lives in along with household income, parent activities, and other household demographics.</w:t>
      </w:r>
    </w:p>
    <w:p>
      <w:pPr>
        <w:pStyle w:val="BodyText"/>
      </w:pPr>
      <w:r>
        <w:t xml:space="preserve">Among the studies on household choices is a group of literature with a specific focus on a household’s transportation decisions. A common finding in this group of literature is that household composition plays a role in its transportation choices. Some studies in this group are concerned with the way households use cars or the effect of car ownership on transportation decisions</w:t>
      </w:r>
      <w:r>
        <w:t xml:space="preserve"> </w:t>
      </w:r>
      <w:r>
        <w:t xml:space="preserve">(Lu et al. 2022; Amirnazmiafshar and Diana 2022; Klein 2024; Bilgin et al. 2025)</w:t>
      </w:r>
      <w:r>
        <w:t xml:space="preserve">. These studies show there is a major connection between car ownership and transportation decisions. Other studies are focused on travel choices more generally</w:t>
      </w:r>
      <w:r>
        <w:t xml:space="preserve"> </w:t>
      </w:r>
      <w:r>
        <w:t xml:space="preserve">(Rachel B. Copperman and Bhat 2007a; Souche 2010)</w:t>
      </w:r>
      <w:r>
        <w:t xml:space="preserve">. For an extensive literature review on the transportation choices of households with young children, see the study done by</w:t>
      </w:r>
      <w:r>
        <w:t xml:space="preserve"> </w:t>
      </w:r>
      <w:r>
        <w:t xml:space="preserve">McCarthy et al. (2017)</w:t>
      </w:r>
      <w:r>
        <w:t xml:space="preserve">.</w:t>
      </w:r>
    </w:p>
    <w:bookmarkEnd w:id="13"/>
    <w:bookmarkStart w:id="14" w:name="household-spending-and-budgets"/>
    <w:p>
      <w:pPr>
        <w:pStyle w:val="Heading3"/>
      </w:pPr>
      <w:r>
        <w:t xml:space="preserve">2.2 Household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et al.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et al.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Duncan et al.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p>
      <w:pPr>
        <w:pStyle w:val="BodyText"/>
      </w:pPr>
      <w:r>
        <w:t xml:space="preserve">Other studies with similar analyses have had similar findings.</w:t>
      </w:r>
      <w:r>
        <w:t xml:space="preserve"> </w:t>
      </w:r>
      <w:r>
        <w:t xml:space="preserve">Hastings (2022)</w:t>
      </w:r>
      <w:r>
        <w:t xml:space="preserve"> </w:t>
      </w:r>
      <w:r>
        <w:t xml:space="preserve">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p>
    <w:bookmarkEnd w:id="14"/>
    <w:bookmarkStart w:id="15" w:name="Xdbd150ec55c0bf391b8fae8b7cb0c11bead4176"/>
    <w:p>
      <w:pPr>
        <w:pStyle w:val="Heading3"/>
      </w:pPr>
      <w:r>
        <w:t xml:space="preserve">2.3 Household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et al.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In their study,</w:t>
      </w:r>
      <w:r>
        <w:t xml:space="preserve"> </w:t>
      </w:r>
      <w:r>
        <w:t xml:space="preserve">Molloy et al. (2024)</w:t>
      </w:r>
      <w:r>
        <w:t xml:space="preserve"> </w:t>
      </w:r>
      <w:r>
        <w:t xml:space="preserve">look at CEX data after proposing a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et al.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bookmarkEnd w:id="15"/>
    <w:bookmarkStart w:id="19" w:name="the-current-study"/>
    <w:p>
      <w:pPr>
        <w:pStyle w:val="Heading3"/>
      </w:pPr>
      <w:r>
        <w:t xml:space="preserve">2.4 The Current Study</w:t>
      </w:r>
    </w:p>
    <w:p>
      <w:pPr>
        <w:pStyle w:val="FirstParagraph"/>
      </w:pPr>
      <w:r>
        <w:t xml:space="preserve">Like many of the existing studies described, the current study improves our understanding of household spending patterns and transportation choices. It adds to the literature in three main ways: Dataset, Methodology, and Research Question.</w:t>
      </w:r>
    </w:p>
    <w:bookmarkStart w:id="16" w:name="dataset"/>
    <w:p>
      <w:pPr>
        <w:pStyle w:val="Heading4"/>
      </w:pPr>
      <w:r>
        <w:t xml:space="preserve">2.4.1 Dataset</w:t>
      </w:r>
    </w:p>
    <w:p>
      <w:pPr>
        <w:pStyle w:val="FirstParagraph"/>
      </w:pPr>
      <w:r>
        <w:t xml:space="preserve">Many studies seek to understand household transportation choices with time use diaries or travel surveys. This study, on the other hand, seeks to answer similar questions using expenditure data. Instead of using day to day activities to understand where and how a household is getting around, we use households’ weekly expenses to find underlying patterns that explain, and perhaps shape, their travel choices.</w:t>
      </w:r>
    </w:p>
    <w:p>
      <w:pPr>
        <w:pStyle w:val="BodyText"/>
      </w:pPr>
      <w:r>
        <w:t xml:space="preserve">Another important thing to note is that all of the reviewed transportation studies using the CEX were using data from before 2020. Since much has changed since the COVID19 pandemic, the 2024 data used in the current study will provide a more timely analysis.</w:t>
      </w:r>
    </w:p>
    <w:bookmarkEnd w:id="16"/>
    <w:bookmarkStart w:id="17" w:name="methodology"/>
    <w:p>
      <w:pPr>
        <w:pStyle w:val="Heading4"/>
      </w:pPr>
      <w:r>
        <w:t xml:space="preserve">2.4.2 Methodology</w:t>
      </w:r>
    </w:p>
    <w:p>
      <w:pPr>
        <w:pStyle w:val="FirstParagraph"/>
      </w:pPr>
      <w:r>
        <w:t xml:space="preserve">The latent class analysis for the current study looks at unique exogenous and outcome variables. To perform the analysis, we created categories to reflect the type of expenditures made. We used these unique categories in the analysis. The exogenous and outcome variables we used in the analysis are listed below.</w:t>
      </w:r>
    </w:p>
    <w:p>
      <w:pPr>
        <w:pStyle w:val="Compact"/>
        <w:numPr>
          <w:ilvl w:val="0"/>
          <w:numId w:val="1002"/>
        </w:numPr>
      </w:pPr>
      <w:r>
        <w:t xml:space="preserve">List of variables used in analysis</w:t>
      </w:r>
    </w:p>
    <w:bookmarkEnd w:id="17"/>
    <w:bookmarkStart w:id="18" w:name="research-question"/>
    <w:p>
      <w:pPr>
        <w:pStyle w:val="Heading4"/>
      </w:pPr>
      <w:r>
        <w:t xml:space="preserve">2.4.3 Research Question</w:t>
      </w:r>
    </w:p>
    <w:p>
      <w:pPr>
        <w:pStyle w:val="FirstParagraph"/>
      </w:pPr>
      <w:r>
        <w:t xml:space="preserve">The purpose of the current study is to see how household budgets are structured around transportation decisions. We are going about it with the perspective that transportation expenditures help define a household. Looking at the data in this way will help us find trends that were perhaps missed in other studies on transportation decisions.</w:t>
      </w:r>
    </w:p>
    <w:bookmarkEnd w:id="18"/>
    <w:bookmarkEnd w:id="19"/>
    <w:bookmarkEnd w:id="20"/>
    <w:bookmarkStart w:id="31" w:name="data"/>
    <w:p>
      <w:pPr>
        <w:pStyle w:val="Heading2"/>
      </w:pPr>
      <w:r>
        <w:t xml:space="preserve">3 Data</w:t>
      </w:r>
    </w:p>
    <w:p>
      <w:pPr>
        <w:pStyle w:val="FirstParagraph"/>
      </w:pPr>
      <w:r>
        <w:t xml:space="preserve">Data for the following analysis were obtained from the 2024 Consumer Expenditure Survey (CEX) Public Use Microdata (PUMD). The CEX is administered continuously by the Bureau of Labor Statistics (BLS). The data are organized by quarter and published each year. The CEX consists of two surveys: the Interview Survey, and the Diary Survey. Each survey has it’s own unique sample, so the households in one will not appear in the other. The Interview Survey tracks a household’s major and recurring expenditures by reviewing their expenses from the past three months, and the Diary Survey captures more routine household spending by recording in detail a households expenditure across a two-week span.</w:t>
      </w:r>
    </w:p>
    <w:p>
      <w:pPr>
        <w:pStyle w:val="BodyText"/>
      </w:pPr>
      <w:r>
        <w:t xml:space="preserve">Because we were interested in the day-to-day expenditures of households, this study uses data from the Diary Survey of the CEX. To gather this data, BLS personnel contact a sample of US households, record household demographic data, and explain how to fill out the weekly expenditure diary. After two consecutive weeks of reporting expenditures, the household is removed from the sample and replaced by a new household. The combination of household demographics and detailed expenditures available in the Diary Survey makes this data set ideal for the current study.</w:t>
      </w:r>
    </w:p>
    <w:p>
      <w:pPr>
        <w:pStyle w:val="BodyText"/>
      </w:pPr>
      <w:hyperlink w:anchor="tbl-ce-files">
        <w:r>
          <w:rPr>
            <w:rStyle w:val="Hyperlink"/>
          </w:rPr>
          <w:t xml:space="preserve">Table 2</w:t>
        </w:r>
      </w:hyperlink>
      <w:r>
        <w:t xml:space="preserve"> </w:t>
      </w:r>
      <w:r>
        <w:t xml:space="preserve">shows the files in the PUMD that pertain to the Diary Survey. For this study, we specifically looked at the FMLD and the EXPD files from 2024 to get household</w:t>
      </w:r>
      <w:r>
        <w:rPr>
          <w:rStyle w:val="FootnoteReference"/>
        </w:rPr>
        <w:footnoteReference w:id="21"/>
      </w:r>
      <w:r>
        <w:t xml:space="preserve"> </w:t>
      </w:r>
      <w:r>
        <w:t xml:space="preserve">characteristics along with their detailed spending tables. In the 2024 data, there were a total of 6,334 households surveyed. To capture the most expenditures and keep consistency, we only kept households that had participated in the study for two consecutive weeks during the study period. We also excluded any households who had no recorded expenditures during the two survey weeks. After filtering out the 161 households with only one week of data and the 169 households with no expenditures, we were left with 6,004 households used in the analysis.</w:t>
      </w:r>
    </w:p>
    <w:tbl>
      <w:tblPr>
        <w:tblStyle w:val="Table"/>
        <w:tblW w:type="pct" w:w="5000"/>
        <w:tblLayout w:type="fixed"/>
        <w:tblLook w:firstRow="0" w:lastRow="0" w:firstColumn="0" w:lastColumn="0" w:noHBand="0" w:noVBand="0" w:val="0000"/>
      </w:tblPr>
      <w:tblGrid>
        <w:gridCol w:w="7920"/>
      </w:tblGrid>
      <w:tr>
        <w:tc>
          <w:tcPr/>
          <w:bookmarkStart w:id="22" w:name="tbl-ce-files"/>
          <w:p>
            <w:pPr>
              <w:jc w:val="center"/>
            </w:pPr>
            <w:pPr>
              <w:jc w:val="left"/>
              <w:spacing w:before="200"/>
              <w:pStyle w:val="ImageCaption"/>
            </w:pPr>
            <w:r>
              <w:t xml:space="preserve">Table 2: Diary Survey files available in the Public Use Microdata (PUMD)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File Name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FMLD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Characteristics and summary expenditures for each household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MEMD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Characteristics for members of each household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Detailed expenditure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DTBD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Detailed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DTID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imputation iterations</w:t>
                  </w:r>
                </w:p>
              </w:tc>
            </w:tr>
          </w:tbl>
          <w:bookmarkEnd w:id="2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 the expenditures data, there were 410 unique types of expenditures recorded with each expenditure designated by a Universal Classification Code (UCC). We organized this into 7 categories as shown in</w:t>
      </w:r>
      <w:r>
        <w:t xml:space="preserve"> </w:t>
      </w:r>
      <w:hyperlink w:anchor="tbl-spending-categories">
        <w:r>
          <w:rPr>
            <w:rStyle w:val="Hyperlink"/>
          </w:rPr>
          <w:t xml:space="preserve">Table 3</w:t>
        </w:r>
      </w:hyperlink>
      <w:r>
        <w:t xml:space="preserve"> </w:t>
      </w:r>
      <w:r>
        <w:t xml:space="preserve">(for a more detailed breakdown of the expenditure categories, see</w:t>
      </w:r>
      <w:r>
        <w:t xml:space="preserve"> </w:t>
      </w:r>
      <w:hyperlink w:anchor="sec-appendix-a">
        <w:r>
          <w:rPr>
            <w:rStyle w:val="Hyperlink"/>
          </w:rPr>
          <w:t xml:space="preserve">Appendix A</w:t>
        </w:r>
      </w:hyperlink>
      <w:r>
        <w:t xml:space="preserve">). Since this study focuses on transportation expenditures, we further split the transportation category into smaller categories based on mode. The specific UCC codes for each item in the transportation categories are listed in</w:t>
      </w:r>
      <w:r>
        <w:t xml:space="preserve"> </w:t>
      </w:r>
      <w:hyperlink w:anchor="tbl-transpo-categorie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tbl-spending-categories"/>
          <w:p>
            <w:pPr>
              <w:jc w:val="center"/>
            </w:pPr>
            <w:pPr>
              <w:jc w:val="left"/>
              <w:spacing w:before="200"/>
              <w:pStyle w:val="ImageCaption"/>
            </w:pPr>
            <w:r>
              <w:t xml:space="preserve">Table 3: Details of spending categories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Category</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Types of Expenses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Purchases related to food and alcohol.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House Related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Rent, utilities, maintanence, furniture, etc.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Leisure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At-home entertainment, sports and recreation equipment, etc.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Mandatory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Clothing, hygiene, medical, etc.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Gifts, retirement plans, legal fees, tobaccos products, etc.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School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Tuition, school supplies, etc.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Purchases related to transportation</w:t>
                  </w:r>
                </w:p>
              </w:tc>
            </w:tr>
          </w:tbl>
          <w:bookmarkEnd w:id="2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4" w:name="tbl-transpo-categories"/>
          <w:p>
            <w:pPr>
              <w:jc w:val="center"/>
            </w:pPr>
            <w:pPr>
              <w:jc w:val="left"/>
              <w:spacing w:before="200"/>
              <w:pStyle w:val="ImageCaption"/>
            </w:pPr>
            <w:r>
              <w:t xml:space="preserve">Table 4: Unique Expenditures in Each Transportaiton Category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UCC Code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Code Description</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Car Purchase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520516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Auto/truck rental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Car/van pool &amp; non-motorized transportation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 cars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 trucks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Used cars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Used trucks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Used motorcycles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Motorcycle rental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Car Maintenance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Vehicle maintainance and repair, excluding tires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Tires - purchased, replaced, installed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auto repair, servicing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490315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Brake adjustment (old)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Automobile service clubs and GPS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Vehicle maintenance/repair excluding tire purchase (new UCC Q20232)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Vehicle insurance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Vehicle registration including property tax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license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Vehicle inspection</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Car Fuel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Gasoline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Diesel fuel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Gasohol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520531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Parking fees in home city, excluding residence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Tolls or electronic toll passes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Towing charges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Car Payment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450350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Car/truck lease payments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Bus Travel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School bus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Intercity bus fares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Train Travel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Intracity mass transit fares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Intercity train fares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Taxi or Limo Travel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Taxi fares and limousine services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Bike or Scooter or other Single Rider Travel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Bicycles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600315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Scooters, and other single rider transportation (new UCC Q20191)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Bike and E-scooter sharing or rental (new UCC Q20192)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Air Travel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Docking and landing fees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Airline fares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Ship Travel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Ship fares</w:t>
                  </w:r>
                </w:p>
              </w:tc>
            </w:tr>
          </w:tbl>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The average spending in each of the major categories mentioned above is shown in</w:t>
      </w:r>
      <w:r>
        <w:t xml:space="preserve"> </w:t>
      </w:r>
      <w:hyperlink w:anchor="tbl-category-spending">
        <w:r>
          <w:rPr>
            <w:rStyle w:val="Hyperlink"/>
          </w:rPr>
          <w:t xml:space="preserve">Table 5</w:t>
        </w:r>
      </w:hyperlink>
      <w:r>
        <w:t xml:space="preserve">. As seen in the table, there were four categories in which more than 75% of the sample had expenditures: food, house, mandatory, and transportation. The portion of the sample with food-related expenditures was just under 100 percent, and those with house-related expenditures was over 80 percent. This shows that practically no household went two weeks without purchasing food, and only a small portion of the households went two weeks without having a house-related expense. When including all the households in the sample, the average spending on transportation is approximately $260, and that average increases to approximately $325 when looking at only the households who had transportation expenditures.</w:t>
      </w:r>
    </w:p>
    <w:p>
      <w:pPr>
        <w:pStyle w:val="BodyText"/>
      </w:pPr>
      <w:r>
        <w:t xml:space="preserve">The average spending in each of the specific transportation categories is found in</w:t>
      </w:r>
      <w:r>
        <w:t xml:space="preserve"> </w:t>
      </w:r>
      <w:hyperlink w:anchor="tbl-transpo-spending">
        <w:r>
          <w:rPr>
            <w:rStyle w:val="Hyperlink"/>
          </w:rPr>
          <w:t xml:space="preserve">Table 6</w:t>
        </w:r>
      </w:hyperlink>
      <w:r>
        <w:t xml:space="preserve">. Car fuel and car maintenance were the the expense categories that included the most households. The categories with the highest averages were car purchases, car payments, and ship travel, but these had relatively low numbers of households spending any money in the categories.</w:t>
      </w:r>
    </w:p>
    <w:tbl>
      <w:tblPr>
        <w:tblStyle w:val="Table"/>
        <w:tblW w:type="pct" w:w="5000"/>
        <w:tblLayout w:type="fixed"/>
        <w:tblLook w:firstRow="0" w:lastRow="0" w:firstColumn="0" w:lastColumn="0" w:noHBand="0" w:noVBand="0" w:val="0000"/>
      </w:tblPr>
      <w:tblGrid>
        <w:gridCol w:w="7920"/>
      </w:tblGrid>
      <w:tr>
        <w:tc>
          <w:tcPr/>
          <w:bookmarkStart w:id="25" w:name="tbl-category-spending"/>
          <w:p>
            <w:pPr>
              <w:jc w:val="center"/>
            </w:pPr>
            <w:pPr>
              <w:jc w:val="left"/>
              <w:spacing w:before="200"/>
              <w:pStyle w:val="ImageCaption"/>
            </w:pPr>
            <w:r>
              <w:t xml:space="preserve">Table 5: Average Spending per Household in Each Category</w:t>
            </w:r>
          </w:p>
          <w:bookmarkEnd w:id="25"/>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Category Spending Tables</w:t>
        </w:r>
      </w:hyperlink>
    </w:p>
    <w:tbl>
      <w:tblPr>
        <w:tblStyle w:val="Table"/>
        <w:tblW w:type="pct" w:w="5000"/>
        <w:tblLayout w:type="fixed"/>
        <w:tblLook w:firstRow="0" w:lastRow="0" w:firstColumn="0" w:lastColumn="0" w:noHBand="0" w:noVBand="0" w:val="0000"/>
      </w:tblPr>
      <w:tblGrid>
        <w:gridCol w:w="7920"/>
      </w:tblGrid>
      <w:tr>
        <w:tc>
          <w:tcPr/>
          <w:bookmarkStart w:id="27" w:name="tbl-transpo-spending"/>
          <w:p>
            <w:pPr>
              <w:jc w:val="center"/>
            </w:pPr>
            <w:pPr>
              <w:jc w:val="left"/>
              <w:spacing w:before="200"/>
              <w:pStyle w:val="ImageCaption"/>
            </w:pPr>
            <w:r>
              <w:t xml:space="preserve">Table 6: Average Transportation Spending per Household in Each Category</w:t>
            </w:r>
          </w:p>
          <w:bookmarkEnd w:id="27"/>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Category Spending Tables</w:t>
        </w:r>
      </w:hyperlink>
    </w:p>
    <w:p>
      <w:pPr>
        <w:pStyle w:val="BodyText"/>
      </w:pPr>
      <w:r>
        <w:rPr>
          <w:b/>
          <w:bCs/>
        </w:rPr>
        <w:t xml:space="preserve">The next big thing to do with the data section is to write about the demographics and compare them to census data.</w:t>
      </w:r>
      <w:r>
        <w:t xml:space="preserve"> </w:t>
      </w:r>
      <w:r>
        <w:t xml:space="preserve">find census data :</w:t>
      </w:r>
      <w:r>
        <w:t xml:space="preserve"> </w:t>
      </w:r>
      <w:r>
        <w:t xml:space="preserve">https://www.census.gov/quickfacts/fact/table/US/PST045224</w:t>
      </w:r>
      <w:r>
        <w:t xml:space="preserve"> </w:t>
      </w:r>
      <w:r>
        <w:t xml:space="preserve">https://data.census.gov/table</w:t>
      </w:r>
    </w:p>
    <w:tbl>
      <w:tblPr>
        <w:tblStyle w:val="Table"/>
        <w:tblW w:type="pct" w:w="5000"/>
        <w:tblLayout w:type="fixed"/>
        <w:tblLook w:firstRow="0" w:lastRow="0" w:firstColumn="0" w:lastColumn="0" w:noHBand="0" w:noVBand="0" w:val="0000"/>
      </w:tblPr>
      <w:tblGrid>
        <w:gridCol w:w="7920"/>
      </w:tblGrid>
      <w:tr>
        <w:tc>
          <w:tcPr/>
          <w:bookmarkStart w:id="29" w:name="tbl-data-demographics"/>
          <w:p>
            <w:pPr>
              <w:jc w:val="center"/>
            </w:pPr>
            <w:pPr>
              <w:jc w:val="left"/>
              <w:spacing w:before="200"/>
              <w:pStyle w:val="ImageCaption"/>
            </w:pPr>
            <w:r>
              <w:t xml:space="preserve">Table 7: Demograhic distribution of the sample</w:t>
            </w:r>
          </w:p>
          <w:bookmarkEnd w:id="29"/>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Demographic Tables</w:t>
        </w:r>
      </w:hyperlink>
    </w:p>
    <w:p>
      <w:pPr>
        <w:pStyle w:val="BodyText"/>
      </w:pPr>
      <w:r>
        <w:t xml:space="preserve">Then there might still be some tables Katie wanted me to make. I will review those.</w:t>
      </w:r>
    </w:p>
    <w:p>
      <w:pPr>
        <w:pStyle w:val="Compact"/>
        <w:numPr>
          <w:ilvl w:val="0"/>
          <w:numId w:val="1003"/>
        </w:numPr>
      </w:pPr>
      <w:r>
        <w:t xml:space="preserve">Table with the buckets of transportation spending category splits.</w:t>
      </w:r>
    </w:p>
    <w:p>
      <w:pPr>
        <w:pStyle w:val="Compact"/>
        <w:numPr>
          <w:ilvl w:val="0"/>
          <w:numId w:val="1003"/>
        </w:numPr>
      </w:pPr>
      <w:r>
        <w:t xml:space="preserve">Same averages, but split them up by different household structures</w:t>
      </w:r>
    </w:p>
    <w:p>
      <w:pPr>
        <w:pStyle w:val="Compact"/>
        <w:numPr>
          <w:ilvl w:val="0"/>
          <w:numId w:val="1004"/>
        </w:numPr>
      </w:pPr>
      <w:r>
        <w:t xml:space="preserve">Refer to R code on how to do this efficiently.</w:t>
      </w:r>
    </w:p>
    <w:p>
      <w:pPr>
        <w:pStyle w:val="Compact"/>
        <w:numPr>
          <w:ilvl w:val="0"/>
          <w:numId w:val="1004"/>
        </w:numPr>
      </w:pPr>
      <w:r>
        <w:t xml:space="preserve">This is where we can start to tell the story that perhaps different household structures are spending their money in different transportation spending categories.</w:t>
      </w:r>
    </w:p>
    <w:bookmarkEnd w:id="31"/>
    <w:bookmarkStart w:id="46" w:name="results"/>
    <w:p>
      <w:pPr>
        <w:pStyle w:val="Heading2"/>
      </w:pPr>
      <w:r>
        <w:t xml:space="preserve">4 Results</w:t>
      </w:r>
    </w:p>
    <w:p>
      <w:pPr>
        <w:pStyle w:val="FirstParagraph"/>
      </w:pPr>
      <w:r>
        <w:t xml:space="preserve">The analysis resulted in three latent classes which we named based on the household distribution of each class. The latent classes are described as follows.</w:t>
      </w:r>
    </w:p>
    <w:bookmarkStart w:id="32" w:name="class-1-car-spenders-high-ch"/>
    <w:p>
      <w:pPr>
        <w:pStyle w:val="Heading3"/>
      </w:pPr>
      <w:r>
        <w:t xml:space="preserve">4.1 Class 1: Car Spenders High (CH)</w:t>
      </w:r>
    </w:p>
    <w:p>
      <w:pPr>
        <w:pStyle w:val="FirstParagraph"/>
      </w:pPr>
      <w:r>
        <w:t xml:space="preserve">This class mostly contains households that spend higher amounts of money on car-related travel. As shown in</w:t>
      </w:r>
      <w:r>
        <w:t xml:space="preserve"> </w:t>
      </w:r>
      <w:hyperlink w:anchor="tbl-model-classes">
        <w:r>
          <w:rPr>
            <w:rStyle w:val="Hyperlink"/>
          </w:rPr>
          <w:t xml:space="preserve">Table 8</w:t>
        </w:r>
      </w:hyperlink>
      <w:r>
        <w:t xml:space="preserve">, the</w:t>
      </w:r>
      <w:r>
        <w:t xml:space="preserve"> </w:t>
      </w:r>
      <w:r>
        <w:rPr>
          <w:i/>
          <w:iCs/>
        </w:rPr>
        <w:t xml:space="preserve">CH</w:t>
      </w:r>
      <w:r>
        <w:t xml:space="preserve"> </w:t>
      </w:r>
      <w:r>
        <w:t xml:space="preserve">class has a much larger percent of households that spent over $100 on both fuel and maintenance during the survey period. In those same categories, it had the smallest percent of households spending nothing in those categories. In terms of other modes of transportation, this class hardly had any households with expenses in the other transportation categories.</w:t>
      </w:r>
    </w:p>
    <w:bookmarkEnd w:id="32"/>
    <w:bookmarkStart w:id="33" w:name="class-2-multimodal-spenders-mm"/>
    <w:p>
      <w:pPr>
        <w:pStyle w:val="Heading3"/>
      </w:pPr>
      <w:r>
        <w:t xml:space="preserve">4.2 Class 2: Multimodal Spenders (MM)</w:t>
      </w:r>
    </w:p>
    <w:p>
      <w:pPr>
        <w:pStyle w:val="FirstParagraph"/>
      </w:pPr>
      <w:r>
        <w:t xml:space="preserve">Unlike the</w:t>
      </w:r>
      <w:r>
        <w:t xml:space="preserve"> </w:t>
      </w:r>
      <w:r>
        <w:rPr>
          <w:i/>
          <w:iCs/>
        </w:rPr>
        <w:t xml:space="preserve">CH</w:t>
      </w:r>
      <w:r>
        <w:t xml:space="preserve"> </w:t>
      </w:r>
      <w:r>
        <w:t xml:space="preserve">category, the</w:t>
      </w:r>
      <w:r>
        <w:t xml:space="preserve"> </w:t>
      </w:r>
      <w:r>
        <w:rPr>
          <w:i/>
          <w:iCs/>
        </w:rPr>
        <w:t xml:space="preserve">MM</w:t>
      </w:r>
      <w:r>
        <w:t xml:space="preserve"> </w:t>
      </w:r>
      <w:r>
        <w:t xml:space="preserve">class contains a higher percentage of households that had spending in the transportation categories not involved with cars. For example, while less than 2% of households in the</w:t>
      </w:r>
      <w:r>
        <w:t xml:space="preserve"> </w:t>
      </w:r>
      <w:r>
        <w:rPr>
          <w:i/>
          <w:iCs/>
        </w:rPr>
        <w:t xml:space="preserve">CH</w:t>
      </w:r>
      <w:r>
        <w:t xml:space="preserve"> </w:t>
      </w:r>
      <w:r>
        <w:t xml:space="preserve">class spent any money on train travel, more than 50% of households in this class spend money on train travel with about 30% of households spending over $20 on train travel.</w:t>
      </w:r>
    </w:p>
    <w:bookmarkEnd w:id="33"/>
    <w:bookmarkStart w:id="38" w:name="class-3-car-spenders-low-cl"/>
    <w:p>
      <w:pPr>
        <w:pStyle w:val="Heading3"/>
      </w:pPr>
      <w:r>
        <w:t xml:space="preserve">4.3 Class 3: Car Spenders Low (CL)</w:t>
      </w:r>
    </w:p>
    <w:p>
      <w:pPr>
        <w:pStyle w:val="FirstParagraph"/>
      </w:pPr>
      <w:r>
        <w:t xml:space="preserve">Similar to the</w:t>
      </w:r>
      <w:r>
        <w:t xml:space="preserve"> </w:t>
      </w:r>
      <w:r>
        <w:rPr>
          <w:i/>
          <w:iCs/>
        </w:rPr>
        <w:t xml:space="preserve">CH</w:t>
      </w:r>
      <w:r>
        <w:t xml:space="preserve"> </w:t>
      </w:r>
      <w:r>
        <w:t xml:space="preserve">class, the</w:t>
      </w:r>
      <w:r>
        <w:t xml:space="preserve"> </w:t>
      </w:r>
      <w:r>
        <w:rPr>
          <w:i/>
          <w:iCs/>
        </w:rPr>
        <w:t xml:space="preserve">CL</w:t>
      </w:r>
      <w:r>
        <w:t xml:space="preserve"> </w:t>
      </w:r>
      <w:r>
        <w:t xml:space="preserve">class had most expenditures in the car categories. However, there was a smaller percent of households with expenses in the higher ranges. For example, the</w:t>
      </w:r>
      <w:r>
        <w:t xml:space="preserve"> </w:t>
      </w:r>
      <w:r>
        <w:rPr>
          <w:i/>
          <w:iCs/>
        </w:rPr>
        <w:t xml:space="preserve">CH</w:t>
      </w:r>
      <w:r>
        <w:t xml:space="preserve"> </w:t>
      </w:r>
      <w:r>
        <w:t xml:space="preserve">class had over 45% households that spent over $100 on fuel while the</w:t>
      </w:r>
      <w:r>
        <w:t xml:space="preserve"> </w:t>
      </w:r>
      <w:r>
        <w:rPr>
          <w:i/>
          <w:iCs/>
        </w:rPr>
        <w:t xml:space="preserve">CL</w:t>
      </w:r>
      <w:r>
        <w:t xml:space="preserve"> </w:t>
      </w:r>
      <w:r>
        <w:t xml:space="preserve">class had less than 15% exceeding $100 in fuel. Like the</w:t>
      </w:r>
      <w:r>
        <w:t xml:space="preserve"> </w:t>
      </w:r>
      <w:r>
        <w:rPr>
          <w:i/>
          <w:iCs/>
        </w:rPr>
        <w:t xml:space="preserve">CH</w:t>
      </w:r>
      <w:r>
        <w:t xml:space="preserve">, the</w:t>
      </w:r>
      <w:r>
        <w:t xml:space="preserve"> </w:t>
      </w:r>
      <w:r>
        <w:rPr>
          <w:i/>
          <w:iCs/>
        </w:rPr>
        <w:t xml:space="preserve">CL</w:t>
      </w:r>
      <w:r>
        <w:t xml:space="preserve"> </w:t>
      </w:r>
      <w:r>
        <w:t xml:space="preserve">class had very low percentages of households that spent money on modes besides cars. In fact, there were no households in this class that spent money on trains or buses.</w:t>
      </w:r>
    </w:p>
    <w:tbl>
      <w:tblPr>
        <w:tblStyle w:val="Table"/>
        <w:tblW w:type="pct" w:w="5000"/>
        <w:tblLayout w:type="fixed"/>
        <w:tblLook w:firstRow="0" w:lastRow="0" w:firstColumn="0" w:lastColumn="0" w:noHBand="0" w:noVBand="0" w:val="0000"/>
      </w:tblPr>
      <w:tblGrid>
        <w:gridCol w:w="7920"/>
      </w:tblGrid>
      <w:tr>
        <w:tc>
          <w:tcPr/>
          <w:bookmarkStart w:id="34" w:name="tbl-model-classes"/>
          <w:p>
            <w:pPr>
              <w:jc w:val="center"/>
            </w:pPr>
            <w:pPr>
              <w:jc w:val="left"/>
              <w:spacing w:before="200"/>
              <w:pStyle w:val="ImageCaption"/>
            </w:pPr>
            <w:r>
              <w:t xml:space="preserve">Table 8: Class Distribution of Model</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LCA Tables</w:t>
        </w:r>
      </w:hyperlink>
    </w:p>
    <w:p>
      <w:pPr>
        <w:pStyle w:val="BodyText"/>
      </w:pPr>
      <w:hyperlink w:anchor="tbl-model-coeff">
        <w:r>
          <w:rPr>
            <w:rStyle w:val="Hyperlink"/>
          </w:rPr>
          <w:t xml:space="preserve">Table 9</w:t>
        </w:r>
      </w:hyperlink>
      <w:r>
        <w:t xml:space="preserve"> </w:t>
      </w:r>
      <w:r>
        <w:t xml:space="preserve">shows the regression results of the latent class model. As seen in the table, most of the model coefficients are statistically significant. The following sections discuss the findings in more detail.</w:t>
      </w:r>
    </w:p>
    <w:tbl>
      <w:tblPr>
        <w:tblStyle w:val="Table"/>
        <w:tblW w:type="pct" w:w="5000"/>
        <w:tblLayout w:type="fixed"/>
        <w:tblLook w:firstRow="0" w:lastRow="0" w:firstColumn="0" w:lastColumn="0" w:noHBand="0" w:noVBand="0" w:val="0000"/>
      </w:tblPr>
      <w:tblGrid>
        <w:gridCol w:w="7920"/>
      </w:tblGrid>
      <w:tr>
        <w:tc>
          <w:tcPr/>
          <w:bookmarkStart w:id="36" w:name="tbl-model-coeff"/>
          <w:p>
            <w:pPr>
              <w:jc w:val="center"/>
            </w:pPr>
            <w:pPr>
              <w:jc w:val="left"/>
              <w:spacing w:before="200"/>
              <w:pStyle w:val="ImageCaption"/>
            </w:pPr>
            <w:r>
              <w:t xml:space="preserve">Table 9: Regression Results of Model</w:t>
            </w:r>
          </w:p>
          <w:bookmarkEnd w:id="36"/>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LCA Tables</w:t>
        </w:r>
      </w:hyperlink>
    </w:p>
    <w:bookmarkEnd w:id="38"/>
    <w:bookmarkStart w:id="39" w:name="household-make-up"/>
    <w:p>
      <w:pPr>
        <w:pStyle w:val="Heading3"/>
      </w:pPr>
      <w:r>
        <w:t xml:space="preserve">4.4 Household Make-up</w:t>
      </w:r>
    </w:p>
    <w:p>
      <w:pPr>
        <w:pStyle w:val="FirstParagraph"/>
      </w:pPr>
      <w:r>
        <w:t xml:space="preserve">Compared to single people with no children, both households with children and households with a married couple are more likely to be in the CH class than in the MM class. This makes sense to see that households with more people are more likely to have their transportation expenses oriented around cars because heavier travel demands and the balance of multiple schedules increases the convenience of a car. This also aligns with the study by</w:t>
      </w:r>
      <w:r>
        <w:t xml:space="preserve"> </w:t>
      </w:r>
      <w:r>
        <w:t xml:space="preserve">Thakuriah and Liao (2005)</w:t>
      </w:r>
      <w:r>
        <w:t xml:space="preserve"> </w:t>
      </w:r>
      <w:r>
        <w:t xml:space="preserve">which found vehicle expenses to be connected to the number of people in the household. Comparing the MM class to the CH class, the coefficient for</w:t>
      </w:r>
      <w:r>
        <w:t xml:space="preserve"> </w:t>
      </w:r>
      <w:r>
        <w:t xml:space="preserve">“married without children”</w:t>
      </w:r>
      <w:r>
        <w:t xml:space="preserve"> </w:t>
      </w:r>
      <w:r>
        <w:t xml:space="preserve">households has the smallest absolute value, this shows that having children in the household has a stronger effect on being in the CH class than having a married couple in the household does. This</w:t>
      </w:r>
      <w:r>
        <w:t xml:space="preserve"> </w:t>
      </w:r>
      <w:r>
        <w:t xml:space="preserve">“married without children”</w:t>
      </w:r>
      <w:r>
        <w:t xml:space="preserve"> </w:t>
      </w:r>
      <w:r>
        <w:t xml:space="preserve">variable is also the only one with a statistically significant coefficient when comparing the CL class to the CH class. This means that</w:t>
      </w:r>
      <w:r>
        <w:t xml:space="preserve"> </w:t>
      </w:r>
      <w:r>
        <w:t xml:space="preserve">“married without children”</w:t>
      </w:r>
      <w:r>
        <w:t xml:space="preserve"> </w:t>
      </w:r>
      <w:r>
        <w:t xml:space="preserve">households are more likely to be in the CH class than the CL class compared to</w:t>
      </w:r>
      <w:r>
        <w:t xml:space="preserve"> </w:t>
      </w:r>
      <w:r>
        <w:t xml:space="preserve">“single”</w:t>
      </w:r>
      <w:r>
        <w:t xml:space="preserve"> </w:t>
      </w:r>
      <w:r>
        <w:t xml:space="preserve">households. This also makes sense because married couples will most likely have more trips than a single person, and this will equate to more transportation spending.</w:t>
      </w:r>
    </w:p>
    <w:bookmarkEnd w:id="39"/>
    <w:bookmarkStart w:id="40" w:name="location"/>
    <w:p>
      <w:pPr>
        <w:pStyle w:val="Heading3"/>
      </w:pPr>
      <w:r>
        <w:t xml:space="preserve">4.5 Location</w:t>
      </w:r>
    </w:p>
    <w:p>
      <w:pPr>
        <w:pStyle w:val="FirstParagraph"/>
      </w:pPr>
      <w:r>
        <w:t xml:space="preserve">Compared to other areas of the country, households in the northeast are more likely to be in the MM class than in in the CH class. This also makes sense because the northeast is relatively dense and has some of the longest history of transit use. Additionally, household in cities of more than one million people are less likely to be in the CH class compared to the other classes. This makes sense for similar reason as the region findings.</w:t>
      </w:r>
    </w:p>
    <w:p>
      <w:pPr>
        <w:pStyle w:val="Compact"/>
        <w:numPr>
          <w:ilvl w:val="0"/>
          <w:numId w:val="1005"/>
        </w:numPr>
      </w:pPr>
      <w:r>
        <w:t xml:space="preserve">(There is probably a study on how the more populous areas have less car use.)</w:t>
      </w:r>
    </w:p>
    <w:p>
      <w:pPr>
        <w:pStyle w:val="FirstParagraph"/>
      </w:pPr>
      <w:r>
        <w:t xml:space="preserve">The findings from the coefficients for both the region and the city size support findings in other transportation studies.</w:t>
      </w:r>
      <w:r>
        <w:t xml:space="preserve"> </w:t>
      </w:r>
      <w:r>
        <w:t xml:space="preserve">Deka (2015)</w:t>
      </w:r>
      <w:r>
        <w:t xml:space="preserve"> </w:t>
      </w:r>
      <w:r>
        <w:t xml:space="preserve">found transportation expenditures to be higher for those living in single-family, detached homes and lower for those living in older homes.</w:t>
      </w:r>
      <w:r>
        <w:t xml:space="preserve"> </w:t>
      </w:r>
      <w:r>
        <w:t xml:space="preserve">Mattson and Peterson (2019)</w:t>
      </w:r>
      <w:r>
        <w:t xml:space="preserve"> </w:t>
      </w:r>
      <w:r>
        <w:t xml:space="preserve">and</w:t>
      </w:r>
      <w:r>
        <w:t xml:space="preserve"> </w:t>
      </w:r>
      <w:r>
        <w:t xml:space="preserve">Mattson (2020)</w:t>
      </w:r>
      <w:r>
        <w:t xml:space="preserve"> </w:t>
      </w:r>
      <w:r>
        <w:t xml:space="preserve">also found a positive correlation between transportation expenses and living in a single family home.</w:t>
      </w:r>
      <w:r>
        <w:t xml:space="preserve"> </w:t>
      </w:r>
      <w:r>
        <w:t xml:space="preserve">The density and history of the northeast region of the united states, and of most large cities, makes it more likely to have old homes and higher concentrations of multifamily homes. These places will be more likely to spend less on transportation and use modes other than cars.</w:t>
      </w:r>
    </w:p>
    <w:bookmarkEnd w:id="40"/>
    <w:bookmarkStart w:id="41" w:name="other-household-demographics"/>
    <w:p>
      <w:pPr>
        <w:pStyle w:val="Heading3"/>
      </w:pPr>
      <w:r>
        <w:t xml:space="preserve">4.6 Other Household Demographics</w:t>
      </w:r>
    </w:p>
    <w:p>
      <w:pPr>
        <w:pStyle w:val="FirstParagraph"/>
      </w:pPr>
      <w:r>
        <w:t xml:space="preserve">Compared to people that are 55 years old or older, households with a reference person younger than 55 are more likely to be in the MM class as opposed to the CH class. Additionally, households with a reference person younger than 55 are more likely to be in the CH class as apposed to the CL class. It makes sense that people older than 55 are more likely to use cars, but, compared to everyone who spends money on cars, they are more likely to be small spenders because they don’t have as many trips.</w:t>
      </w:r>
    </w:p>
    <w:p>
      <w:pPr>
        <w:pStyle w:val="Compact"/>
        <w:numPr>
          <w:ilvl w:val="0"/>
          <w:numId w:val="1006"/>
        </w:numPr>
      </w:pPr>
      <w:r>
        <w:t xml:space="preserve">(There is probably a study on how younger adults are more likely to take transit or active transportation)</w:t>
      </w:r>
    </w:p>
    <w:p>
      <w:pPr>
        <w:pStyle w:val="FirstParagraph"/>
      </w:pPr>
      <w:r>
        <w:t xml:space="preserve">Compared to those making more than $50,000 a year, those making less than $50,000 a year are less likely to be in CH as apposed to both MM and CL. This makes sense and aligns with previous studies. Household with less income will most likely spend less on transportation</w:t>
      </w:r>
      <w:r>
        <w:t xml:space="preserve"> </w:t>
      </w:r>
      <w:r>
        <w:t xml:space="preserve">(Molloy et al. 2024; Sener et al. 2008)</w:t>
      </w:r>
      <w:r>
        <w:t xml:space="preserve">.</w:t>
      </w:r>
    </w:p>
    <w:p>
      <w:pPr>
        <w:pStyle w:val="BodyText"/>
      </w:pPr>
      <w:r>
        <w:t xml:space="preserve">Compared with those who don’t have a college degree, those with a degree are more likely to be in the MM class as opposed to the CH class. Compared with those who don’t have a college education, those with bachelors degree are more likely to be in the CH class as opposed to the CL class while those with a doctorate degree are more likely to be in the CL compared to the CH class. This could be because people with doctorates have more opportunities to work from home or more flexibility to live close to their work.</w:t>
      </w:r>
    </w:p>
    <w:bookmarkEnd w:id="41"/>
    <w:bookmarkStart w:id="42" w:name="household-expenditures"/>
    <w:p>
      <w:pPr>
        <w:pStyle w:val="Heading3"/>
      </w:pPr>
      <w:r>
        <w:t xml:space="preserve">4.7 Household Expenditures</w:t>
      </w:r>
    </w:p>
    <w:p>
      <w:pPr>
        <w:pStyle w:val="FirstParagraph"/>
      </w:pPr>
      <w:r>
        <w:t xml:space="preserve">Compared to those who spend nothing in mandatory spending, those who have mandatory expenses, are more likely to be in the CH class as opposed to the MM class.</w:t>
      </w:r>
      <w:r>
        <w:t xml:space="preserve"> </w:t>
      </w:r>
      <w:r>
        <w:t xml:space="preserve">Compared to those who spend nothing in mandatory spending, those who have mandatory expenses, are more likely to be in the CH class as opposed to the CL class. The different coefficient values show that people spending over $500 on mandatory spending are more likely to be in CH class compared to the households spending less on mandatory things.</w:t>
      </w:r>
    </w:p>
    <w:p>
      <w:pPr>
        <w:pStyle w:val="BodyText"/>
      </w:pPr>
      <w:r>
        <w:t xml:space="preserve">Compared with households who have no house-related expenses, households with house related expenses are more likely to be in the CH class. It also looks like, in both comparisons, that the higher people are paying on house-related expenses, the more likely they are to be in the CH class compared to those without house-related expenses.</w:t>
      </w:r>
    </w:p>
    <w:p>
      <w:pPr>
        <w:pStyle w:val="BodyText"/>
      </w:pPr>
      <w:r>
        <w:t xml:space="preserve">Compared to those households who spend less than $100 on leisure, households who spend more than $100 are more likely to be in the CH class. It makes sense that spending on Leisure activities would be positively correlated with transportation spending since the more spend on leisure could very likely indicate more trips made.</w:t>
      </w:r>
    </w:p>
    <w:p>
      <w:pPr>
        <w:pStyle w:val="BodyText"/>
      </w:pPr>
      <w:r>
        <w:t xml:space="preserve">The coefficients related to household spending tend to increase in absolute value as the spending ranges increase. It is reasonable to see the probability of being in the high spending transportation class increase as other household expenses increase. More household expenses often mean more trips are being made.</w:t>
      </w:r>
    </w:p>
    <w:bookmarkEnd w:id="42"/>
    <w:bookmarkStart w:id="45" w:name="some-more-results"/>
    <w:p>
      <w:pPr>
        <w:pStyle w:val="Heading3"/>
      </w:pPr>
      <w:r>
        <w:t xml:space="preserve">4.8 Some More Results</w:t>
      </w:r>
    </w:p>
    <w:p>
      <w:pPr>
        <w:pStyle w:val="FirstParagraph"/>
      </w:pPr>
      <w:r>
        <w:t xml:space="preserve">I think</w:t>
      </w:r>
      <w:r>
        <w:t xml:space="preserve"> </w:t>
      </w:r>
      <w:hyperlink w:anchor="tbl-model-covarpcts">
        <w:r>
          <w:rPr>
            <w:rStyle w:val="Hyperlink"/>
          </w:rPr>
          <w:t xml:space="preserve">Table 10</w:t>
        </w:r>
      </w:hyperlink>
      <w:r>
        <w:t xml:space="preserve"> </w:t>
      </w:r>
      <w:r>
        <w:t xml:space="preserve">is showing what percent of households fall into each category in each class. But I just put this in here to look at it. It won’t be in the final paper.</w:t>
      </w:r>
    </w:p>
    <w:tbl>
      <w:tblPr>
        <w:tblStyle w:val="Table"/>
        <w:tblW w:type="pct" w:w="5000"/>
        <w:tblLayout w:type="fixed"/>
        <w:tblLook w:firstRow="0" w:lastRow="0" w:firstColumn="0" w:lastColumn="0" w:noHBand="0" w:noVBand="0" w:val="0000"/>
      </w:tblPr>
      <w:tblGrid>
        <w:gridCol w:w="7920"/>
      </w:tblGrid>
      <w:tr>
        <w:tc>
          <w:tcPr/>
          <w:bookmarkStart w:id="43" w:name="tbl-model-covarpcts"/>
          <w:p>
            <w:pPr>
              <w:jc w:val="center"/>
            </w:pPr>
            <w:pPr>
              <w:jc w:val="left"/>
              <w:spacing w:before="200"/>
              <w:pStyle w:val="ImageCaption"/>
            </w:pPr>
            <w:r>
              <w:t xml:space="preserve">Table 10: The table that Katie gave me the code to make.</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LCA Tables</w:t>
        </w:r>
      </w:hyperlink>
    </w:p>
    <w:bookmarkEnd w:id="45"/>
    <w:bookmarkEnd w:id="46"/>
    <w:bookmarkStart w:id="115" w:name="references"/>
    <w:p>
      <w:pPr>
        <w:pStyle w:val="Heading2"/>
      </w:pPr>
      <w:r>
        <w:t xml:space="preserve">5 References</w:t>
      </w:r>
    </w:p>
    <w:bookmarkStart w:id="114" w:name="refs"/>
    <w:bookmarkStart w:id="48"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47">
        <w:r>
          <w:rPr>
            <w:rStyle w:val="Hyperlink"/>
          </w:rPr>
          <w:t xml:space="preserve">https://doi.org/10.1016/j.trip.2022.100616</w:t>
        </w:r>
      </w:hyperlink>
      <w:r>
        <w:t xml:space="preserve">.</w:t>
      </w:r>
    </w:p>
    <w:bookmarkEnd w:id="48"/>
    <w:bookmarkStart w:id="50"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49">
        <w:r>
          <w:rPr>
            <w:rStyle w:val="Hyperlink"/>
          </w:rPr>
          <w:t xml:space="preserve">https://doi.org/10.1016/j.tra.2014.12.006</w:t>
        </w:r>
      </w:hyperlink>
      <w:r>
        <w:t xml:space="preserve">.</w:t>
      </w:r>
    </w:p>
    <w:bookmarkEnd w:id="50"/>
    <w:bookmarkStart w:id="52"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51">
        <w:r>
          <w:rPr>
            <w:rStyle w:val="Hyperlink"/>
          </w:rPr>
          <w:t xml:space="preserve">https://doi.org/10.1016/j.trd.2025.104886</w:t>
        </w:r>
      </w:hyperlink>
      <w:r>
        <w:t xml:space="preserve">.</w:t>
      </w:r>
    </w:p>
    <w:bookmarkEnd w:id="52"/>
    <w:bookmarkStart w:id="53" w:name="ref-blumenberg_transportation_2003"/>
    <w:p>
      <w:pPr>
        <w:pStyle w:val="Bibliography"/>
      </w:pPr>
      <w:r>
        <w:t xml:space="preserve">Blumenberg, Evelyn. 2003.</w:t>
      </w:r>
      <w:r>
        <w:t xml:space="preserve"> </w:t>
      </w:r>
      <w:r>
        <w:rPr>
          <w:i/>
          <w:iCs/>
        </w:rPr>
        <w:t xml:space="preserve">Transportation</w:t>
      </w:r>
      <w:r>
        <w:rPr>
          <w:i/>
          <w:iCs/>
        </w:rPr>
        <w:t xml:space="preserve"> </w:t>
      </w:r>
      <w:r>
        <w:rPr>
          <w:i/>
          <w:iCs/>
        </w:rPr>
        <w:t xml:space="preserve">Costs</w:t>
      </w:r>
      <w:r>
        <w:rPr>
          <w:i/>
          <w:iCs/>
        </w:rPr>
        <w:t xml:space="preserve"> </w:t>
      </w:r>
      <w:r>
        <w:rPr>
          <w:i/>
          <w:iCs/>
        </w:rPr>
        <w:t xml:space="preserve">and</w:t>
      </w:r>
      <w:r>
        <w:rPr>
          <w:i/>
          <w:iCs/>
        </w:rPr>
        <w:t xml:space="preserve"> </w:t>
      </w:r>
      <w:r>
        <w:rPr>
          <w:i/>
          <w:iCs/>
        </w:rPr>
        <w:t xml:space="preserve">Economic</w:t>
      </w:r>
      <w:r>
        <w:rPr>
          <w:i/>
          <w:iCs/>
        </w:rPr>
        <w:t xml:space="preserve"> </w:t>
      </w:r>
      <w:r>
        <w:rPr>
          <w:i/>
          <w:iCs/>
        </w:rPr>
        <w:t xml:space="preserve">Opportunity</w:t>
      </w:r>
      <w:r>
        <w:rPr>
          <w:i/>
          <w:iCs/>
        </w:rPr>
        <w:t xml:space="preserve"> </w:t>
      </w:r>
      <w:r>
        <w:rPr>
          <w:i/>
          <w:iCs/>
        </w:rPr>
        <w:t xml:space="preserve">Among</w:t>
      </w:r>
      <w:r>
        <w:rPr>
          <w:i/>
          <w:iCs/>
        </w:rPr>
        <w:t xml:space="preserve"> </w:t>
      </w:r>
      <w:r>
        <w:rPr>
          <w:i/>
          <w:iCs/>
        </w:rPr>
        <w:t xml:space="preserve">the</w:t>
      </w:r>
      <w:r>
        <w:rPr>
          <w:i/>
          <w:iCs/>
        </w:rPr>
        <w:t xml:space="preserve"> </w:t>
      </w:r>
      <w:r>
        <w:rPr>
          <w:i/>
          <w:iCs/>
        </w:rPr>
        <w:t xml:space="preserve">Poor</w:t>
      </w:r>
      <w:r>
        <w:t xml:space="preserve">. October.</w:t>
      </w:r>
    </w:p>
    <w:bookmarkEnd w:id="53"/>
    <w:bookmarkStart w:id="55" w:name="Xa66e51dc7d1b5a25f9f65477025553c1efad10b"/>
    <w:p>
      <w:pPr>
        <w:pStyle w:val="Bibliography"/>
      </w:pPr>
      <w:r>
        <w:t xml:space="preserve">Bureau of Transportation Statistics. 2024.</w:t>
      </w:r>
      <w:r>
        <w:t xml:space="preserve"> </w:t>
      </w:r>
      <w:r>
        <w:rPr>
          <w:i/>
          <w:iCs/>
        </w:rPr>
        <w:t xml:space="preserve">Transportation</w:t>
      </w:r>
      <w:r>
        <w:rPr>
          <w:i/>
          <w:iCs/>
        </w:rPr>
        <w:t xml:space="preserve"> </w:t>
      </w:r>
      <w:r>
        <w:rPr>
          <w:i/>
          <w:iCs/>
        </w:rPr>
        <w:t xml:space="preserve">Statistics</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2024</w:t>
      </w:r>
      <w:r>
        <w:t xml:space="preserve">. Bureau of Transportation Statistics.</w:t>
      </w:r>
      <w:r>
        <w:t xml:space="preserve"> </w:t>
      </w:r>
      <w:hyperlink r:id="rId54">
        <w:r>
          <w:rPr>
            <w:rStyle w:val="Hyperlink"/>
          </w:rPr>
          <w:t xml:space="preserve">https://doi.org/10.21949/E0KQ-GF72</w:t>
        </w:r>
      </w:hyperlink>
      <w:r>
        <w:t xml:space="preserve">.</w:t>
      </w:r>
    </w:p>
    <w:bookmarkEnd w:id="55"/>
    <w:bookmarkStart w:id="57"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56">
        <w:r>
          <w:rPr>
            <w:rStyle w:val="Hyperlink"/>
          </w:rPr>
          <w:t xml:space="preserve">https://doi.org/10.3141/2010-14</w:t>
        </w:r>
      </w:hyperlink>
      <w:r>
        <w:t xml:space="preserve">.</w:t>
      </w:r>
    </w:p>
    <w:bookmarkEnd w:id="57"/>
    <w:bookmarkStart w:id="59"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58">
        <w:r>
          <w:rPr>
            <w:rStyle w:val="Hyperlink"/>
          </w:rPr>
          <w:t xml:space="preserve">https://doi.org/10.1007/s11116-006-0005-5</w:t>
        </w:r>
      </w:hyperlink>
      <w:r>
        <w:t xml:space="preserve">.</w:t>
      </w:r>
    </w:p>
    <w:bookmarkEnd w:id="59"/>
    <w:bookmarkStart w:id="60" w:name="ref-copperman_exploratory_2007"/>
    <w:p>
      <w:pPr>
        <w:pStyle w:val="Bibliography"/>
      </w:pPr>
      <w:r>
        <w:t xml:space="preserve">Copperman, Rachel B, and Chandra R Bhat. 2007b.</w:t>
      </w:r>
      <w:r>
        <w:t xml:space="preserve"> </w:t>
      </w:r>
      <w:r>
        <w:rPr>
          <w:i/>
          <w:iCs/>
        </w:rPr>
        <w:t xml:space="preserve">An</w:t>
      </w:r>
      <w:r>
        <w:rPr>
          <w:i/>
          <w:iCs/>
        </w:rPr>
        <w:t xml:space="preserve"> </w:t>
      </w:r>
      <w:r>
        <w:rPr>
          <w:i/>
          <w:iCs/>
        </w:rPr>
        <w:t xml:space="preserve">Exploratory</w:t>
      </w:r>
      <w:r>
        <w:rPr>
          <w:i/>
          <w:iCs/>
        </w:rPr>
        <w:t xml:space="preserve"> </w:t>
      </w:r>
      <w:r>
        <w:rPr>
          <w:i/>
          <w:iCs/>
        </w:rPr>
        <w:t xml:space="preserve">Analysis</w:t>
      </w:r>
      <w:r>
        <w:rPr>
          <w:i/>
          <w:iCs/>
        </w:rPr>
        <w:t xml:space="preserve"> </w:t>
      </w:r>
      <w:r>
        <w:rPr>
          <w:i/>
          <w:iCs/>
        </w:rPr>
        <w:t xml:space="preserve">of</w:t>
      </w:r>
      <w:r>
        <w:rPr>
          <w:i/>
          <w:iCs/>
        </w:rPr>
        <w:t xml:space="preserve"> </w:t>
      </w:r>
      <w:r>
        <w:rPr>
          <w:i/>
          <w:iCs/>
        </w:rPr>
        <w:t xml:space="preserve">Children</w:t>
      </w:r>
      <w:r>
        <w:rPr>
          <w:i/>
          <w:iCs/>
        </w:rPr>
        <w:t xml:space="preserve">’s</w:t>
      </w:r>
      <w:r>
        <w:rPr>
          <w:i/>
          <w:iCs/>
        </w:rPr>
        <w:t xml:space="preserve"> </w:t>
      </w:r>
      <w:r>
        <w:rPr>
          <w:i/>
          <w:iCs/>
        </w:rPr>
        <w:t xml:space="preserve">Daily</w:t>
      </w:r>
      <w:r>
        <w:rPr>
          <w:i/>
          <w:iCs/>
        </w:rPr>
        <w:t xml:space="preserve"> </w:t>
      </w:r>
      <w:r>
        <w:rPr>
          <w:i/>
          <w:iCs/>
        </w:rPr>
        <w:t xml:space="preserve">Time</w:t>
      </w:r>
      <w:r>
        <w:rPr>
          <w:i/>
          <w:iCs/>
        </w:rPr>
        <w:t xml:space="preserve">-</w:t>
      </w:r>
      <w:r>
        <w:rPr>
          <w:i/>
          <w:iCs/>
        </w:rPr>
        <w:t xml:space="preserve">Use</w:t>
      </w:r>
      <w:r>
        <w:rPr>
          <w:i/>
          <w:iCs/>
        </w:rPr>
        <w:t xml:space="preserve"> </w:t>
      </w:r>
      <w:r>
        <w:rPr>
          <w:i/>
          <w:iCs/>
        </w:rPr>
        <w:t xml:space="preserve">and</w:t>
      </w:r>
      <w:r>
        <w:rPr>
          <w:i/>
          <w:iCs/>
        </w:rPr>
        <w:t xml:space="preserve"> </w:t>
      </w:r>
      <w:r>
        <w:rPr>
          <w:i/>
          <w:iCs/>
        </w:rPr>
        <w:t xml:space="preserve">Activity</w:t>
      </w:r>
      <w:r>
        <w:rPr>
          <w:i/>
          <w:iCs/>
        </w:rPr>
        <w:t xml:space="preserve"> </w:t>
      </w:r>
      <w:r>
        <w:rPr>
          <w:i/>
          <w:iCs/>
        </w:rPr>
        <w:t xml:space="preserve">Patterns</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Development</w:t>
      </w:r>
      <w:r>
        <w:rPr>
          <w:i/>
          <w:iCs/>
        </w:rPr>
        <w:t xml:space="preserve"> </w:t>
      </w:r>
      <w:r>
        <w:rPr>
          <w:i/>
          <w:iCs/>
        </w:rPr>
        <w:t xml:space="preserve">Supplement</w:t>
      </w:r>
      <w:r>
        <w:rPr>
          <w:i/>
          <w:iCs/>
        </w:rPr>
        <w:t xml:space="preserve"> </w:t>
      </w:r>
      <w:r>
        <w:rPr>
          <w:i/>
          <w:iCs/>
        </w:rPr>
        <w:t xml:space="preserve">(</w:t>
      </w:r>
      <w:r>
        <w:rPr>
          <w:i/>
          <w:iCs/>
        </w:rPr>
        <w:t xml:space="preserve">CDS</w:t>
      </w:r>
      <w:r>
        <w:rPr>
          <w:i/>
          <w:iCs/>
        </w:rPr>
        <w:t xml:space="preserve">) to the</w:t>
      </w:r>
      <w:r>
        <w:rPr>
          <w:i/>
          <w:iCs/>
        </w:rPr>
        <w:t xml:space="preserve"> </w:t>
      </w:r>
      <w:r>
        <w:rPr>
          <w:i/>
          <w:iCs/>
        </w:rPr>
        <w:t xml:space="preserve">US</w:t>
      </w:r>
      <w:r>
        <w:rPr>
          <w:i/>
          <w:iCs/>
        </w:rPr>
        <w:t xml:space="preserve"> </w:t>
      </w:r>
      <w:r>
        <w:rPr>
          <w:i/>
          <w:iCs/>
        </w:rPr>
        <w:t xml:space="preserve">Panel</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Income</w:t>
      </w:r>
      <w:r>
        <w:rPr>
          <w:i/>
          <w:iCs/>
        </w:rPr>
        <w:t xml:space="preserve"> </w:t>
      </w:r>
      <w:r>
        <w:rPr>
          <w:i/>
          <w:iCs/>
        </w:rPr>
        <w:t xml:space="preserve">Dynamics</w:t>
      </w:r>
      <w:r>
        <w:rPr>
          <w:i/>
          <w:iCs/>
        </w:rPr>
        <w:t xml:space="preserve"> </w:t>
      </w:r>
      <w:r>
        <w:rPr>
          <w:i/>
          <w:iCs/>
        </w:rPr>
        <w:t xml:space="preserve">(</w:t>
      </w:r>
      <w:r>
        <w:rPr>
          <w:i/>
          <w:iCs/>
        </w:rPr>
        <w:t xml:space="preserve">PSID</w:t>
      </w:r>
      <w:r>
        <w:rPr>
          <w:i/>
          <w:iCs/>
        </w:rPr>
        <w:t xml:space="preserve">)</w:t>
      </w:r>
      <w:r>
        <w:t xml:space="preserve">.</w:t>
      </w:r>
    </w:p>
    <w:bookmarkEnd w:id="60"/>
    <w:bookmarkStart w:id="62"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61">
        <w:r>
          <w:rPr>
            <w:rStyle w:val="Hyperlink"/>
          </w:rPr>
          <w:t xml:space="preserve">https://doi.org/10.3141/2531-04</w:t>
        </w:r>
      </w:hyperlink>
      <w:r>
        <w:t xml:space="preserve">.</w:t>
      </w:r>
    </w:p>
    <w:bookmarkEnd w:id="62"/>
    <w:bookmarkStart w:id="64" w:name="ref-duncan_estimating_2023"/>
    <w:p>
      <w:pPr>
        <w:pStyle w:val="Bibliography"/>
      </w:pPr>
      <w:r>
        <w:t xml:space="preserve">Duncan, Karen A., Kristyn Frank, and Anne Guèvremont. 2023.</w:t>
      </w:r>
      <w:r>
        <w:t xml:space="preserve"> </w:t>
      </w:r>
      <w:r>
        <w:rPr>
          <w:i/>
          <w:iCs/>
        </w:rPr>
        <w:t xml:space="preserve">Estimating</w:t>
      </w:r>
      <w:r>
        <w:rPr>
          <w:i/>
          <w:iCs/>
        </w:rPr>
        <w:t xml:space="preserve"> </w:t>
      </w:r>
      <w:r>
        <w:rPr>
          <w:i/>
          <w:iCs/>
        </w:rPr>
        <w:t xml:space="preserve">Expenditures</w:t>
      </w:r>
      <w:r>
        <w:rPr>
          <w:i/>
          <w:iCs/>
        </w:rPr>
        <w:t xml:space="preserve"> </w:t>
      </w:r>
      <w:r>
        <w:rPr>
          <w:i/>
          <w:iCs/>
        </w:rPr>
        <w:t xml:space="preserve">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w:t>
      </w:r>
      <w:r>
        <w:rPr>
          <w:i/>
          <w:iCs/>
        </w:rPr>
        <w:t xml:space="preserve">in</w:t>
      </w:r>
      <w:r>
        <w:rPr>
          <w:i/>
          <w:iCs/>
        </w:rPr>
        <w:t xml:space="preserve"> </w:t>
      </w:r>
      <w:r>
        <w:rPr>
          <w:i/>
          <w:iCs/>
        </w:rPr>
        <w:t xml:space="preserve">Canada</w:t>
      </w:r>
      <w:r>
        <w:rPr>
          <w:i/>
          <w:iCs/>
        </w:rPr>
        <w:t xml:space="preserve">, 2014 to 2017</w:t>
      </w:r>
      <w:r>
        <w:t xml:space="preserve">. September.</w:t>
      </w:r>
      <w:r>
        <w:t xml:space="preserve"> </w:t>
      </w:r>
      <w:hyperlink r:id="rId63">
        <w:r>
          <w:rPr>
            <w:rStyle w:val="Hyperlink"/>
          </w:rPr>
          <w:t xml:space="preserve">https://doi.org/10.25318/11F0019M2023007-ENG</w:t>
        </w:r>
      </w:hyperlink>
      <w:r>
        <w:t xml:space="preserve">.</w:t>
      </w:r>
    </w:p>
    <w:bookmarkEnd w:id="64"/>
    <w:bookmarkStart w:id="66"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65">
        <w:r>
          <w:rPr>
            <w:rStyle w:val="Hyperlink"/>
          </w:rPr>
          <w:t xml:space="preserve">https://doi.org/10.1007/s11116-010-9264-2</w:t>
        </w:r>
      </w:hyperlink>
      <w:r>
        <w:t xml:space="preserve">.</w:t>
      </w:r>
    </w:p>
    <w:bookmarkEnd w:id="66"/>
    <w:bookmarkStart w:id="68"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67">
        <w:r>
          <w:rPr>
            <w:rStyle w:val="Hyperlink"/>
          </w:rPr>
          <w:t xml:space="preserve">https://doi.org/10.1007/s10834-006-9031-x</w:t>
        </w:r>
      </w:hyperlink>
      <w:r>
        <w:t xml:space="preserve">.</w:t>
      </w:r>
    </w:p>
    <w:bookmarkEnd w:id="68"/>
    <w:bookmarkStart w:id="70"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69">
        <w:r>
          <w:rPr>
            <w:rStyle w:val="Hyperlink"/>
          </w:rPr>
          <w:t xml:space="preserve">https://doi.org/10.3141/2077-09</w:t>
        </w:r>
      </w:hyperlink>
      <w:r>
        <w:t xml:space="preserve">.</w:t>
      </w:r>
    </w:p>
    <w:bookmarkEnd w:id="70"/>
    <w:bookmarkStart w:id="71" w:name="ref-hargunani_study_2024"/>
    <w:p>
      <w:pPr>
        <w:pStyle w:val="Bibliography"/>
      </w:pPr>
      <w:r>
        <w:t xml:space="preserve">Hargunani, Chahat, Sachin Vernekar, and Shradha Vernekar. 2024.</w:t>
      </w:r>
      <w:r>
        <w:t xml:space="preserve"> </w:t>
      </w:r>
      <w:r>
        <w:rPr>
          <w:i/>
          <w:iCs/>
        </w:rPr>
        <w:t xml:space="preserve">A</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SPENDING</w:t>
      </w:r>
      <w:r>
        <w:rPr>
          <w:i/>
          <w:iCs/>
        </w:rPr>
        <w:t xml:space="preserve">,</w:t>
      </w:r>
      <w:r>
        <w:rPr>
          <w:i/>
          <w:iCs/>
        </w:rPr>
        <w:t xml:space="preserve"> </w:t>
      </w:r>
      <w:r>
        <w:rPr>
          <w:i/>
          <w:iCs/>
        </w:rPr>
        <w:t xml:space="preserve">SAVING</w:t>
      </w:r>
      <w:r>
        <w:rPr>
          <w:i/>
          <w:iCs/>
        </w:rPr>
        <w:t xml:space="preserve"> </w:t>
      </w:r>
      <w:r>
        <w:rPr>
          <w:i/>
          <w:iCs/>
        </w:rPr>
        <w:t xml:space="preserve">AND</w:t>
      </w:r>
      <w:r>
        <w:rPr>
          <w:i/>
          <w:iCs/>
        </w:rPr>
        <w:t xml:space="preserve"> </w:t>
      </w:r>
      <w:r>
        <w:rPr>
          <w:i/>
          <w:iCs/>
        </w:rPr>
        <w:t xml:space="preserve">INVESTMENT</w:t>
      </w:r>
      <w:r>
        <w:rPr>
          <w:i/>
          <w:iCs/>
        </w:rPr>
        <w:t xml:space="preserve"> </w:t>
      </w:r>
      <w:r>
        <w:rPr>
          <w:i/>
          <w:iCs/>
        </w:rPr>
        <w:t xml:space="preserve">PATTERNS</w:t>
      </w:r>
      <w:r>
        <w:rPr>
          <w:i/>
          <w:iCs/>
        </w:rPr>
        <w:t xml:space="preserve"> </w:t>
      </w:r>
      <w:r>
        <w:rPr>
          <w:i/>
          <w:iCs/>
        </w:rPr>
        <w:t xml:space="preserve">OF</w:t>
      </w:r>
      <w:r>
        <w:rPr>
          <w:i/>
          <w:iCs/>
        </w:rPr>
        <w:t xml:space="preserve"> </w:t>
      </w:r>
      <w:r>
        <w:rPr>
          <w:i/>
          <w:iCs/>
        </w:rPr>
        <w:t xml:space="preserve">MARRIED</w:t>
      </w:r>
      <w:r>
        <w:rPr>
          <w:i/>
          <w:iCs/>
        </w:rPr>
        <w:t xml:space="preserve"> </w:t>
      </w:r>
      <w:r>
        <w:rPr>
          <w:i/>
          <w:iCs/>
        </w:rPr>
        <w:t xml:space="preserve">COUPLES</w:t>
      </w:r>
      <w:r>
        <w:rPr>
          <w:i/>
          <w:iCs/>
        </w:rPr>
        <w:t xml:space="preserve"> </w:t>
      </w:r>
      <w:r>
        <w:rPr>
          <w:i/>
          <w:iCs/>
        </w:rPr>
        <w:t xml:space="preserve">WITH</w:t>
      </w:r>
      <w:r>
        <w:rPr>
          <w:i/>
          <w:iCs/>
        </w:rPr>
        <w:t xml:space="preserve"> </w:t>
      </w:r>
      <w:r>
        <w:rPr>
          <w:i/>
          <w:iCs/>
        </w:rPr>
        <w:t xml:space="preserve">CHILDREN</w:t>
      </w:r>
      <w:r>
        <w:rPr>
          <w:i/>
          <w:iCs/>
        </w:rPr>
        <w:t xml:space="preserve">(</w:t>
      </w:r>
      <w:r>
        <w:rPr>
          <w:i/>
          <w:iCs/>
        </w:rPr>
        <w:t xml:space="preserve">NON</w:t>
      </w:r>
      <w:r>
        <w:rPr>
          <w:i/>
          <w:iCs/>
        </w:rPr>
        <w:t xml:space="preserve">-</w:t>
      </w:r>
      <w:r>
        <w:rPr>
          <w:i/>
          <w:iCs/>
        </w:rPr>
        <w:t xml:space="preserve">DINK</w:t>
      </w:r>
      <w:r>
        <w:rPr>
          <w:i/>
          <w:iCs/>
        </w:rPr>
        <w:t xml:space="preserve">)</w:t>
      </w:r>
      <w:r>
        <w:rPr>
          <w:i/>
          <w:iCs/>
        </w:rPr>
        <w:t xml:space="preserve"> </w:t>
      </w:r>
      <w:r>
        <w:rPr>
          <w:i/>
          <w:iCs/>
        </w:rPr>
        <w:t xml:space="preserve">IN</w:t>
      </w:r>
      <w:r>
        <w:rPr>
          <w:i/>
          <w:iCs/>
        </w:rPr>
        <w:t xml:space="preserve"> </w:t>
      </w:r>
      <w:r>
        <w:rPr>
          <w:i/>
          <w:iCs/>
        </w:rPr>
        <w:t xml:space="preserve">MUMBAI</w:t>
      </w:r>
      <w:r>
        <w:t xml:space="preserve">. 20 (1).</w:t>
      </w:r>
    </w:p>
    <w:bookmarkEnd w:id="71"/>
    <w:bookmarkStart w:id="73"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72">
        <w:r>
          <w:rPr>
            <w:rStyle w:val="Hyperlink"/>
          </w:rPr>
          <w:t xml:space="preserve">https://doi.org/10.1177/23780231221103054</w:t>
        </w:r>
      </w:hyperlink>
      <w:r>
        <w:t xml:space="preserve">.</w:t>
      </w:r>
    </w:p>
    <w:bookmarkEnd w:id="73"/>
    <w:bookmarkStart w:id="75"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74">
        <w:r>
          <w:rPr>
            <w:rStyle w:val="Hyperlink"/>
          </w:rPr>
          <w:t xml:space="preserve">https://doi.org/10.1300/J073v18n02_02</w:t>
        </w:r>
      </w:hyperlink>
      <w:r>
        <w:t xml:space="preserve">.</w:t>
      </w:r>
    </w:p>
    <w:bookmarkEnd w:id="75"/>
    <w:bookmarkStart w:id="77" w:name="ref-johnson_century_2001"/>
    <w:p>
      <w:pPr>
        <w:pStyle w:val="Bibliography"/>
      </w:pPr>
      <w:r>
        <w:t xml:space="preserve">Johnson, David S., John M. Rogers, and Lucilla Tan. 2001.</w:t>
      </w:r>
      <w:r>
        <w:t xml:space="preserve"> </w:t>
      </w:r>
      <w:r>
        <w:t xml:space="preserve">“A</w:t>
      </w:r>
      <w:r>
        <w:t xml:space="preserve"> </w:t>
      </w:r>
      <w:r>
        <w:t xml:space="preserve">Century</w:t>
      </w:r>
      <w:r>
        <w:t xml:space="preserve"> </w:t>
      </w:r>
      <w:r>
        <w:t xml:space="preserve">of</w:t>
      </w:r>
      <w:r>
        <w:t xml:space="preserve"> </w:t>
      </w:r>
      <w:r>
        <w:t xml:space="preserve">Family</w:t>
      </w:r>
      <w:r>
        <w:t xml:space="preserve"> </w:t>
      </w:r>
      <w:r>
        <w:t xml:space="preserve">Budgets</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Monthly Labor Review</w:t>
      </w:r>
      <w:r>
        <w:t xml:space="preserve"> </w:t>
      </w:r>
      <w:r>
        <w:t xml:space="preserve">124 (5): 28–45.</w:t>
      </w:r>
      <w:r>
        <w:t xml:space="preserve"> </w:t>
      </w:r>
      <w:hyperlink r:id="rId76">
        <w:r>
          <w:rPr>
            <w:rStyle w:val="Hyperlink"/>
          </w:rPr>
          <w:t xml:space="preserve">https://heinonline.org/HOL/P?h=hein.journals/month124&amp;i=482</w:t>
        </w:r>
      </w:hyperlink>
      <w:r>
        <w:t xml:space="preserve">.</w:t>
      </w:r>
    </w:p>
    <w:bookmarkEnd w:id="77"/>
    <w:bookmarkStart w:id="79"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78">
        <w:r>
          <w:rPr>
            <w:rStyle w:val="Hyperlink"/>
          </w:rPr>
          <w:t xml:space="preserve">https://doi.org/10.1177/0739456X20950428</w:t>
        </w:r>
      </w:hyperlink>
      <w:r>
        <w:t xml:space="preserve">.</w:t>
      </w:r>
    </w:p>
    <w:bookmarkEnd w:id="79"/>
    <w:bookmarkStart w:id="81"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80">
        <w:r>
          <w:rPr>
            <w:rStyle w:val="Hyperlink"/>
          </w:rPr>
          <w:t xml:space="preserve">https://doi.org/10.1016/j.jtrangeo.2018.12.015</w:t>
        </w:r>
      </w:hyperlink>
      <w:r>
        <w:t xml:space="preserve">.</w:t>
      </w:r>
    </w:p>
    <w:bookmarkEnd w:id="81"/>
    <w:bookmarkStart w:id="83" w:name="ref-lino_expenditures_2017"/>
    <w:p>
      <w:pPr>
        <w:pStyle w:val="Bibliography"/>
      </w:pPr>
      <w:r>
        <w:t xml:space="preserve">Lino, Mark, Kevin Kuczynski, Nestor Rodriguez, and TusaRebecca Schap. 2017.</w:t>
      </w:r>
      <w:r>
        <w:t xml:space="preserve"> </w:t>
      </w:r>
      <w:r>
        <w:rPr>
          <w:i/>
          <w:iCs/>
        </w:rPr>
        <w:t xml:space="preserve">Expenditures 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2015</w:t>
      </w:r>
      <w:r>
        <w:t xml:space="preserve">. United States Department of Agriculture.</w:t>
      </w:r>
      <w:r>
        <w:t xml:space="preserve"> </w:t>
      </w:r>
      <w:hyperlink r:id="rId82">
        <w:r>
          <w:rPr>
            <w:rStyle w:val="Hyperlink"/>
          </w:rPr>
          <w:t xml:space="preserve">https://doi.org/10.22004/ag.econ.327257</w:t>
        </w:r>
      </w:hyperlink>
      <w:r>
        <w:t xml:space="preserve">.</w:t>
      </w:r>
    </w:p>
    <w:bookmarkEnd w:id="83"/>
    <w:bookmarkStart w:id="85"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84">
        <w:r>
          <w:rPr>
            <w:rStyle w:val="Hyperlink"/>
          </w:rPr>
          <w:t xml:space="preserve">https://doi.org/10.1016/j.tra.2022.02.003</w:t>
        </w:r>
      </w:hyperlink>
      <w:r>
        <w:t xml:space="preserve">.</w:t>
      </w:r>
    </w:p>
    <w:bookmarkEnd w:id="85"/>
    <w:bookmarkStart w:id="87"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86">
        <w:r>
          <w:rPr>
            <w:rStyle w:val="Hyperlink"/>
          </w:rPr>
          <w:t xml:space="preserve">https://doi.org/10.1016/j.trip.2020.100260</w:t>
        </w:r>
      </w:hyperlink>
      <w:r>
        <w:t xml:space="preserve">.</w:t>
      </w:r>
    </w:p>
    <w:bookmarkEnd w:id="87"/>
    <w:bookmarkStart w:id="88" w:name="ref-mattson_relationships_2019"/>
    <w:p>
      <w:pPr>
        <w:pStyle w:val="Bibliography"/>
      </w:pPr>
      <w:r>
        <w:t xml:space="preserve">Mattson, Jeremy, and Del Peterson. 2019.</w:t>
      </w:r>
      <w:r>
        <w:t xml:space="preserve"> </w:t>
      </w:r>
      <w:r>
        <w:rPr>
          <w:i/>
          <w:iCs/>
        </w:rPr>
        <w:t xml:space="preserve">Relationships Between</w:t>
      </w:r>
      <w:r>
        <w:rPr>
          <w:i/>
          <w:iCs/>
        </w:rPr>
        <w:t xml:space="preserve"> </w:t>
      </w:r>
      <w:r>
        <w:rPr>
          <w:i/>
          <w:iCs/>
        </w:rPr>
        <w:t xml:space="preserve">Land</w:t>
      </w:r>
      <w:r>
        <w:rPr>
          <w:i/>
          <w:iCs/>
        </w:rPr>
        <w:t xml:space="preserve"> </w:t>
      </w:r>
      <w:r>
        <w:rPr>
          <w:i/>
          <w:iCs/>
        </w:rPr>
        <w:t xml:space="preserve">Use</w:t>
      </w:r>
      <w:r>
        <w:rPr>
          <w:i/>
          <w:iCs/>
        </w:rPr>
        <w:t xml:space="preserve">,</w:t>
      </w:r>
      <w:r>
        <w:rPr>
          <w:i/>
          <w:iCs/>
        </w:rPr>
        <w:t xml:space="preserve"> </w:t>
      </w:r>
      <w:r>
        <w:rPr>
          <w:i/>
          <w:iCs/>
        </w:rPr>
        <w:t xml:space="preserve">Transportation</w:t>
      </w:r>
      <w:r>
        <w:rPr>
          <w:i/>
          <w:iCs/>
        </w:rPr>
        <w:t xml:space="preserve">,</w:t>
      </w:r>
      <w:r>
        <w:rPr>
          <w:i/>
          <w:iCs/>
        </w:rPr>
        <w:t xml:space="preserve"> </w:t>
      </w:r>
      <w:r>
        <w:rPr>
          <w:i/>
          <w:iCs/>
        </w:rPr>
        <w:t xml:space="preserve">Household</w:t>
      </w:r>
      <w:r>
        <w:rPr>
          <w:i/>
          <w:iCs/>
        </w:rPr>
        <w:t xml:space="preserve"> </w:t>
      </w:r>
      <w:r>
        <w:rPr>
          <w:i/>
          <w:iCs/>
        </w:rPr>
        <w:t xml:space="preserve">Expenditures</w:t>
      </w:r>
      <w:r>
        <w:rPr>
          <w:i/>
          <w:iCs/>
        </w:rPr>
        <w:t xml:space="preserve">, and</w:t>
      </w:r>
      <w:r>
        <w:rPr>
          <w:i/>
          <w:iCs/>
        </w:rPr>
        <w:t xml:space="preserve"> </w:t>
      </w:r>
      <w:r>
        <w:rPr>
          <w:i/>
          <w:iCs/>
        </w:rPr>
        <w:t xml:space="preserve">Municipal</w:t>
      </w:r>
      <w:r>
        <w:rPr>
          <w:i/>
          <w:iCs/>
        </w:rPr>
        <w:t xml:space="preserve"> </w:t>
      </w:r>
      <w:r>
        <w:rPr>
          <w:i/>
          <w:iCs/>
        </w:rPr>
        <w:t xml:space="preserve">Spending</w:t>
      </w:r>
      <w:r>
        <w:rPr>
          <w:i/>
          <w:iCs/>
        </w:rPr>
        <w:t xml:space="preserve"> </w:t>
      </w:r>
      <w:r>
        <w:rPr>
          <w:i/>
          <w:iCs/>
        </w:rPr>
        <w:t xml:space="preserve">in</w:t>
      </w:r>
      <w:r>
        <w:rPr>
          <w:i/>
          <w:iCs/>
        </w:rPr>
        <w:t xml:space="preserve"> </w:t>
      </w:r>
      <w:r>
        <w:rPr>
          <w:i/>
          <w:iCs/>
        </w:rPr>
        <w:t xml:space="preserve">Small</w:t>
      </w:r>
      <w:r>
        <w:rPr>
          <w:i/>
          <w:iCs/>
        </w:rPr>
        <w:t xml:space="preserve"> </w:t>
      </w:r>
      <w:r>
        <w:rPr>
          <w:i/>
          <w:iCs/>
        </w:rPr>
        <w:t xml:space="preserve">Urban</w:t>
      </w:r>
      <w:r>
        <w:rPr>
          <w:i/>
          <w:iCs/>
        </w:rPr>
        <w:t xml:space="preserve"> </w:t>
      </w:r>
      <w:r>
        <w:rPr>
          <w:i/>
          <w:iCs/>
        </w:rPr>
        <w:t xml:space="preserve">Areas</w:t>
      </w:r>
      <w:r>
        <w:t xml:space="preserve">. December.</w:t>
      </w:r>
    </w:p>
    <w:bookmarkEnd w:id="88"/>
    <w:bookmarkStart w:id="90"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89">
        <w:r>
          <w:rPr>
            <w:rStyle w:val="Hyperlink"/>
          </w:rPr>
          <w:t xml:space="preserve">https://doi.org/10.1080/01441647.2017.1354942</w:t>
        </w:r>
      </w:hyperlink>
      <w:r>
        <w:t xml:space="preserve">.</w:t>
      </w:r>
    </w:p>
    <w:bookmarkEnd w:id="90"/>
    <w:bookmarkStart w:id="92"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91">
        <w:r>
          <w:rPr>
            <w:rStyle w:val="Hyperlink"/>
          </w:rPr>
          <w:t xml:space="preserve">https://doi.org/10.1177/03611981231174444</w:t>
        </w:r>
      </w:hyperlink>
      <w:r>
        <w:t xml:space="preserve">.</w:t>
      </w:r>
    </w:p>
    <w:bookmarkEnd w:id="92"/>
    <w:bookmarkStart w:id="94"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93">
        <w:r>
          <w:rPr>
            <w:rStyle w:val="Hyperlink"/>
          </w:rPr>
          <w:t xml:space="preserve">https://doi.org/10.1016/0191-2607(79)90051-7</w:t>
        </w:r>
      </w:hyperlink>
      <w:r>
        <w:t xml:space="preserve">.</w:t>
      </w:r>
    </w:p>
    <w:bookmarkEnd w:id="94"/>
    <w:bookmarkStart w:id="96"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95">
        <w:r>
          <w:rPr>
            <w:rStyle w:val="Hyperlink"/>
          </w:rPr>
          <w:t xml:space="preserve">https://doi.org/10.1080/000368498325868</w:t>
        </w:r>
      </w:hyperlink>
      <w:r>
        <w:t xml:space="preserve">.</w:t>
      </w:r>
    </w:p>
    <w:bookmarkEnd w:id="96"/>
    <w:bookmarkStart w:id="97" w:name="ref-osborne_updated_2021"/>
    <w:p>
      <w:pPr>
        <w:pStyle w:val="Bibliography"/>
      </w:pPr>
      <w:r>
        <w:t xml:space="preserve">Osborne, Cynthia, Erin Wu, and Kaeley Benson. 2021.</w:t>
      </w:r>
      <w:r>
        <w:t xml:space="preserve"> </w:t>
      </w:r>
      <w:r>
        <w:rPr>
          <w:i/>
          <w:iCs/>
        </w:rPr>
        <w:t xml:space="preserve">An</w:t>
      </w:r>
      <w:r>
        <w:rPr>
          <w:i/>
          <w:iCs/>
        </w:rPr>
        <w:t xml:space="preserve"> </w:t>
      </w:r>
      <w:r>
        <w:rPr>
          <w:i/>
          <w:iCs/>
        </w:rPr>
        <w:t xml:space="preserve">Updated</w:t>
      </w:r>
      <w:r>
        <w:rPr>
          <w:i/>
          <w:iCs/>
        </w:rPr>
        <w:t xml:space="preserve"> </w:t>
      </w:r>
      <w:r>
        <w:rPr>
          <w:i/>
          <w:iCs/>
        </w:rPr>
        <w:t xml:space="preserve">Estimation</w:t>
      </w:r>
      <w:r>
        <w:rPr>
          <w:i/>
          <w:iCs/>
        </w:rPr>
        <w:t xml:space="preserve"> </w:t>
      </w:r>
      <w:r>
        <w:rPr>
          <w:i/>
          <w:iCs/>
        </w:rPr>
        <w:t xml:space="preserve">Model</w:t>
      </w:r>
      <w:r>
        <w:rPr>
          <w:i/>
          <w:iCs/>
        </w:rPr>
        <w:t xml:space="preserve"> </w:t>
      </w:r>
      <w:r>
        <w:rPr>
          <w:i/>
          <w:iCs/>
        </w:rPr>
        <w:t xml:space="preserve">of the</w:t>
      </w:r>
      <w:r>
        <w:rPr>
          <w:i/>
          <w:iCs/>
        </w:rPr>
        <w:t xml:space="preserve"> </w:t>
      </w:r>
      <w:r>
        <w:rPr>
          <w:i/>
          <w:iCs/>
        </w:rPr>
        <w:t xml:space="preserve">Cost</w:t>
      </w:r>
      <w:r>
        <w:rPr>
          <w:i/>
          <w:iCs/>
        </w:rPr>
        <w:t xml:space="preserve"> </w:t>
      </w:r>
      <w:r>
        <w:rPr>
          <w:i/>
          <w:iCs/>
        </w:rPr>
        <w:t xml:space="preserve">of</w:t>
      </w:r>
      <w:r>
        <w:rPr>
          <w:i/>
          <w:iCs/>
        </w:rPr>
        <w:t xml:space="preserve"> </w:t>
      </w:r>
      <w:r>
        <w:rPr>
          <w:i/>
          <w:iCs/>
        </w:rPr>
        <w:t xml:space="preserve">Raising</w:t>
      </w:r>
      <w:r>
        <w:rPr>
          <w:i/>
          <w:iCs/>
        </w:rPr>
        <w:t xml:space="preserve"> </w:t>
      </w:r>
      <w:r>
        <w:rPr>
          <w:i/>
          <w:iCs/>
        </w:rPr>
        <w:t xml:space="preserve">Children</w:t>
      </w:r>
      <w:r>
        <w:rPr>
          <w:i/>
          <w:iCs/>
        </w:rPr>
        <w:t xml:space="preserve"> </w:t>
      </w:r>
      <w:r>
        <w:rPr>
          <w:i/>
          <w:iCs/>
        </w:rPr>
        <w:t xml:space="preserve">in</w:t>
      </w:r>
      <w:r>
        <w:rPr>
          <w:i/>
          <w:iCs/>
        </w:rPr>
        <w:t xml:space="preserve"> </w:t>
      </w:r>
      <w:r>
        <w:rPr>
          <w:i/>
          <w:iCs/>
        </w:rPr>
        <w:t xml:space="preserve">Texas</w:t>
      </w:r>
      <w:r>
        <w:t xml:space="preserve">.</w:t>
      </w:r>
    </w:p>
    <w:bookmarkEnd w:id="97"/>
    <w:bookmarkStart w:id="99"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98">
        <w:r>
          <w:rPr>
            <w:rStyle w:val="Hyperlink"/>
          </w:rPr>
          <w:t xml:space="preserve">https://doi.org/10.1007/s11116-010-9300-2</w:t>
        </w:r>
      </w:hyperlink>
      <w:r>
        <w:t xml:space="preserve">.</w:t>
      </w:r>
    </w:p>
    <w:bookmarkEnd w:id="99"/>
    <w:bookmarkStart w:id="101" w:name="ref-sabelhaus_is_2013"/>
    <w:p>
      <w:pPr>
        <w:pStyle w:val="Bibliography"/>
      </w:pPr>
      <w:r>
        <w:t xml:space="preserve">Sabelhaus, John, David Johnson, Stephen Ash, et al. 2013.</w:t>
      </w:r>
      <w:r>
        <w:t xml:space="preserve"> </w:t>
      </w:r>
      <w:r>
        <w:rPr>
          <w:i/>
          <w:iCs/>
        </w:rPr>
        <w:t xml:space="preserve">Is the</w:t>
      </w:r>
      <w:r>
        <w:rPr>
          <w:i/>
          <w:iCs/>
        </w:rPr>
        <w:t xml:space="preserve"> </w:t>
      </w:r>
      <w:r>
        <w:rPr>
          <w:i/>
          <w:iCs/>
        </w:rPr>
        <w:t xml:space="preserve">Consumer</w:t>
      </w:r>
      <w:r>
        <w:rPr>
          <w:i/>
          <w:iCs/>
        </w:rPr>
        <w:t xml:space="preserve"> </w:t>
      </w:r>
      <w:r>
        <w:rPr>
          <w:i/>
          <w:iCs/>
        </w:rPr>
        <w:t xml:space="preserve">Expenditure</w:t>
      </w:r>
      <w:r>
        <w:rPr>
          <w:i/>
          <w:iCs/>
        </w:rPr>
        <w:t xml:space="preserve"> </w:t>
      </w:r>
      <w:r>
        <w:rPr>
          <w:i/>
          <w:iCs/>
        </w:rPr>
        <w:t xml:space="preserve">Survey</w:t>
      </w:r>
      <w:r>
        <w:rPr>
          <w:i/>
          <w:iCs/>
        </w:rPr>
        <w:t xml:space="preserve"> </w:t>
      </w:r>
      <w:r>
        <w:rPr>
          <w:i/>
          <w:iCs/>
        </w:rPr>
        <w:t xml:space="preserve">Representative</w:t>
      </w:r>
      <w:r>
        <w:rPr>
          <w:i/>
          <w:iCs/>
        </w:rPr>
        <w:t xml:space="preserve"> </w:t>
      </w:r>
      <w:r>
        <w:rPr>
          <w:i/>
          <w:iCs/>
        </w:rPr>
        <w:t xml:space="preserve">by</w:t>
      </w:r>
      <w:r>
        <w:rPr>
          <w:i/>
          <w:iCs/>
        </w:rPr>
        <w:t xml:space="preserve"> </w:t>
      </w:r>
      <w:r>
        <w:rPr>
          <w:i/>
          <w:iCs/>
        </w:rPr>
        <w:t xml:space="preserve">Income</w:t>
      </w:r>
      <w:r>
        <w:rPr>
          <w:i/>
          <w:iCs/>
        </w:rPr>
        <w:t xml:space="preserve">?</w:t>
      </w:r>
      <w:r>
        <w:t xml:space="preserve"> No. w19589. National Bureau of Economic Research.</w:t>
      </w:r>
      <w:r>
        <w:t xml:space="preserve"> </w:t>
      </w:r>
      <w:hyperlink r:id="rId100">
        <w:r>
          <w:rPr>
            <w:rStyle w:val="Hyperlink"/>
          </w:rPr>
          <w:t xml:space="preserve">https://doi.org/10.3386/w19589</w:t>
        </w:r>
      </w:hyperlink>
      <w:r>
        <w:t xml:space="preserve">.</w:t>
      </w:r>
    </w:p>
    <w:bookmarkEnd w:id="101"/>
    <w:bookmarkStart w:id="103"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102">
        <w:r>
          <w:rPr>
            <w:rStyle w:val="Hyperlink"/>
          </w:rPr>
          <w:t xml:space="preserve">https://doi.org/10.1007/s11116-007-9125-9</w:t>
        </w:r>
      </w:hyperlink>
      <w:r>
        <w:t xml:space="preserve">.</w:t>
      </w:r>
    </w:p>
    <w:bookmarkEnd w:id="103"/>
    <w:bookmarkStart w:id="105"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104">
        <w:r>
          <w:rPr>
            <w:rStyle w:val="Hyperlink"/>
          </w:rPr>
          <w:t xml:space="preserve">https://doi.org/10.1007/s11116-008-9173-9</w:t>
        </w:r>
      </w:hyperlink>
      <w:r>
        <w:t xml:space="preserve">.</w:t>
      </w:r>
    </w:p>
    <w:bookmarkEnd w:id="105"/>
    <w:bookmarkStart w:id="107"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106">
        <w:r>
          <w:rPr>
            <w:rStyle w:val="Hyperlink"/>
          </w:rPr>
          <w:t xml:space="preserve">https://doi.org/10.2307/1924806</w:t>
        </w:r>
      </w:hyperlink>
      <w:r>
        <w:t xml:space="preserve">.</w:t>
      </w:r>
    </w:p>
    <w:bookmarkEnd w:id="107"/>
    <w:bookmarkStart w:id="109"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108">
        <w:r>
          <w:rPr>
            <w:rStyle w:val="Hyperlink"/>
          </w:rPr>
          <w:t xml:space="preserve">https://doi.org/10.1016/j.tranpol.2009.12.003</w:t>
        </w:r>
      </w:hyperlink>
      <w:r>
        <w:t xml:space="preserve">.</w:t>
      </w:r>
    </w:p>
    <w:bookmarkEnd w:id="109"/>
    <w:bookmarkStart w:id="111"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110">
        <w:r>
          <w:rPr>
            <w:rStyle w:val="Hyperlink"/>
          </w:rPr>
          <w:t xml:space="preserve">https://doi.org/10.1177/0361198105192600101</w:t>
        </w:r>
      </w:hyperlink>
      <w:r>
        <w:t xml:space="preserve">.</w:t>
      </w:r>
    </w:p>
    <w:bookmarkEnd w:id="111"/>
    <w:bookmarkStart w:id="113"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112">
        <w:r>
          <w:rPr>
            <w:rStyle w:val="Hyperlink"/>
          </w:rPr>
          <w:t xml:space="preserve">https://doi.org/10.1177/0361198106198500128</w:t>
        </w:r>
      </w:hyperlink>
      <w:r>
        <w:t xml:space="preserve">.</w:t>
      </w:r>
    </w:p>
    <w:bookmarkEnd w:id="113"/>
    <w:bookmarkEnd w:id="114"/>
    <w:bookmarkEnd w:id="115"/>
    <w:bookmarkStart w:id="117" w:name="sec-appendix-a"/>
    <w:p>
      <w:pPr>
        <w:pStyle w:val="Heading2"/>
      </w:pPr>
      <w:r>
        <w:t xml:space="preserve">6 Appendix A: Spending Category Breakdown</w:t>
      </w:r>
    </w:p>
    <w:tbl>
      <w:tblPr>
        <w:tblStyle w:val="Table"/>
        <w:tblW w:type="pct" w:w="5000"/>
        <w:tblLayout w:type="fixed"/>
        <w:tblLook w:firstRow="0" w:lastRow="0" w:firstColumn="0" w:lastColumn="0" w:noHBand="0" w:noVBand="0" w:val="0000"/>
      </w:tblPr>
      <w:tblGrid>
        <w:gridCol w:w="7920"/>
      </w:tblGrid>
      <w:tr>
        <w:tc>
          <w:tcPr/>
          <w:bookmarkStart w:id="116" w:name="tbl-detailed-categories"/>
          <w:p>
            <w:pPr>
              <w:jc w:val="center"/>
            </w:pPr>
            <w:pPr>
              <w:jc w:val="left"/>
              <w:spacing w:before="200"/>
              <w:pStyle w:val="ImageCaption"/>
            </w:pPr>
            <w:r>
              <w:t xml:space="preserve">Table 11: Unique expenditures and UCC codes for each expenditure category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UCC Code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Code Description</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Transportation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Docking and landing fees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Airline fares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Bicycles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600315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Scooters, and other single rider transportation (new UCC Q20191)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Bike and E-scooter sharing or rental (new UCC Q20192)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School bus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Intercity bus fares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Gasoline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Diesel fuel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Gasohol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Vehicle maintainance and repair, excluding tires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Tires - purchased, replaced, installed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auto repair, servicing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490315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Brake adjustment (old)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Automobile service clubs and GPS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Vehicle maintenance/repair excluding tire purchase (new UCC Q20232)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Vehicle insurance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Vehicle registration including property tax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license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Vehicle inspection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520516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Auto/truck rental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520531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Parking fees in home city, excluding residence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Tolls or electronic toll passes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Towing charges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Car/van pool &amp; non-motorized transportation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450350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Car/truck lease payments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 cars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 trucks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Used cars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Used trucks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Used motorcycles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Motorcycle rental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Ship fares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Taxi fares and limousine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Intracity mass transit fares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Intercity train fares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Food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wine and wine based low alcohol refreshers purchased for home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790420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Alcoholic beverages at restaurants or taverns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Beer, ale, and other malt beverage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Distilled spirits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 and nonalcoholic beverages at fast food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190500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 and nonalcoholic beverages at full service restaurants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190600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 and nonalcoholic beverages at vending machines and mobile vendors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 and nonalcoholic beverages at employer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Catered Events, and Other Food Away From Home includes catered events, and any other food away from home not classified elsewhere.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Flour and flour mixes, includes all types and varieties of flour. Examples of flour include all purpose, self-rising, barley, bran, buckwheat, corn, graham, potato, rye, soybean, wheat, rice, and cake flour.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Ready-to-eat and cooked cereals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Pasta, cornmeal and other cereal products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Biscuits and rolls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Cakes and cupcakes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Cookies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Crackers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Bread and cracker products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020710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Sweet rolls, coffee cakes, doughnuts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Frozen and refrigerated bakery products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Pies, tarts, turnovers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beef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fresh or frozen roasts from the beef carcass. Includes kosher beef.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fresh or frozen steaks from the beef carcass. Includes kosher beef.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fresh or frozen uncooked beef except ground beef, beef roasts, and beef steaks. Includes all fresh or frozen veal.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Bacon, breakfast sausage, and related meats, Canadian bacon and bacon substitutes such as turkey bacon, beef bacon, vegetarian bacon, etc.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cuts of pork chops whether fresh, frozen, or smoked. Stuffed pork chops are also eligible.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ham, fresh, cured, or smoked, etc. Ham comes from the hind leg of the pig. Includes cooked and uncooked 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pork roasts, both fresh and cured, picnics, and other pork excluding canned.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uncooked, fresh and frozen chicken. Uncooked chicken that has been seasoned or marinated is included.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fresh and frozen turkeys, turkey parts, turkey roasts, Cornish game hens, duck, goose, and other poultry.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Processed fish and seafood, includes canned and frozen fish and seafood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fish and seafood items sold as fresh by the outlet. Typically, items may be labeled "fresh/frozen" or previously frozen and are generally sold in the fresh fish and seafood section.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Eggs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Fresh milk, all types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Butter and margarine, includes all refrigerated types of butter and margarine.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Cheese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Ice cream and related products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Bananas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citrus fruit, includes all fresh oranges. Also includes "fresh cut" and "peeled" fresh citrus fruit.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fresh fruits except apples, bananas, and citrus fruits. (e.g., apricots, avocados, berries, cherries, coconut, grapes, kiwifruit, mangoes, melons, papaya, peaches, pears, pineapples, plums, and pomegranates)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fresh potatoes such as white, sweet, yams, and others.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fresh lettuce varieties including packaged, so called "fresh cut" 100% lettuce salads and salad mixes, provided lettuce is the ONLY vegetable. (Salads that include vegetables other than lettuce belong in FL041).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fresh tomatoes, any type or variety.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fresh vegetables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Frozen noncarbonated juices and drinks, includes all types and varieties of frozen noncarbonated juices and drinks. Examples are frozen juices, frozen ades such as lemonade, frozen drinks, and frozen fruit-flavored drinks.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Frozen fruits and vegetables.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Candy and chewing gum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Sugars and artificial sweeteners.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jellies, jams, preserves, marmalades, fruit butters, molasses, honey, pancake syrup, fudge mixes, chocolate syrup, ice cream toppings, icings, cake decorations, marshmallows, and similar products.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160211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lard, shortening, salad or cooking oil, and cooking sprays.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products labeled as dressings, salad dressings, vinaigrettes, mayonnaise, and sandwich spreads. If an item is a combination of a dressing/marinade, dressing/sauce, or dressing/dip, it is still eligible.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types of nut butters which contain peanuts, almonds, cashews, macadamia, and other nuts. Also included are nut butters combined with jelly, chocolate, honey, maple syrup, raisins, spices, and other such ingredients.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carbonated drinks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forms and varieties of tea. Examples of these items are loose tea, tea bags, powders/crystals, and herbal tea.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170531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Powders, crystals, tablets, and syrups used to make beverages other than coffee and tea. Also includes cocktail mixes and ice.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Nonfrozen, noncarbonated juices and drinks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Canned and packaged soups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Frozen meals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180220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Frozen foods that are not complete meals.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types of potato chips and snacks such as chips, popcorn kernels, popped corn, cheese flavored snacks, potato sticks, pork rinds, trail mix etc.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180320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varieties of nuts, whether in shell or out of shell.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Salt, pepper, seasonings/seasoning blends, spices, and dried herbs. Cooking bags with seasonings, grinders, and dry rubs are also eligible.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180420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types and varieties of olives, pickles, and relishes.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catsup and other tomato sauces, prepared mustard, barbeque sauces, hot sauces, steak sauces, spaghetti sauces, all types of gravies and other sauces in bottles or cans. This also includes dry mixes.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Baking needs and miscellaneous products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all ready-to-eat salads such as potato salad, coleslaw, and Jello salad. Items in this UCC are often sold at the deli counter or in a refrigerated section. This UCC also includes everything sold as part of a salad bar.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Includes any non-frozen prepared desserts not priced elsewhere in Food at Home. Items generally include refrigerated or shelf-stable packaged desserts.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Baby food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180710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prepared foods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190905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School meals and board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Bread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Lunchmeats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Lamb, organ meat, and game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100519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dairy and related products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Canned fruits and vegetables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Dried fruits and vegetables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Coffee (new UCC Q20231)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Leisure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Telephone service, including public pay phones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Cable and satellite television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prerecorded audio media (other than audio books) on satellite radio.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Televisions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VCR's and video disc players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310220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Video cassettes, tapes, and discs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310230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Video game hardware and software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310231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Video game software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Video game hardware and accessories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STREAMING VIDEO FILES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DOWNLOADING VIDEO FILES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Audio media players, recorders, systems, and other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video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Stereos, radios, speakers, and sound components including those in vehicles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sound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Sound equipment accessories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Satellite dishes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video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prerecorded audio media (other than audio books).¬¨‚Ä†Some audio formats, such as DVD-audio may have a relatively small portion of graphical content and still be eligible.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STREAMING AUDIO FILES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DOWNLOADING AUDIO FILES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types of applications, games, and ringtones for handheld devices. This includes "Apps" purchased directly from cell phones or online "app" stores.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310900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Accessories for electronic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Repair of tv, radio, and sound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340909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Rental of TV or radio sound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Newspapers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Magazines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590220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Books thru book clubs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590230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Books not thru book clubs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Online gaming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680904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Dating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Computers and computer hardware for nonbusiness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Computer information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Internet services away from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Portable memory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book readers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Computer software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Computer accessories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Outboard motor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Unpowered boats, trailers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Powered sports vehicles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Athletic gear, game tables, and exercise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Camping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600420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Hunting and fishing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Winter sports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600900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sports and miscellaneous sports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Global positioning system devices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Toys, games, arts and crafts, and tricycles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Playground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Musical instruments and accessories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Fireworks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Souvenirs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Visual goods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Social, recreation, health club membership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Fees for participant sports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 theater, opera, concert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Movies, parks, museums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to sporting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Fees for recreational lessons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620320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Photographer fees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620330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Photo processing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Pet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620420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Vet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fees for admissions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entertainment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620710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 fees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Rental and repair of sports, photographic and music equipment, passport fees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620915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rental, repair of sports and photography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fees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Mandatory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Men's suits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Men's sportcoats, tailored jackets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Men's coats and jackets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360330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Men's accessories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360420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Men's shirts, sweaters, and vests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Men's pants and shorts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Men's uniforms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Men's costumes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Boys' coats and jackets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Boy's shirts and sweaters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370220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Boys' accessories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Boys' costumes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Boys' uniforms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Women's coats and jackets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Women's dresses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380430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Women's hosiery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380510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Women's suits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Women's accessories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Girls' coats and jackets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Girls' dresses and suits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Girls' shirts, blouses, sweaters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Girls' skirts, pants, and shorts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Girls' accessories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Girls' uniforms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Girls' costumes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Men's footwear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Boys' footwear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400220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Girls' footwear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Women's footwear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Infant coat, jacket, snowsuit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410130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Infant underwear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Jewelry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Shoe repair and other shoe service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Coin-operated apparel laundry and dry cleaning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Alteration, repair and tailoring of apparel and accessories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Clothing rental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Watch and jewelry repair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Apparel laundry and dry cleaning not coin-operated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440900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Clothing storage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Men's underwear, hoisery, nightwear, and swimwear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Boy's underwear, hoisery, nightwear, and swimwear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Boy's suits, sportcoats, pants, and shorts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380319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Women's tops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380339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Women's skirts, pants, and shorts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380429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Women's undergarments, nightwear, and swimwear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380909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Women's costumes and uniforms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Girl's underwear, nightwear, hoisery, and swimwear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Infant's and toddler's outerwear, dresses, nightwear, and accessories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Alimony and child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340906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Care for elderly, invalids, handicapped, etc.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and health insurance not spec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Medicare payments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Pet food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610320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Pet purchase, supplies, medicine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Credit card memberships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670320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Babysitting, childcare, daycare, and preschool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640130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Wigs and hairpieces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Cosmetics, perfume, bath preparations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Deodorants, feminine hygiene, miscellaneous personal care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640420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 personal care appliances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640430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Adult diapers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Personal care service for females (old)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Personal care service for males (old)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Products for the hair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Nonelectric dental and shaving products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Prescription drugs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Eyeglasses and contact lenses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Nonprescription drugs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Topicals and dressings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550320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Medical equipment for general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550330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Supportive and convalescent medical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550340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Hearing aids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Physician's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Dental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Eyecare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560330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Lab tests, x-rays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Service by professionals other than physician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care not specified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570220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Care in convalescent or nursing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570230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medical care service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Rental of medical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Repair of medical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Vitamins and supplements (new UCC Q20231)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School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Vocational and technical school tuition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670903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preparation, tutoring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School supplies, etc. - unspecified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Educational books, supplies, and other expenses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660900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School books, supplies, equipment for day care, nursery, preschool, other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College tuition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Elementary and high school tuition</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House Related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Mortgage payment including coop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009900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Property assessment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Capital improvements, not specified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Fire/extended coverage insurance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Homeowners insurance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Property taxes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Capital improvements -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Repair, maintenance, and improvements for built in dishwasher, garbage disposal, and range hood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Maintenance of property, including items such as ceiling repair, black top, brick, or masonry work, air conditioner repair, roof and awning repair, house painting, papering, chimney cleaning, electrical inspection, furnace inspection and repair, wiring, 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Repair dishwasher/range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230900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Maintenance fees, such as service repair of property fees, management fees, homeowners association dues, condo fees, and community pool fees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types and varieties of paint, wallpaper and other wall coverings, and painting chemicals.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Supplies including brushes, rollers, and roller pads, trays, and combinations of these items.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Lumber, paneling, tile, awning, glass, plywood, doors, windows, screens, siding, roofing and fencing materials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240220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Blacktop and masonry materials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Plumbing supplies, fixtures and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240320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 heating and air conditioning supplies and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240900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 surface floor covering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Fuel oil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250220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250900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fuels, such as wood, kerosene, charcoal, oil mix for gas, lawnmower oil, lamp oil, duraflame log, and sterno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Utility - natural gas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and sewerage maintenance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Garbage, trash collection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270900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Septic tank cleaning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linens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Bedroom linens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280140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 dining room, other linens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Curtains and draperies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280220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types and varieties of slipcovers and decorative pillows.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Mattress and springs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bedroom furniture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 chairs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290320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 tables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dining room furniture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290420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Infants' furniture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Outdoor furniture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 units, cabinets and other occasional furniture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 home freezer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WASHERS AND DRYERS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Stoves, ovens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300320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Microwave ovens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300330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Portable dishwashers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 air conditioners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300900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household appliances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Room size rugs and other floor covering, nonpermanent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 coverings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Infants'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Laundry and cleaning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powered lawn and garden equipment including power mowers, riding mowers, garden tractors, hedge trimmers, grass shears, chainsaws, and the various attachments to these items.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Lamps, lighting fixtures, ceiling fans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Clocks and other household decorative items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320330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Flatware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Dinnerware, glassware, serving pieces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Nonelectric cookware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320380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Tableware, nonelectric kitchenware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types of outdoor equipment such as snow throwers and blowers, outdoor vacuums, chainsaws, and the various attachments to these items. Also included are barbecue grills.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320420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Power tools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hardware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320511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 floor cleaning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320512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Sewing machines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320521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electric kitchen appliances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Portable heating and cooling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supplies and equipment, such as caulking compound, duct tape, carpet tape, carpet knife, bolts, screws, drill bits, door knobs, tool box, keys, mailbox, gutter screens, clamps, shelf brackets, tool table, work bench, etc‚Äö√Ñ¬∂</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320627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FLOORING INSTALL/REPAIR/REPLACE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320630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Landscaping items, such as grass, grass seed, trees, shrubs, plants, sod, and fork lift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Office furniture for home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Hand tools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Indoor plants, fresh flowers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320904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Closet and storage items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320905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household equipment and parts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Cleansing and toilet tissue, paper towels and napkins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Stationery, stationery supplies, giftwrap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household products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Lawn and garden supplies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340310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Housekeeping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Gardening, lawn care service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Moving, storage, freight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Household laundry and dry cleaning, sent out (nonclothing) not coin-operated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Coin-operated household laundry and dry cleaning (nonclothing)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repair, including service center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340630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Reupholstering, furniture repair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Repairs/rentals of lawn and garden equipment, hand or power tools, other household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home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340904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Rental of furniture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340907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rental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Repair of miscellaneous household equipment and furnishings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340915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 security system service fee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Tenant's insurance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 ownership expense not specified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Laundry and cleaning products (new UCC Q20231)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 btld/tank</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Other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520904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Rental noncamper trailer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Purchase price of stocks, bonds or mutual funds including broker fees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Precious metals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investments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Employment counseling &amp; fees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Savings account deposit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 other than health, hospital, vehicle and property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Retirement plans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Contributions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Cash gifts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Gifts not specified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Lodging on out-of-town trips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Telephones and accessories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Delivery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Material and supplies for sewing, needlework, quilting (includes household items)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Luggage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and coin collecting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610220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photographic supplies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610230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Photographic equipment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Rental of video cassettes, tapes, films, and discs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Pinball, electronic video games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620918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Rental of video software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620926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Lotteries and pari-mutuel losses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Cigarettes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tobacco products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 accessories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630900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Marijuana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Legal fees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Funeral expenses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Safe deposit box rental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680220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Checking accounts, other bank service charges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Cemetery lots, valuts, maintenace fees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 personal services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690230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Business equipment for home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999900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 not specified</w:t>
                  </w:r>
                </w:p>
              </w:tc>
            </w:tr>
          </w:tbl>
          <w:bookmarkEnd w:id="11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17"/>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Note that</w:t>
      </w:r>
      <w:r>
        <w:t xml:space="preserve"> </w:t>
      </w:r>
      <w:r>
        <w:t xml:space="preserve">“household”</w:t>
      </w:r>
      <w:r>
        <w:t xml:space="preserve"> </w:t>
      </w:r>
      <w:r>
        <w:t xml:space="preserve">in this paper is synonymous with what the CEX often denotes as</w:t>
      </w:r>
      <w:r>
        <w:t xml:space="preserve"> </w:t>
      </w:r>
      <w:r>
        <w:t xml:space="preserve">“Consumer Unit”</w:t>
      </w:r>
      <w:r>
        <w:t xml:space="preserve"> </w:t>
      </w:r>
      <w:r>
        <w:t xml:space="preserve">(CU)</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 w:numId="1001">
    <w:abstractNumId w:val="991"/>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KamrynMansfield.github.io/transpo_budget_ces/index.qmd.html" TargetMode="External" /><Relationship Type="http://schemas.openxmlformats.org/officeDocument/2006/relationships/hyperlink" Id="rId35" Target="https://KamrynMansfield.github.io/transpo_budget_ces/notebooks/LCA-preview.html#cell-tbl-model-classes" TargetMode="External" /><Relationship Type="http://schemas.openxmlformats.org/officeDocument/2006/relationships/hyperlink" Id="rId37" Target="https://KamrynMansfield.github.io/transpo_budget_ces/notebooks/LCA-preview.html#cell-tbl-model-coeff" TargetMode="External" /><Relationship Type="http://schemas.openxmlformats.org/officeDocument/2006/relationships/hyperlink" Id="rId44" Target="https://KamrynMansfield.github.io/transpo_budget_ces/notebooks/LCA-preview.html#cell-tbl-model-covarpcts" TargetMode="External" /><Relationship Type="http://schemas.openxmlformats.org/officeDocument/2006/relationships/hyperlink" Id="rId26" Target="https://KamrynMansfield.github.io/transpo_budget_ces/notebooks/category_spending_table-preview.html#cell-tbl-category-spending" TargetMode="External" /><Relationship Type="http://schemas.openxmlformats.org/officeDocument/2006/relationships/hyperlink" Id="rId28" Target="https://KamrynMansfield.github.io/transpo_budget_ces/notebooks/category_spending_table-preview.html#cell-tbl-transpo-spending" TargetMode="External" /><Relationship Type="http://schemas.openxmlformats.org/officeDocument/2006/relationships/hyperlink" Id="rId30" Target="https://KamrynMansfield.github.io/transpo_budget_ces/notebooks/demographic_tbl-preview.html#cell-tbl-data-demographics"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67" Target="https://doi.org/10.1007/s10834-006-9031-x" TargetMode="External" /><Relationship Type="http://schemas.openxmlformats.org/officeDocument/2006/relationships/hyperlink" Id="rId58" Target="https://doi.org/10.1007/s11116-006-0005-5" TargetMode="External" /><Relationship Type="http://schemas.openxmlformats.org/officeDocument/2006/relationships/hyperlink" Id="rId102" Target="https://doi.org/10.1007/s11116-007-9125-9" TargetMode="External" /><Relationship Type="http://schemas.openxmlformats.org/officeDocument/2006/relationships/hyperlink" Id="rId104" Target="https://doi.org/10.1007/s11116-008-9173-9" TargetMode="External" /><Relationship Type="http://schemas.openxmlformats.org/officeDocument/2006/relationships/hyperlink" Id="rId65" Target="https://doi.org/10.1007/s11116-010-9264-2" TargetMode="External" /><Relationship Type="http://schemas.openxmlformats.org/officeDocument/2006/relationships/hyperlink" Id="rId98" Target="https://doi.org/10.1007/s11116-010-9300-2" TargetMode="External" /><Relationship Type="http://schemas.openxmlformats.org/officeDocument/2006/relationships/hyperlink" Id="rId93" Target="https://doi.org/10.1016/0191-2607(79)90051-7" TargetMode="External" /><Relationship Type="http://schemas.openxmlformats.org/officeDocument/2006/relationships/hyperlink" Id="rId80" Target="https://doi.org/10.1016/j.jtrangeo.2018.12.015" TargetMode="External" /><Relationship Type="http://schemas.openxmlformats.org/officeDocument/2006/relationships/hyperlink" Id="rId49" Target="https://doi.org/10.1016/j.tra.2014.12.006" TargetMode="External" /><Relationship Type="http://schemas.openxmlformats.org/officeDocument/2006/relationships/hyperlink" Id="rId84" Target="https://doi.org/10.1016/j.tra.2022.02.003" TargetMode="External" /><Relationship Type="http://schemas.openxmlformats.org/officeDocument/2006/relationships/hyperlink" Id="rId108" Target="https://doi.org/10.1016/j.tranpol.2009.12.003" TargetMode="External" /><Relationship Type="http://schemas.openxmlformats.org/officeDocument/2006/relationships/hyperlink" Id="rId51" Target="https://doi.org/10.1016/j.trd.2025.104886" TargetMode="External" /><Relationship Type="http://schemas.openxmlformats.org/officeDocument/2006/relationships/hyperlink" Id="rId86" Target="https://doi.org/10.1016/j.trip.2020.100260" TargetMode="External" /><Relationship Type="http://schemas.openxmlformats.org/officeDocument/2006/relationships/hyperlink" Id="rId47" Target="https://doi.org/10.1016/j.trip.2022.100616" TargetMode="External" /><Relationship Type="http://schemas.openxmlformats.org/officeDocument/2006/relationships/hyperlink" Id="rId95" Target="https://doi.org/10.1080/000368498325868" TargetMode="External" /><Relationship Type="http://schemas.openxmlformats.org/officeDocument/2006/relationships/hyperlink" Id="rId89" Target="https://doi.org/10.1080/01441647.2017.1354942" TargetMode="External" /><Relationship Type="http://schemas.openxmlformats.org/officeDocument/2006/relationships/hyperlink" Id="rId110" Target="https://doi.org/10.1177/0361198105192600101" TargetMode="External" /><Relationship Type="http://schemas.openxmlformats.org/officeDocument/2006/relationships/hyperlink" Id="rId112" Target="https://doi.org/10.1177/0361198106198500128" TargetMode="External" /><Relationship Type="http://schemas.openxmlformats.org/officeDocument/2006/relationships/hyperlink" Id="rId91" Target="https://doi.org/10.1177/03611981231174444" TargetMode="External" /><Relationship Type="http://schemas.openxmlformats.org/officeDocument/2006/relationships/hyperlink" Id="rId78" Target="https://doi.org/10.1177/0739456X20950428" TargetMode="External" /><Relationship Type="http://schemas.openxmlformats.org/officeDocument/2006/relationships/hyperlink" Id="rId72" Target="https://doi.org/10.1177/23780231221103054" TargetMode="External" /><Relationship Type="http://schemas.openxmlformats.org/officeDocument/2006/relationships/hyperlink" Id="rId74" Target="https://doi.org/10.1300/J073v18n02_02" TargetMode="External" /><Relationship Type="http://schemas.openxmlformats.org/officeDocument/2006/relationships/hyperlink" Id="rId54" Target="https://doi.org/10.21949/E0KQ-GF72" TargetMode="External" /><Relationship Type="http://schemas.openxmlformats.org/officeDocument/2006/relationships/hyperlink" Id="rId82" Target="https://doi.org/10.22004/ag.econ.327257" TargetMode="External" /><Relationship Type="http://schemas.openxmlformats.org/officeDocument/2006/relationships/hyperlink" Id="rId106" Target="https://doi.org/10.2307/1924806" TargetMode="External" /><Relationship Type="http://schemas.openxmlformats.org/officeDocument/2006/relationships/hyperlink" Id="rId63" Target="https://doi.org/10.25318/11F0019M2023007-ENG" TargetMode="External" /><Relationship Type="http://schemas.openxmlformats.org/officeDocument/2006/relationships/hyperlink" Id="rId56" Target="https://doi.org/10.3141/2010-14" TargetMode="External" /><Relationship Type="http://schemas.openxmlformats.org/officeDocument/2006/relationships/hyperlink" Id="rId69" Target="https://doi.org/10.3141/2077-09" TargetMode="External" /><Relationship Type="http://schemas.openxmlformats.org/officeDocument/2006/relationships/hyperlink" Id="rId61" Target="https://doi.org/10.3141/2531-04" TargetMode="External" /><Relationship Type="http://schemas.openxmlformats.org/officeDocument/2006/relationships/hyperlink" Id="rId100" Target="https://doi.org/10.3386/w19589" TargetMode="External" /><Relationship Type="http://schemas.openxmlformats.org/officeDocument/2006/relationships/hyperlink" Id="rId76" Target="https://heinonline.org/HOL/P?h=hein.journals/month124&amp;i=482" TargetMode="External" /></Relationships>
</file>

<file path=word/_rels/footnotes.xml.rels><?xml version="1.0" encoding="UTF-8"?><Relationships xmlns="http://schemas.openxmlformats.org/package/2006/relationships"><Relationship Type="http://schemas.openxmlformats.org/officeDocument/2006/relationships/hyperlink" Id="rId9" Target="https://KamrynMansfield.github.io/transpo_budget_ces/index.qmd.html" TargetMode="External" /><Relationship Type="http://schemas.openxmlformats.org/officeDocument/2006/relationships/hyperlink" Id="rId35" Target="https://KamrynMansfield.github.io/transpo_budget_ces/notebooks/LCA-preview.html#cell-tbl-model-classes" TargetMode="External" /><Relationship Type="http://schemas.openxmlformats.org/officeDocument/2006/relationships/hyperlink" Id="rId37" Target="https://KamrynMansfield.github.io/transpo_budget_ces/notebooks/LCA-preview.html#cell-tbl-model-coeff" TargetMode="External" /><Relationship Type="http://schemas.openxmlformats.org/officeDocument/2006/relationships/hyperlink" Id="rId44" Target="https://KamrynMansfield.github.io/transpo_budget_ces/notebooks/LCA-preview.html#cell-tbl-model-covarpcts" TargetMode="External" /><Relationship Type="http://schemas.openxmlformats.org/officeDocument/2006/relationships/hyperlink" Id="rId26" Target="https://KamrynMansfield.github.io/transpo_budget_ces/notebooks/category_spending_table-preview.html#cell-tbl-category-spending" TargetMode="External" /><Relationship Type="http://schemas.openxmlformats.org/officeDocument/2006/relationships/hyperlink" Id="rId28" Target="https://KamrynMansfield.github.io/transpo_budget_ces/notebooks/category_spending_table-preview.html#cell-tbl-transpo-spending" TargetMode="External" /><Relationship Type="http://schemas.openxmlformats.org/officeDocument/2006/relationships/hyperlink" Id="rId30" Target="https://KamrynMansfield.github.io/transpo_budget_ces/notebooks/demographic_tbl-preview.html#cell-tbl-data-demographics"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67" Target="https://doi.org/10.1007/s10834-006-9031-x" TargetMode="External" /><Relationship Type="http://schemas.openxmlformats.org/officeDocument/2006/relationships/hyperlink" Id="rId58" Target="https://doi.org/10.1007/s11116-006-0005-5" TargetMode="External" /><Relationship Type="http://schemas.openxmlformats.org/officeDocument/2006/relationships/hyperlink" Id="rId102" Target="https://doi.org/10.1007/s11116-007-9125-9" TargetMode="External" /><Relationship Type="http://schemas.openxmlformats.org/officeDocument/2006/relationships/hyperlink" Id="rId104" Target="https://doi.org/10.1007/s11116-008-9173-9" TargetMode="External" /><Relationship Type="http://schemas.openxmlformats.org/officeDocument/2006/relationships/hyperlink" Id="rId65" Target="https://doi.org/10.1007/s11116-010-9264-2" TargetMode="External" /><Relationship Type="http://schemas.openxmlformats.org/officeDocument/2006/relationships/hyperlink" Id="rId98" Target="https://doi.org/10.1007/s11116-010-9300-2" TargetMode="External" /><Relationship Type="http://schemas.openxmlformats.org/officeDocument/2006/relationships/hyperlink" Id="rId93" Target="https://doi.org/10.1016/0191-2607(79)90051-7" TargetMode="External" /><Relationship Type="http://schemas.openxmlformats.org/officeDocument/2006/relationships/hyperlink" Id="rId80" Target="https://doi.org/10.1016/j.jtrangeo.2018.12.015" TargetMode="External" /><Relationship Type="http://schemas.openxmlformats.org/officeDocument/2006/relationships/hyperlink" Id="rId49" Target="https://doi.org/10.1016/j.tra.2014.12.006" TargetMode="External" /><Relationship Type="http://schemas.openxmlformats.org/officeDocument/2006/relationships/hyperlink" Id="rId84" Target="https://doi.org/10.1016/j.tra.2022.02.003" TargetMode="External" /><Relationship Type="http://schemas.openxmlformats.org/officeDocument/2006/relationships/hyperlink" Id="rId108" Target="https://doi.org/10.1016/j.tranpol.2009.12.003" TargetMode="External" /><Relationship Type="http://schemas.openxmlformats.org/officeDocument/2006/relationships/hyperlink" Id="rId51" Target="https://doi.org/10.1016/j.trd.2025.104886" TargetMode="External" /><Relationship Type="http://schemas.openxmlformats.org/officeDocument/2006/relationships/hyperlink" Id="rId86" Target="https://doi.org/10.1016/j.trip.2020.100260" TargetMode="External" /><Relationship Type="http://schemas.openxmlformats.org/officeDocument/2006/relationships/hyperlink" Id="rId47" Target="https://doi.org/10.1016/j.trip.2022.100616" TargetMode="External" /><Relationship Type="http://schemas.openxmlformats.org/officeDocument/2006/relationships/hyperlink" Id="rId95" Target="https://doi.org/10.1080/000368498325868" TargetMode="External" /><Relationship Type="http://schemas.openxmlformats.org/officeDocument/2006/relationships/hyperlink" Id="rId89" Target="https://doi.org/10.1080/01441647.2017.1354942" TargetMode="External" /><Relationship Type="http://schemas.openxmlformats.org/officeDocument/2006/relationships/hyperlink" Id="rId110" Target="https://doi.org/10.1177/0361198105192600101" TargetMode="External" /><Relationship Type="http://schemas.openxmlformats.org/officeDocument/2006/relationships/hyperlink" Id="rId112" Target="https://doi.org/10.1177/0361198106198500128" TargetMode="External" /><Relationship Type="http://schemas.openxmlformats.org/officeDocument/2006/relationships/hyperlink" Id="rId91" Target="https://doi.org/10.1177/03611981231174444" TargetMode="External" /><Relationship Type="http://schemas.openxmlformats.org/officeDocument/2006/relationships/hyperlink" Id="rId78" Target="https://doi.org/10.1177/0739456X20950428" TargetMode="External" /><Relationship Type="http://schemas.openxmlformats.org/officeDocument/2006/relationships/hyperlink" Id="rId72" Target="https://doi.org/10.1177/23780231221103054" TargetMode="External" /><Relationship Type="http://schemas.openxmlformats.org/officeDocument/2006/relationships/hyperlink" Id="rId74" Target="https://doi.org/10.1300/J073v18n02_02" TargetMode="External" /><Relationship Type="http://schemas.openxmlformats.org/officeDocument/2006/relationships/hyperlink" Id="rId54" Target="https://doi.org/10.21949/E0KQ-GF72" TargetMode="External" /><Relationship Type="http://schemas.openxmlformats.org/officeDocument/2006/relationships/hyperlink" Id="rId82" Target="https://doi.org/10.22004/ag.econ.327257" TargetMode="External" /><Relationship Type="http://schemas.openxmlformats.org/officeDocument/2006/relationships/hyperlink" Id="rId106" Target="https://doi.org/10.2307/1924806" TargetMode="External" /><Relationship Type="http://schemas.openxmlformats.org/officeDocument/2006/relationships/hyperlink" Id="rId63" Target="https://doi.org/10.25318/11F0019M2023007-ENG" TargetMode="External" /><Relationship Type="http://schemas.openxmlformats.org/officeDocument/2006/relationships/hyperlink" Id="rId56" Target="https://doi.org/10.3141/2010-14" TargetMode="External" /><Relationship Type="http://schemas.openxmlformats.org/officeDocument/2006/relationships/hyperlink" Id="rId69" Target="https://doi.org/10.3141/2077-09" TargetMode="External" /><Relationship Type="http://schemas.openxmlformats.org/officeDocument/2006/relationships/hyperlink" Id="rId61" Target="https://doi.org/10.3141/2531-04" TargetMode="External" /><Relationship Type="http://schemas.openxmlformats.org/officeDocument/2006/relationships/hyperlink" Id="rId100" Target="https://doi.org/10.3386/w19589" TargetMode="External" /><Relationship Type="http://schemas.openxmlformats.org/officeDocument/2006/relationships/hyperlink" Id="rId76" Target="https://heinonline.org/HOL/P?h=hein.journals/month124&amp;i=4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2026-03-12T12:22:24Z</dcterms:created>
  <dcterms:modified xsi:type="dcterms:W3CDTF">2026-03-12T12:22:24Z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2026-03-12</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This is a plain language summary</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