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1F4E79"/>
          <w:sz w:val="48"/>
        </w:rPr>
        <w:t>Informe Técnico de Arquitectura y Desarrollo</w:t>
      </w:r>
    </w:p>
    <w:p>
      <w:pPr>
        <w:spacing w:after="120" w:line="259" w:lineRule="auto"/>
        <w:jc w:val="center"/>
      </w:pPr>
      <w:r>
        <w:rPr>
          <w:b/>
          <w:color w:val="2F5597"/>
          <w:sz w:val="34"/>
        </w:rPr>
        <w:t>Plataforma de Visualización Sísmica en Mapa Interactivo</w:t>
      </w:r>
    </w:p>
    <w:p>
      <w:pPr>
        <w:spacing w:after="120" w:line="259" w:lineRule="auto"/>
        <w:jc w:val="center"/>
      </w:pPr>
      <w:r>
        <w:t>Implementación funcional con TypeScript, Node.js, PostgreSQL/PostGIS, CesiumJS y WSL2</w:t>
      </w:r>
    </w:p>
    <w:p>
      <w:pPr>
        <w:spacing w:after="120" w:line="259" w:lineRule="auto"/>
        <w:jc w:val="center"/>
      </w:pPr>
      <w:r>
        <w:t>Versión 1.7 - Junio de 2026</w:t>
      </w:r>
    </w:p>
    <w:p>
      <w:pPr>
        <w:spacing w:after="120" w:line="259" w:lineRule="auto"/>
      </w:pP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spacing w:after="40"/>
            </w:pPr>
            <w:r>
              <w:rPr>
                <w:sz w:val="18"/>
              </w:rPr>
            </w:r>
            <w:r>
              <w:rPr>
                <w:b/>
                <w:sz w:val="18"/>
              </w:rPr>
              <w:t>Campo</w:t>
            </w:r>
          </w:p>
        </w:tc>
        <w:tc>
          <w:tcPr>
            <w:tcW w:type="dxa" w:w="7776"/>
            <w:shd w:fill="D9EAF7"/>
            <w:vAlign w:val="top"/>
          </w:tcPr>
          <w:p>
            <w:pPr>
              <w:spacing w:after="40"/>
            </w:pPr>
            <w:r>
              <w:rPr>
                <w:sz w:val="18"/>
              </w:rPr>
            </w:r>
            <w:r>
              <w:rPr>
                <w:b/>
                <w:sz w:val="18"/>
              </w:rPr>
              <w:t>Detalle</w:t>
            </w:r>
          </w:p>
        </w:tc>
      </w:tr>
      <w:tr>
        <w:tc>
          <w:tcPr>
            <w:tcW w:type="dxa" w:w="2880"/>
            <w:vAlign w:val="top"/>
          </w:tcPr>
          <w:p>
            <w:pPr>
              <w:spacing w:after="40"/>
            </w:pPr>
            <w:r>
              <w:rPr>
                <w:sz w:val="18"/>
              </w:rPr>
            </w:r>
            <w:r>
              <w:rPr>
                <w:b w:val="0"/>
                <w:sz w:val="18"/>
              </w:rPr>
              <w:t>Proyecto</w:t>
            </w:r>
          </w:p>
        </w:tc>
        <w:tc>
          <w:tcPr>
            <w:tcW w:type="dxa" w:w="7776"/>
            <w:vAlign w:val="top"/>
          </w:tcPr>
          <w:p>
            <w:pPr>
              <w:spacing w:after="40"/>
            </w:pPr>
            <w:r>
              <w:rPr>
                <w:sz w:val="18"/>
              </w:rPr>
            </w:r>
            <w:r>
              <w:rPr>
                <w:b w:val="0"/>
                <w:sz w:val="18"/>
              </w:rPr>
              <w:t>Plataforma de Visualización Sísmica en Mapa Interactivo</w:t>
            </w:r>
          </w:p>
        </w:tc>
      </w:tr>
      <w:tr>
        <w:tc>
          <w:tcPr>
            <w:tcW w:type="dxa" w:w="2880"/>
            <w:vAlign w:val="top"/>
          </w:tcPr>
          <w:p>
            <w:pPr>
              <w:spacing w:after="40"/>
            </w:pPr>
            <w:r>
              <w:rPr>
                <w:sz w:val="18"/>
              </w:rPr>
            </w:r>
            <w:r>
              <w:rPr>
                <w:b w:val="0"/>
                <w:sz w:val="18"/>
              </w:rPr>
              <w:t>Tipo de documento</w:t>
            </w:r>
          </w:p>
        </w:tc>
        <w:tc>
          <w:tcPr>
            <w:tcW w:type="dxa" w:w="7776"/>
            <w:vAlign w:val="top"/>
          </w:tcPr>
          <w:p>
            <w:pPr>
              <w:spacing w:after="40"/>
            </w:pPr>
            <w:r>
              <w:rPr>
                <w:sz w:val="18"/>
              </w:rPr>
            </w:r>
            <w:r>
              <w:rPr>
                <w:b w:val="0"/>
                <w:sz w:val="18"/>
              </w:rPr>
              <w:t>Informe técnico de arquitectura, desarrollo y entorno de ejecución</w:t>
            </w:r>
          </w:p>
        </w:tc>
      </w:tr>
      <w:tr>
        <w:tc>
          <w:tcPr>
            <w:tcW w:type="dxa" w:w="2880"/>
            <w:vAlign w:val="top"/>
          </w:tcPr>
          <w:p>
            <w:pPr>
              <w:spacing w:after="40"/>
            </w:pPr>
            <w:r>
              <w:rPr>
                <w:sz w:val="18"/>
              </w:rPr>
            </w:r>
            <w:r>
              <w:rPr>
                <w:b w:val="0"/>
                <w:sz w:val="18"/>
              </w:rPr>
              <w:t>Stack propuesto</w:t>
            </w:r>
          </w:p>
        </w:tc>
        <w:tc>
          <w:tcPr>
            <w:tcW w:type="dxa" w:w="7776"/>
            <w:vAlign w:val="top"/>
          </w:tcPr>
          <w:p>
            <w:r>
              <w:t>TypeScript, Node.js, PostgreSQL + PostGIS, API REST con canal en vivo (SSE), worker de ingesta y frontend de globo 3D con CesiumJS</w:t>
            </w:r>
          </w:p>
        </w:tc>
      </w:tr>
      <w:tr>
        <w:tc>
          <w:tcPr>
            <w:tcW w:type="dxa" w:w="2880"/>
            <w:vAlign w:val="top"/>
          </w:tcPr>
          <w:p>
            <w:pPr>
              <w:spacing w:after="40"/>
            </w:pPr>
            <w:r>
              <w:rPr>
                <w:sz w:val="18"/>
              </w:rPr>
            </w:r>
            <w:r>
              <w:rPr>
                <w:b w:val="0"/>
                <w:sz w:val="18"/>
              </w:rPr>
              <w:t>Entorno definido</w:t>
            </w:r>
          </w:p>
        </w:tc>
        <w:tc>
          <w:tcPr>
            <w:tcW w:type="dxa" w:w="7776"/>
            <w:vAlign w:val="top"/>
          </w:tcPr>
          <w:p>
            <w:pPr>
              <w:spacing w:after="40"/>
            </w:pPr>
            <w:r>
              <w:rPr>
                <w:sz w:val="18"/>
              </w:rPr>
            </w:r>
            <w:r>
              <w:rPr>
                <w:b w:val="0"/>
                <w:sz w:val="18"/>
              </w:rPr>
              <w:t>Windows como host y Ubuntu sobre WSL2 para desarrollo</w:t>
            </w:r>
          </w:p>
        </w:tc>
      </w:tr>
      <w:tr>
        <w:tc>
          <w:tcPr>
            <w:tcW w:type="dxa" w:w="2880"/>
            <w:vAlign w:val="top"/>
          </w:tcPr>
          <w:p>
            <w:pPr>
              <w:spacing w:after="40"/>
            </w:pPr>
            <w:r>
              <w:rPr>
                <w:sz w:val="18"/>
              </w:rPr>
            </w:r>
            <w:r>
              <w:rPr>
                <w:b w:val="0"/>
                <w:sz w:val="18"/>
              </w:rPr>
              <w:t>Destinatario</w:t>
            </w:r>
          </w:p>
        </w:tc>
        <w:tc>
          <w:tcPr>
            <w:tcW w:type="dxa" w:w="7776"/>
            <w:vAlign w:val="top"/>
          </w:tcPr>
          <w:p>
            <w:pPr>
              <w:spacing w:after="40"/>
            </w:pPr>
            <w:r>
              <w:rPr>
                <w:sz w:val="18"/>
              </w:rPr>
            </w:r>
            <w:r>
              <w:rPr>
                <w:b w:val="0"/>
                <w:sz w:val="18"/>
              </w:rPr>
              <w:t>Jurado o comité evaluador del proyecto</w:t>
            </w:r>
          </w:p>
        </w:tc>
      </w:tr>
    </w:tbl>
    <w:p>
      <w:pPr>
        <w:spacing w:after="120" w:line="259" w:lineRule="auto"/>
      </w:pPr>
    </w:p>
    <w:p>
      <w:pPr>
        <w:spacing w:after="120" w:line="259" w:lineRule="auto"/>
      </w:pPr>
      <w:r/>
    </w:p>
    <w:p>
      <w:pPr>
        <w:pStyle w:val="Heading1"/>
        <w:spacing w:after="120" w:line="259" w:lineRule="auto"/>
      </w:pPr>
      <w:r>
        <w:t>Control del documento</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spacing w:after="40"/>
            </w:pPr>
            <w:r>
              <w:rPr>
                <w:sz w:val="18"/>
              </w:rPr>
            </w:r>
            <w:r>
              <w:rPr>
                <w:b/>
                <w:sz w:val="18"/>
              </w:rPr>
              <w:t>Elemento</w:t>
            </w:r>
          </w:p>
        </w:tc>
        <w:tc>
          <w:tcPr>
            <w:tcW w:type="dxa" w:w="7776"/>
            <w:shd w:fill="D9EAF7"/>
            <w:vAlign w:val="top"/>
          </w:tcPr>
          <w:p>
            <w:pPr>
              <w:spacing w:after="40"/>
            </w:pPr>
            <w:r>
              <w:rPr>
                <w:sz w:val="18"/>
              </w:rPr>
            </w:r>
            <w:r>
              <w:rPr>
                <w:b/>
                <w:sz w:val="18"/>
              </w:rPr>
              <w:t>Descripción</w:t>
            </w:r>
          </w:p>
        </w:tc>
      </w:tr>
      <w:tr>
        <w:tc>
          <w:tcPr>
            <w:tcW w:type="dxa" w:w="2880"/>
            <w:vAlign w:val="top"/>
          </w:tcPr>
          <w:p>
            <w:pPr>
              <w:spacing w:after="40"/>
            </w:pPr>
            <w:r>
              <w:rPr>
                <w:sz w:val="18"/>
              </w:rPr>
            </w:r>
            <w:r>
              <w:rPr>
                <w:b w:val="0"/>
                <w:sz w:val="18"/>
              </w:rPr>
              <w:t>Estado</w:t>
            </w:r>
          </w:p>
        </w:tc>
        <w:tc>
          <w:tcPr>
            <w:tcW w:type="dxa" w:w="7776"/>
            <w:vAlign w:val="top"/>
          </w:tcPr>
          <w:p>
            <w:pPr>
              <w:spacing w:after="40"/>
            </w:pPr>
            <w:r>
              <w:rPr>
                <w:sz w:val="18"/>
              </w:rPr>
              <w:t>Documento tecnico vigente de una plataforma funcional en evolucion controlada.</w:t>
            </w:r>
            <w:r>
              <w:rPr>
                <w:b w:val="0"/>
                <w:sz w:val="18"/>
              </w:rPr>
            </w:r>
          </w:p>
        </w:tc>
      </w:tr>
      <w:tr>
        <w:tc>
          <w:tcPr>
            <w:tcW w:type="dxa" w:w="2880"/>
            <w:vAlign w:val="top"/>
          </w:tcPr>
          <w:p>
            <w:pPr>
              <w:spacing w:after="40"/>
            </w:pPr>
            <w:r>
              <w:rPr>
                <w:sz w:val="18"/>
              </w:rPr>
            </w:r>
            <w:r>
              <w:rPr>
                <w:b w:val="0"/>
                <w:sz w:val="18"/>
              </w:rPr>
              <w:t>Propósito</w:t>
            </w:r>
          </w:p>
        </w:tc>
        <w:tc>
          <w:tcPr>
            <w:tcW w:type="dxa" w:w="7776"/>
            <w:vAlign w:val="top"/>
          </w:tcPr>
          <w:p>
            <w:pPr>
              <w:spacing w:after="40"/>
            </w:pPr>
            <w:r>
              <w:rPr>
                <w:sz w:val="18"/>
              </w:rPr>
            </w:r>
            <w:r>
              <w:rPr>
                <w:b w:val="0"/>
                <w:sz w:val="18"/>
              </w:rPr>
              <w:t>Presentar el alcance, decisiones, límites y ruta de desarrollo del proyecto ante evaluación académica o técnica.</w:t>
            </w:r>
          </w:p>
        </w:tc>
      </w:tr>
      <w:tr>
        <w:tc>
          <w:tcPr>
            <w:tcW w:type="dxa" w:w="2880"/>
            <w:vAlign w:val="top"/>
          </w:tcPr>
          <w:p>
            <w:pPr>
              <w:spacing w:after="40"/>
            </w:pPr>
            <w:r>
              <w:rPr>
                <w:sz w:val="18"/>
              </w:rPr>
            </w:r>
            <w:r>
              <w:rPr>
                <w:b w:val="0"/>
                <w:sz w:val="18"/>
              </w:rPr>
              <w:t>Criterio de redacción</w:t>
            </w:r>
          </w:p>
        </w:tc>
        <w:tc>
          <w:tcPr>
            <w:tcW w:type="dxa" w:w="7776"/>
            <w:vAlign w:val="top"/>
          </w:tcPr>
          <w:p>
            <w:pPr>
              <w:spacing w:after="40"/>
            </w:pPr>
            <w:r>
              <w:rPr>
                <w:sz w:val="18"/>
              </w:rPr>
            </w:r>
            <w:r>
              <w:rPr>
                <w:b w:val="0"/>
                <w:sz w:val="18"/>
              </w:rPr>
              <w:t>Lenguaje formal, trazable y responsable; sin prometer funciones no incluidas en la etapa actual.</w:t>
            </w:r>
          </w:p>
        </w:tc>
      </w:tr>
      <w:tr>
        <w:tc>
          <w:tcPr>
            <w:tcW w:type="dxa" w:w="2880"/>
            <w:vAlign w:val="top"/>
          </w:tcPr>
          <w:p>
            <w:pPr>
              <w:spacing w:after="40"/>
            </w:pPr>
            <w:r>
              <w:rPr>
                <w:sz w:val="18"/>
              </w:rPr>
            </w:r>
            <w:r>
              <w:rPr>
                <w:b w:val="0"/>
                <w:sz w:val="18"/>
              </w:rPr>
              <w:t>Control de cambios</w:t>
            </w:r>
          </w:p>
        </w:tc>
        <w:tc>
          <w:tcPr>
            <w:tcW w:type="dxa" w:w="7776"/>
            <w:vAlign w:val="top"/>
          </w:tcPr>
          <w:p>
            <w:r>
              <w:t>Versión 1.7 define la arquitectura desacoplada FDSN/SeedLink - SeisComP - Node.js - PostgreSQL/PostGIS - CesiumJS, sus contratos internos y criterios de validación.</w:t>
            </w:r>
          </w:p>
        </w:tc>
      </w:tr>
    </w:tbl>
    <w:p>
      <w:pPr>
        <w:spacing w:after="120" w:line="259" w:lineRule="auto"/>
      </w:pPr>
    </w:p>
    <w:p>
      <w:pPr>
        <w:pStyle w:val="Heading1"/>
        <w:spacing w:after="120" w:line="259" w:lineRule="auto"/>
      </w:pPr>
      <w:r>
        <w:t>Índice de contenido</w:t>
      </w:r>
    </w:p>
    <w:p>
      <w:pPr>
        <w:pStyle w:val="ListBullet"/>
        <w:spacing w:after="120" w:line="259" w:lineRule="auto"/>
      </w:pPr>
      <w:r>
        <w:t>1. Resumen ejecutivo</w:t>
      </w:r>
    </w:p>
    <w:p>
      <w:pPr>
        <w:pStyle w:val="ListBullet"/>
        <w:spacing w:after="120" w:line="259" w:lineRule="auto"/>
      </w:pPr>
      <w:r>
        <w:t>2. Decisión tecnológica</w:t>
      </w:r>
    </w:p>
    <w:p>
      <w:pPr>
        <w:pStyle w:val="ListBullet"/>
        <w:spacing w:after="120" w:line="259" w:lineRule="auto"/>
      </w:pPr>
      <w:r>
        <w:t>3. Arquitectura técnica implementada</w:t>
      </w:r>
    </w:p>
    <w:p>
      <w:pPr>
        <w:pStyle w:val="ListBullet"/>
        <w:spacing w:after="120" w:line="259" w:lineRule="auto"/>
      </w:pPr>
      <w:r>
        <w:t>4. Responsabilidades por rol</w:t>
      </w:r>
    </w:p>
    <w:p>
      <w:pPr>
        <w:pStyle w:val="ListBullet"/>
        <w:spacing w:after="120" w:line="259" w:lineRule="auto"/>
      </w:pPr>
      <w:r>
        <w:t>5. Módulos de software</w:t>
      </w:r>
    </w:p>
    <w:p>
      <w:pPr>
        <w:pStyle w:val="ListBullet"/>
        <w:spacing w:after="120" w:line="259" w:lineRule="auto"/>
      </w:pPr>
      <w:r>
        <w:t>6. Modelo de datos PostgreSQL + PostGIS</w:t>
      </w:r>
    </w:p>
    <w:p>
      <w:pPr>
        <w:pStyle w:val="ListBullet"/>
        <w:spacing w:after="120" w:line="259" w:lineRule="auto"/>
      </w:pPr>
      <w:r>
        <w:t>7. API y contratos funcionales</w:t>
      </w:r>
    </w:p>
    <w:p>
      <w:pPr>
        <w:pStyle w:val="ListBullet"/>
        <w:spacing w:after="120" w:line="259" w:lineRule="auto"/>
      </w:pPr>
      <w:r>
        <w:t>8. Entorno de ejecución en Windows y opción WSL2</w:t>
      </w:r>
    </w:p>
    <w:p>
      <w:pPr>
        <w:pStyle w:val="ListBullet"/>
        <w:spacing w:after="120" w:line="259" w:lineRule="auto"/>
      </w:pPr>
      <w:r>
        <w:t>9. Estado de implementación y evolución</w:t>
      </w:r>
    </w:p>
    <w:p>
      <w:pPr>
        <w:pStyle w:val="ListBullet"/>
        <w:spacing w:after="120" w:line="259" w:lineRule="auto"/>
      </w:pPr>
      <w:r>
        <w:t>10. Seguridad y operación</w:t>
      </w:r>
    </w:p>
    <w:p>
      <w:pPr>
        <w:pStyle w:val="ListBullet"/>
        <w:spacing w:after="120" w:line="259" w:lineRule="auto"/>
      </w:pPr>
      <w:r>
        <w:t>11. Validación técnica</w:t>
      </w:r>
    </w:p>
    <w:p>
      <w:pPr>
        <w:pStyle w:val="ListBullet"/>
        <w:spacing w:after="120" w:line="259" w:lineRule="auto"/>
      </w:pPr>
      <w:r>
        <w:t>12. Riesgos técnicos</w:t>
      </w:r>
    </w:p>
    <w:p>
      <w:pPr>
        <w:pStyle w:val="ListBullet"/>
        <w:spacing w:after="120" w:line="259" w:lineRule="auto"/>
      </w:pPr>
      <w:r>
        <w:t>13. Recomendación final</w:t>
      </w:r>
    </w:p>
    <w:p>
      <w:pPr>
        <w:pStyle w:val="ListBullet"/>
        <w:spacing w:after="120" w:line="259" w:lineRule="auto"/>
      </w:pPr>
      <w:r>
        <w:t>14. Referencias</w:t>
      </w:r>
    </w:p>
    <w:p>
      <w:pPr>
        <w:pStyle w:val="ListBullet"/>
      </w:pPr>
      <w:r>
        <w:t>15. Ampliación técnica de proveedores oficiales</w:t>
      </w:r>
    </w:p>
    <w:p>
      <w:pPr>
        <w:pStyle w:val="ListBullet"/>
      </w:pPr>
      <w:r>
        <w:t>16. Referencias complementarias</w:t>
      </w:r>
    </w:p>
    <w:p/>
    <w:p>
      <w:pPr>
        <w:pStyle w:val="ListBullet"/>
      </w:pPr>
      <w:r>
        <w:t>17. Arquitectura del subsistema experimental de estaciones</w:t>
      </w:r>
    </w:p>
    <w:p>
      <w:pPr>
        <w:spacing w:after="120" w:line="259" w:lineRule="auto"/>
      </w:pPr>
      <w:r/>
    </w:p>
    <w:p>
      <w:pPr>
        <w:pStyle w:val="Heading1"/>
        <w:spacing w:after="120" w:line="259" w:lineRule="auto"/>
      </w:pPr>
      <w:r>
        <w:t>1. Resumen ejecutivo</w:t>
      </w:r>
    </w:p>
    <w:p>
      <w:pPr>
        <w:spacing w:after="120" w:line="259" w:lineRule="auto"/>
      </w:pPr>
      <w:r>
        <w:t>La plataforma se ha desarrollado como una aplicación web con frontend en TypeScript, backend en Node.js, base de datos PostgreSQL con extensión PostGIS y procesos de ingesta para consultar fuentes sísmicas externas. El enfoque técnico prioriza separación de responsabilidades, trazabilidad de datos, escalabilidad gradual y operación local controlada antes de pasar a un servidor público.</w:t>
      </w:r>
    </w:p>
    <w:p>
      <w:pPr>
        <w:spacing w:after="120" w:line="259" w:lineRule="auto"/>
      </w:pPr>
      <w:r>
        <w:t>La validación actual se ejecuta directamente en Windows con PostgreSQL/PostGIS local. WSL2 con Ubuntu se conserva como alternativa reproducible para desarrollo Linux y transición futura a VPS o cloud.</w:t>
      </w:r>
    </w:p>
    <w:p>
      <w:pPr>
        <w:pStyle w:val="Heading1"/>
        <w:spacing w:after="120" w:line="259" w:lineRule="auto"/>
      </w:pPr>
      <w:r>
        <w:t>2. Decisión tecnológica</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D9EAF7"/>
            <w:vAlign w:val="top"/>
          </w:tcPr>
          <w:p>
            <w:pPr>
              <w:spacing w:after="40"/>
            </w:pPr>
            <w:r>
              <w:rPr>
                <w:sz w:val="18"/>
              </w:rPr>
            </w:r>
            <w:r>
              <w:rPr>
                <w:b/>
                <w:sz w:val="18"/>
              </w:rPr>
              <w:t>Elemento</w:t>
            </w:r>
          </w:p>
        </w:tc>
        <w:tc>
          <w:tcPr>
            <w:tcW w:type="dxa" w:w="2880"/>
            <w:shd w:fill="D9EAF7"/>
            <w:vAlign w:val="top"/>
          </w:tcPr>
          <w:p>
            <w:pPr>
              <w:spacing w:after="40"/>
            </w:pPr>
            <w:r>
              <w:rPr>
                <w:sz w:val="18"/>
              </w:rPr>
            </w:r>
            <w:r>
              <w:rPr>
                <w:b/>
                <w:sz w:val="18"/>
              </w:rPr>
              <w:t>Decisión</w:t>
            </w:r>
          </w:p>
        </w:tc>
        <w:tc>
          <w:tcPr>
            <w:tcW w:type="dxa" w:w="5616"/>
            <w:shd w:fill="D9EAF7"/>
            <w:vAlign w:val="top"/>
          </w:tcPr>
          <w:p>
            <w:pPr>
              <w:spacing w:after="40"/>
            </w:pPr>
            <w:r>
              <w:rPr>
                <w:sz w:val="18"/>
              </w:rPr>
            </w:r>
            <w:r>
              <w:rPr>
                <w:b/>
                <w:sz w:val="18"/>
              </w:rPr>
              <w:t>Justificación</w:t>
            </w:r>
          </w:p>
        </w:tc>
      </w:tr>
      <w:tr>
        <w:tc>
          <w:tcPr>
            <w:tcW w:type="dxa" w:w="2160"/>
            <w:vAlign w:val="top"/>
          </w:tcPr>
          <w:p>
            <w:pPr>
              <w:spacing w:after="40"/>
            </w:pPr>
            <w:r>
              <w:rPr>
                <w:sz w:val="18"/>
              </w:rPr>
            </w:r>
            <w:r>
              <w:rPr>
                <w:b w:val="0"/>
                <w:sz w:val="18"/>
              </w:rPr>
              <w:t>Lenguaje</w:t>
            </w:r>
          </w:p>
        </w:tc>
        <w:tc>
          <w:tcPr>
            <w:tcW w:type="dxa" w:w="2880"/>
            <w:vAlign w:val="top"/>
          </w:tcPr>
          <w:p>
            <w:pPr>
              <w:spacing w:after="40"/>
            </w:pPr>
            <w:r>
              <w:rPr>
                <w:sz w:val="18"/>
              </w:rPr>
            </w:r>
            <w:r>
              <w:rPr>
                <w:b w:val="0"/>
                <w:sz w:val="18"/>
              </w:rPr>
              <w:t>TypeScript</w:t>
            </w:r>
          </w:p>
        </w:tc>
        <w:tc>
          <w:tcPr>
            <w:tcW w:type="dxa" w:w="5616"/>
            <w:vAlign w:val="top"/>
          </w:tcPr>
          <w:p>
            <w:pPr>
              <w:spacing w:after="40"/>
            </w:pPr>
            <w:r>
              <w:rPr>
                <w:sz w:val="18"/>
              </w:rPr>
            </w:r>
            <w:r>
              <w:rPr>
                <w:b w:val="0"/>
                <w:sz w:val="18"/>
              </w:rPr>
              <w:t>Permite tipado estático, contratos claros y reutilización de tipos entre frontend y backend.</w:t>
            </w:r>
          </w:p>
        </w:tc>
      </w:tr>
      <w:tr>
        <w:tc>
          <w:tcPr>
            <w:tcW w:type="dxa" w:w="2160"/>
            <w:vAlign w:val="top"/>
          </w:tcPr>
          <w:p>
            <w:pPr>
              <w:spacing w:after="40"/>
            </w:pPr>
            <w:r>
              <w:rPr>
                <w:sz w:val="18"/>
              </w:rPr>
            </w:r>
            <w:r>
              <w:rPr>
                <w:b w:val="0"/>
                <w:sz w:val="18"/>
              </w:rPr>
              <w:t>Runtime</w:t>
            </w:r>
          </w:p>
        </w:tc>
        <w:tc>
          <w:tcPr>
            <w:tcW w:type="dxa" w:w="2880"/>
            <w:vAlign w:val="top"/>
          </w:tcPr>
          <w:p>
            <w:pPr>
              <w:spacing w:after="40"/>
            </w:pPr>
            <w:r>
              <w:rPr>
                <w:sz w:val="18"/>
              </w:rPr>
            </w:r>
            <w:r>
              <w:rPr>
                <w:b w:val="0"/>
                <w:sz w:val="18"/>
              </w:rPr>
              <w:t>Node.js</w:t>
            </w:r>
          </w:p>
        </w:tc>
        <w:tc>
          <w:tcPr>
            <w:tcW w:type="dxa" w:w="5616"/>
            <w:vAlign w:val="top"/>
          </w:tcPr>
          <w:p>
            <w:pPr>
              <w:spacing w:after="40"/>
            </w:pPr>
            <w:r>
              <w:rPr>
                <w:sz w:val="18"/>
              </w:rPr>
            </w:r>
            <w:r>
              <w:rPr>
                <w:b w:val="0"/>
                <w:sz w:val="18"/>
              </w:rPr>
              <w:t>Adecuado para APIs, consumo de servicios externos, procesamiento JSON/GeoJSON y workers.</w:t>
            </w:r>
          </w:p>
        </w:tc>
      </w:tr>
      <w:tr>
        <w:tc>
          <w:tcPr>
            <w:tcW w:type="dxa" w:w="2160"/>
            <w:vAlign w:val="top"/>
          </w:tcPr>
          <w:p>
            <w:pPr>
              <w:spacing w:after="40"/>
            </w:pPr>
            <w:r>
              <w:rPr>
                <w:sz w:val="18"/>
              </w:rPr>
            </w:r>
            <w:r>
              <w:rPr>
                <w:b w:val="0"/>
                <w:sz w:val="18"/>
              </w:rPr>
              <w:t>Base de datos</w:t>
            </w:r>
          </w:p>
        </w:tc>
        <w:tc>
          <w:tcPr>
            <w:tcW w:type="dxa" w:w="2880"/>
            <w:vAlign w:val="top"/>
          </w:tcPr>
          <w:p>
            <w:pPr>
              <w:spacing w:after="40"/>
            </w:pPr>
            <w:r>
              <w:rPr>
                <w:sz w:val="18"/>
              </w:rPr>
              <w:t>PostgreSQL + PostGIS</w:t>
            </w:r>
            <w:r>
              <w:rPr>
                <w:b w:val="0"/>
                <w:sz w:val="18"/>
              </w:rPr>
            </w:r>
          </w:p>
        </w:tc>
        <w:tc>
          <w:tcPr>
            <w:tcW w:type="dxa" w:w="5616"/>
            <w:vAlign w:val="top"/>
          </w:tcPr>
          <w:p>
            <w:pPr>
              <w:spacing w:after="40"/>
            </w:pPr>
            <w:r>
              <w:rPr>
                <w:sz w:val="18"/>
              </w:rPr>
              <w:t>Relacional, robusta y de licencia libre. PostGIS aporta el tipo geography(Point,4326) e índices espaciales GiST para consultas por región (bounding box) y proximidad ('eventos cerca de'), evitando recorrer columnas lat/lng con BETWEEN.</w:t>
            </w:r>
            <w:r>
              <w:rPr>
                <w:b w:val="0"/>
                <w:sz w:val="18"/>
              </w:rPr>
            </w:r>
          </w:p>
        </w:tc>
      </w:tr>
      <w:tr>
        <w:tc>
          <w:tcPr>
            <w:tcW w:type="dxa" w:w="2160"/>
            <w:vAlign w:val="top"/>
          </w:tcPr>
          <w:p>
            <w:pPr>
              <w:spacing w:after="40"/>
            </w:pPr>
            <w:r>
              <w:rPr>
                <w:sz w:val="18"/>
              </w:rPr>
            </w:r>
            <w:r>
              <w:rPr>
                <w:b w:val="0"/>
                <w:sz w:val="18"/>
              </w:rPr>
              <w:t>Frontend</w:t>
            </w:r>
          </w:p>
        </w:tc>
        <w:tc>
          <w:tcPr>
            <w:tcW w:type="dxa" w:w="2880"/>
            <w:vAlign w:val="top"/>
          </w:tcPr>
          <w:p>
            <w:pPr>
              <w:spacing w:after="40"/>
            </w:pPr>
            <w:r>
              <w:rPr>
                <w:sz w:val="18"/>
              </w:rPr>
            </w:r>
            <w:r>
              <w:rPr>
                <w:b w:val="0"/>
                <w:sz w:val="18"/>
              </w:rPr>
              <w:t>React/Vite o equivalente</w:t>
            </w:r>
          </w:p>
        </w:tc>
        <w:tc>
          <w:tcPr>
            <w:tcW w:type="dxa" w:w="5616"/>
            <w:vAlign w:val="top"/>
          </w:tcPr>
          <w:p>
            <w:pPr>
              <w:spacing w:after="40"/>
            </w:pPr>
            <w:r>
              <w:rPr>
                <w:sz w:val="18"/>
              </w:rPr>
            </w:r>
            <w:r>
              <w:rPr>
                <w:b w:val="0"/>
                <w:sz w:val="18"/>
              </w:rPr>
              <w:t>Desarrollo rápido de interfaz interactiva con componentes reutilizables.</w:t>
            </w:r>
          </w:p>
        </w:tc>
      </w:tr>
      <w:tr>
        <w:tc>
          <w:tcPr>
            <w:tcW w:type="dxa" w:w="2160"/>
            <w:vAlign w:val="top"/>
          </w:tcPr>
          <w:p>
            <w:pPr>
              <w:spacing w:after="40"/>
            </w:pPr>
            <w:r>
              <w:rPr>
                <w:sz w:val="18"/>
              </w:rPr>
            </w:r>
            <w:r>
              <w:rPr>
                <w:b w:val="0"/>
                <w:sz w:val="18"/>
              </w:rPr>
              <w:t>Mapa</w:t>
            </w:r>
          </w:p>
        </w:tc>
        <w:tc>
          <w:tcPr>
            <w:tcW w:type="dxa" w:w="2880"/>
            <w:vAlign w:val="top"/>
          </w:tcPr>
          <w:p>
            <w:r>
              <w:t>CesiumJS</w:t>
            </w:r>
          </w:p>
        </w:tc>
        <w:tc>
          <w:tcPr>
            <w:tcW w:type="dxa" w:w="5616"/>
            <w:vAlign w:val="top"/>
          </w:tcPr>
          <w:p>
            <w:r>
              <w:t>Se adopta desde la etapa 1 para lograr un globo 3D con contexto geográfico amplio, lectura operativa y navegación continua, inspirada en monitores sísmicos avanzados, pero con lógica propia sobre datos oficiales.</w:t>
            </w:r>
          </w:p>
        </w:tc>
      </w:tr>
      <w:tr>
        <w:tc>
          <w:tcPr>
            <w:tcW w:type="dxa" w:w="2160"/>
            <w:vAlign w:val="top"/>
          </w:tcPr>
          <w:p>
            <w:pPr>
              <w:spacing w:after="40"/>
            </w:pPr>
            <w:r>
              <w:rPr>
                <w:sz w:val="18"/>
              </w:rPr>
            </w:r>
            <w:r>
              <w:rPr>
                <w:b w:val="0"/>
                <w:sz w:val="18"/>
              </w:rPr>
              <w:t>Entorno local</w:t>
            </w:r>
          </w:p>
        </w:tc>
        <w:tc>
          <w:tcPr>
            <w:tcW w:type="dxa" w:w="2880"/>
            <w:vAlign w:val="top"/>
          </w:tcPr>
          <w:p>
            <w:pPr>
              <w:spacing w:after="40"/>
            </w:pPr>
            <w:r>
              <w:rPr>
                <w:sz w:val="18"/>
              </w:rPr>
            </w:r>
            <w:r>
              <w:rPr>
                <w:b w:val="0"/>
                <w:sz w:val="18"/>
              </w:rPr>
              <w:t>Ubuntu en WSL2</w:t>
            </w:r>
          </w:p>
        </w:tc>
        <w:tc>
          <w:tcPr>
            <w:tcW w:type="dxa" w:w="5616"/>
            <w:vAlign w:val="top"/>
          </w:tcPr>
          <w:p>
            <w:pPr>
              <w:spacing w:after="40"/>
            </w:pPr>
            <w:r>
              <w:rPr>
                <w:sz w:val="18"/>
              </w:rPr>
            </w:r>
            <w:r>
              <w:rPr>
                <w:b w:val="0"/>
                <w:sz w:val="18"/>
              </w:rPr>
              <w:t>Permite desarrollar en Linux desde Windows con bajo costo operativo.</w:t>
            </w:r>
          </w:p>
        </w:tc>
      </w:tr>
      <w:tr>
        <w:tc>
          <w:tcPr>
            <w:tcW w:type="dxa" w:w="3264"/>
          </w:tcPr>
          <w:p>
            <w:r>
              <w:t>Tiempo real</w:t>
            </w:r>
          </w:p>
        </w:tc>
        <w:tc>
          <w:tcPr>
            <w:tcW w:type="dxa" w:w="3264"/>
          </w:tcPr>
          <w:p>
            <w:r>
              <w:t>SSE</w:t>
            </w:r>
          </w:p>
        </w:tc>
        <w:tc>
          <w:tcPr>
            <w:tcW w:type="dxa" w:w="3264"/>
          </w:tcPr>
          <w:p>
            <w:r>
              <w:t>La API propia empuja eventos nuevos al navegador sin recargar. El worker puede suscribirse además al WebSocket de tiempo real de EMSC (seismicportal.eu).</w:t>
            </w:r>
          </w:p>
        </w:tc>
      </w:tr>
      <w:tr>
        <w:tc>
          <w:tcPr>
            <w:tcW w:type="dxa" w:w="3264"/>
          </w:tcPr>
          <w:p>
            <w:r>
              <w:t>Reproducibilidad</w:t>
            </w:r>
          </w:p>
        </w:tc>
        <w:tc>
          <w:tcPr>
            <w:tcW w:type="dxa" w:w="3264"/>
          </w:tcPr>
          <w:p>
            <w:r>
              <w:t>Docker Compose</w:t>
            </w:r>
          </w:p>
        </w:tc>
        <w:tc>
          <w:tcPr>
            <w:tcW w:type="dxa" w:w="3264"/>
          </w:tcPr>
          <w:p>
            <w:r>
              <w:t>Levanta PostgreSQL/PostGIS, API y worker con un solo comando; da paridad dev/prod y un entorno reproducible para el jurado. WSL2 sigue siendo válido para desarrollo nativo.</w:t>
            </w:r>
          </w:p>
        </w:tc>
      </w:tr>
    </w:tbl>
    <w:p>
      <w:pPr>
        <w:spacing w:after="120" w:line="259" w:lineRule="auto"/>
      </w:pPr>
    </w:p>
    <w:p>
      <w:pPr>
        <w:pStyle w:val="Heading2"/>
      </w:pPr>
      <w:r>
        <w:t>2.1 Modelo híbrido de referencia</w:t>
      </w:r>
    </w:p>
    <w:p>
      <w:pPr/>
      <w:r>
        <w:t>La arquitectura funcional adopta un modelo híbrido. Las fuentes oficiales o institucionales proveen la base verificable de eventos, mientras que los referentes no oficiales solo orientan la experiencia de usuario, la navegación y la representación visual.</w:t>
      </w:r>
    </w:p>
    <w:p>
      <w:pPr/>
      <w:r>
        <w:t>GlobalQuake fue evaluado bajo este criterio. Al 29 de junio de 2026, su sitio oficial publica la versión 1.1.1 para Windows y Linux y lo describe como un sistema experimental de detección y advertencia sísmica en vivo. A su vez, el repositorio público archivado en GitHub indica que, desde la release 1.0.0, el desarrollo posterior continúa de forma privada. Por tanto, el proyecto no debe depender de su código, su roadmap ni su disponibilidad futura.</w:t>
      </w:r>
    </w:p>
    <w:p>
      <w:pPr/>
      <w:r>
        <w:t>Sí resulta técnicamente útil adoptar patrones concretos observados en este tipo de herramientas: globo 3D, navegación continua, foco sobre el último evento, capas visuales de contexto y sensación operativa de actualización permanente. Estas capacidades se implementan con CesiumJS y lógica propia sobre datos oficiales.</w:t>
      </w:r>
    </w:p>
    <w:p>
      <w:pPr>
        <w:pStyle w:val="Heading1"/>
        <w:spacing w:after="120" w:line="259" w:lineRule="auto"/>
      </w:pPr>
      <w:r>
        <w:t>3. Arquitectura técnica implementada</w:t>
      </w:r>
    </w:p>
    <w:p>
      <w:pPr>
        <w:pStyle w:val="CodeBlock"/>
        <w:spacing w:after="120" w:line="259" w:lineRule="auto"/>
      </w:pPr>
      <w:r>
        <w:t>Fuentes externas (USGS, EMSC, IGP/CENSIS, FUNVISIS, GEOFON, GeoNet, BMKG, JMA, GDACS y NOAA/PTWC/NTWC)</w:t>
        <w:br/>
        <w:t xml:space="preserve">  -&gt; Worker de ingesta Node.js/TypeScript</w:t>
        <w:br/>
        <w:t xml:space="preserve">  -&gt; Normalización y deduplicación</w:t>
        <w:br/>
        <w:t xml:space="preserve">  -&gt; PostgreSQL + PostGIS</w:t>
        <w:br/>
        <w:t xml:space="preserve">  -&gt; API REST + canal en vivo (SSE) Node.js/TypeScript</w:t>
        <w:br/>
        <w:t xml:space="preserve">  -&gt; Frontend TypeScript con globo 3D CesiumJS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spacing w:after="40"/>
            </w:pPr>
            <w:r>
              <w:rPr>
                <w:sz w:val="18"/>
              </w:rPr>
            </w:r>
            <w:r>
              <w:rPr>
                <w:b/>
                <w:sz w:val="18"/>
              </w:rPr>
              <w:t>Capa</w:t>
            </w:r>
          </w:p>
        </w:tc>
        <w:tc>
          <w:tcPr>
            <w:tcW w:type="dxa" w:w="7776"/>
            <w:shd w:fill="D9EAF7"/>
            <w:vAlign w:val="top"/>
          </w:tcPr>
          <w:p>
            <w:pPr>
              <w:spacing w:after="40"/>
            </w:pPr>
            <w:r>
              <w:rPr>
                <w:sz w:val="18"/>
              </w:rPr>
            </w:r>
            <w:r>
              <w:rPr>
                <w:b/>
                <w:sz w:val="18"/>
              </w:rPr>
              <w:t>Responsabilidad técnica</w:t>
            </w:r>
          </w:p>
        </w:tc>
      </w:tr>
      <w:tr>
        <w:tc>
          <w:tcPr>
            <w:tcW w:type="dxa" w:w="2880"/>
            <w:vAlign w:val="top"/>
          </w:tcPr>
          <w:p>
            <w:pPr>
              <w:spacing w:after="40"/>
            </w:pPr>
            <w:r>
              <w:rPr>
                <w:sz w:val="18"/>
              </w:rPr>
            </w:r>
            <w:r>
              <w:rPr>
                <w:b w:val="0"/>
                <w:sz w:val="18"/>
              </w:rPr>
              <w:t>Frontend</w:t>
            </w:r>
          </w:p>
        </w:tc>
        <w:tc>
          <w:tcPr>
            <w:tcW w:type="dxa" w:w="7776"/>
            <w:vAlign w:val="top"/>
          </w:tcPr>
          <w:p>
            <w:r>
              <w:t>Renderizar globo 3D, filtros, paneles, detalle de evento, capas geoespaciales y estado de sincronización.</w:t>
            </w:r>
          </w:p>
        </w:tc>
      </w:tr>
      <w:tr>
        <w:tc>
          <w:tcPr>
            <w:tcW w:type="dxa" w:w="2880"/>
            <w:vAlign w:val="top"/>
          </w:tcPr>
          <w:p>
            <w:pPr>
              <w:spacing w:after="40"/>
            </w:pPr>
            <w:r>
              <w:rPr>
                <w:sz w:val="18"/>
              </w:rPr>
            </w:r>
            <w:r>
              <w:rPr>
                <w:b w:val="0"/>
                <w:sz w:val="18"/>
              </w:rPr>
              <w:t>API backend</w:t>
            </w:r>
          </w:p>
        </w:tc>
        <w:tc>
          <w:tcPr>
            <w:tcW w:type="dxa" w:w="7776"/>
            <w:vAlign w:val="top"/>
          </w:tcPr>
          <w:p>
            <w:pPr>
              <w:spacing w:after="40"/>
            </w:pPr>
            <w:r>
              <w:rPr>
                <w:sz w:val="18"/>
              </w:rPr>
              <w:t>Exponer endpoints normalizados, aplicar validaciones, responder al frontend y publicar eventos nuevos por SSE.</w:t>
            </w:r>
            <w:r>
              <w:rPr>
                <w:b w:val="0"/>
                <w:sz w:val="18"/>
              </w:rPr>
            </w:r>
          </w:p>
        </w:tc>
      </w:tr>
      <w:tr>
        <w:tc>
          <w:tcPr>
            <w:tcW w:type="dxa" w:w="2880"/>
            <w:vAlign w:val="top"/>
          </w:tcPr>
          <w:p>
            <w:pPr>
              <w:spacing w:after="40"/>
            </w:pPr>
            <w:r>
              <w:rPr>
                <w:sz w:val="18"/>
              </w:rPr>
            </w:r>
            <w:r>
              <w:rPr>
                <w:b w:val="0"/>
                <w:sz w:val="18"/>
              </w:rPr>
              <w:t>Worker de ingesta</w:t>
            </w:r>
          </w:p>
        </w:tc>
        <w:tc>
          <w:tcPr>
            <w:tcW w:type="dxa" w:w="7776"/>
            <w:vAlign w:val="top"/>
          </w:tcPr>
          <w:p>
            <w:r>
              <w:t>Consultar USGS, EMSC, IGP/CENSIS, FUNVISIS, GEOFON, GeoNet, BMKG, JMA, CWA, GDACS y NOAA, transformar datos, asociar referencias sin duplicidad y registrar auditoria.</w:t>
            </w:r>
          </w:p>
        </w:tc>
      </w:tr>
      <w:tr>
        <w:tc>
          <w:tcPr>
            <w:tcW w:type="dxa" w:w="2880"/>
            <w:vAlign w:val="top"/>
          </w:tcPr>
          <w:p>
            <w:pPr>
              <w:spacing w:after="40"/>
            </w:pPr>
            <w:r>
              <w:rPr>
                <w:sz w:val="18"/>
              </w:rPr>
            </w:r>
            <w:r>
              <w:rPr>
                <w:b w:val="0"/>
                <w:sz w:val="18"/>
              </w:rPr>
              <w:t>Base de datos</w:t>
            </w:r>
          </w:p>
        </w:tc>
        <w:tc>
          <w:tcPr>
            <w:tcW w:type="dxa" w:w="7776"/>
            <w:vAlign w:val="top"/>
          </w:tcPr>
          <w:p>
            <w:pPr>
              <w:spacing w:after="40"/>
            </w:pPr>
            <w:r>
              <w:rPr>
                <w:sz w:val="18"/>
              </w:rPr>
              <w:t>Persistir eventos, productos de tsunami, fuentes, ejecuciones y configuración; PostGIS habilita índices espaciales para consultas por región y proximidad.</w:t>
            </w:r>
            <w:r>
              <w:rPr>
                <w:b w:val="0"/>
                <w:sz w:val="18"/>
              </w:rPr>
            </w:r>
          </w:p>
        </w:tc>
      </w:tr>
      <w:tr>
        <w:tc>
          <w:tcPr>
            <w:tcW w:type="dxa" w:w="2880"/>
            <w:vAlign w:val="top"/>
          </w:tcPr>
          <w:p>
            <w:pPr>
              <w:spacing w:after="40"/>
            </w:pPr>
            <w:r>
              <w:rPr>
                <w:sz w:val="18"/>
              </w:rPr>
            </w:r>
            <w:r>
              <w:rPr>
                <w:b w:val="0"/>
                <w:sz w:val="18"/>
              </w:rPr>
              <w:t>Observabilidad</w:t>
            </w:r>
          </w:p>
        </w:tc>
        <w:tc>
          <w:tcPr>
            <w:tcW w:type="dxa" w:w="7776"/>
            <w:vAlign w:val="top"/>
          </w:tcPr>
          <w:p>
            <w:pPr>
              <w:spacing w:after="40"/>
            </w:pPr>
            <w:r>
              <w:rPr>
                <w:sz w:val="18"/>
              </w:rPr>
            </w:r>
            <w:r>
              <w:rPr>
                <w:b w:val="0"/>
                <w:sz w:val="18"/>
              </w:rPr>
              <w:t>Registrar logs, errores, latencia de fuentes y salud del sistema.</w:t>
            </w:r>
          </w:p>
        </w:tc>
      </w:tr>
    </w:tbl>
    <w:p>
      <w:pPr>
        <w:spacing w:after="120" w:line="259" w:lineRule="auto"/>
      </w:pPr>
    </w:p>
    <w:p>
      <w:pPr>
        <w:pStyle w:val="Heading1"/>
        <w:spacing w:after="120" w:line="259" w:lineRule="auto"/>
      </w:pPr>
      <w:r>
        <w:t>4. Responsabilidades por rol</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D9EAF7"/>
            <w:vAlign w:val="top"/>
          </w:tcPr>
          <w:p>
            <w:pPr>
              <w:spacing w:after="40"/>
            </w:pPr>
            <w:r>
              <w:rPr>
                <w:sz w:val="18"/>
              </w:rPr>
            </w:r>
            <w:r>
              <w:rPr>
                <w:b/>
                <w:sz w:val="18"/>
              </w:rPr>
              <w:t>Actividad</w:t>
            </w:r>
          </w:p>
        </w:tc>
        <w:tc>
          <w:tcPr>
            <w:tcW w:type="dxa" w:w="4320"/>
            <w:shd w:fill="D9EAF7"/>
            <w:vAlign w:val="top"/>
          </w:tcPr>
          <w:p>
            <w:pPr>
              <w:spacing w:after="40"/>
            </w:pPr>
            <w:r>
              <w:rPr>
                <w:sz w:val="18"/>
              </w:rPr>
            </w:r>
            <w:r>
              <w:rPr>
                <w:b/>
                <w:sz w:val="18"/>
              </w:rPr>
              <w:t>Ingeniero de software</w:t>
            </w:r>
          </w:p>
        </w:tc>
        <w:tc>
          <w:tcPr>
            <w:tcW w:type="dxa" w:w="4032"/>
            <w:shd w:fill="D9EAF7"/>
            <w:vAlign w:val="top"/>
          </w:tcPr>
          <w:p>
            <w:pPr>
              <w:spacing w:after="40"/>
            </w:pPr>
            <w:r>
              <w:rPr>
                <w:sz w:val="18"/>
              </w:rPr>
            </w:r>
            <w:r>
              <w:rPr>
                <w:b/>
                <w:sz w:val="18"/>
              </w:rPr>
              <w:t>Ingeniero de sistemas</w:t>
            </w:r>
          </w:p>
        </w:tc>
      </w:tr>
      <w:tr>
        <w:tc>
          <w:tcPr>
            <w:tcW w:type="dxa" w:w="2304"/>
            <w:vAlign w:val="top"/>
          </w:tcPr>
          <w:p>
            <w:pPr>
              <w:spacing w:after="40"/>
            </w:pPr>
            <w:r>
              <w:rPr>
                <w:sz w:val="18"/>
              </w:rPr>
            </w:r>
            <w:r>
              <w:rPr>
                <w:b w:val="0"/>
                <w:sz w:val="18"/>
              </w:rPr>
              <w:t>Arquitectura</w:t>
            </w:r>
          </w:p>
        </w:tc>
        <w:tc>
          <w:tcPr>
            <w:tcW w:type="dxa" w:w="4320"/>
            <w:vAlign w:val="top"/>
          </w:tcPr>
          <w:p>
            <w:pPr>
              <w:spacing w:after="40"/>
            </w:pPr>
            <w:r>
              <w:rPr>
                <w:sz w:val="18"/>
              </w:rPr>
            </w:r>
            <w:r>
              <w:rPr>
                <w:b w:val="0"/>
                <w:sz w:val="18"/>
              </w:rPr>
              <w:t>Define módulos, modelos, API y reglas de negocio.</w:t>
            </w:r>
          </w:p>
        </w:tc>
        <w:tc>
          <w:tcPr>
            <w:tcW w:type="dxa" w:w="4032"/>
            <w:vAlign w:val="top"/>
          </w:tcPr>
          <w:p>
            <w:pPr>
              <w:spacing w:after="40"/>
            </w:pPr>
            <w:r>
              <w:rPr>
                <w:sz w:val="18"/>
              </w:rPr>
            </w:r>
            <w:r>
              <w:rPr>
                <w:b w:val="0"/>
                <w:sz w:val="18"/>
              </w:rPr>
              <w:t>Valida despliegue, disponibilidad, monitoreo y seguridad operativa.</w:t>
            </w:r>
          </w:p>
        </w:tc>
      </w:tr>
      <w:tr>
        <w:tc>
          <w:tcPr>
            <w:tcW w:type="dxa" w:w="2304"/>
            <w:vAlign w:val="top"/>
          </w:tcPr>
          <w:p>
            <w:pPr>
              <w:spacing w:after="40"/>
            </w:pPr>
            <w:r>
              <w:rPr>
                <w:sz w:val="18"/>
              </w:rPr>
            </w:r>
            <w:r>
              <w:rPr>
                <w:b w:val="0"/>
                <w:sz w:val="18"/>
              </w:rPr>
              <w:t>Base de datos</w:t>
            </w:r>
          </w:p>
        </w:tc>
        <w:tc>
          <w:tcPr>
            <w:tcW w:type="dxa" w:w="4320"/>
            <w:vAlign w:val="top"/>
          </w:tcPr>
          <w:p>
            <w:pPr>
              <w:spacing w:after="40"/>
            </w:pPr>
            <w:r>
              <w:rPr>
                <w:sz w:val="18"/>
              </w:rPr>
              <w:t>Diseña tablas, migraciones e índices funcionales y espaciales (GiST/PostGIS).</w:t>
            </w:r>
            <w:r>
              <w:rPr>
                <w:b w:val="0"/>
                <w:sz w:val="18"/>
              </w:rPr>
            </w:r>
          </w:p>
        </w:tc>
        <w:tc>
          <w:tcPr>
            <w:tcW w:type="dxa" w:w="4032"/>
            <w:vAlign w:val="top"/>
          </w:tcPr>
          <w:p>
            <w:pPr>
              <w:spacing w:after="40"/>
            </w:pPr>
            <w:r>
              <w:rPr>
                <w:sz w:val="18"/>
              </w:rPr>
            </w:r>
            <w:r>
              <w:rPr>
                <w:b w:val="0"/>
                <w:sz w:val="18"/>
              </w:rPr>
              <w:t>Administra respaldos, usuarios, permisos y recuperación.</w:t>
            </w:r>
          </w:p>
        </w:tc>
      </w:tr>
      <w:tr>
        <w:tc>
          <w:tcPr>
            <w:tcW w:type="dxa" w:w="2304"/>
            <w:vAlign w:val="top"/>
          </w:tcPr>
          <w:p>
            <w:pPr>
              <w:spacing w:after="40"/>
            </w:pPr>
            <w:r>
              <w:rPr>
                <w:sz w:val="18"/>
              </w:rPr>
            </w:r>
            <w:r>
              <w:rPr>
                <w:b w:val="0"/>
                <w:sz w:val="18"/>
              </w:rPr>
              <w:t>Ingesta</w:t>
            </w:r>
          </w:p>
        </w:tc>
        <w:tc>
          <w:tcPr>
            <w:tcW w:type="dxa" w:w="4320"/>
            <w:vAlign w:val="top"/>
          </w:tcPr>
          <w:p>
            <w:pPr>
              <w:spacing w:after="40"/>
            </w:pPr>
            <w:r>
              <w:rPr>
                <w:sz w:val="18"/>
              </w:rPr>
            </w:r>
            <w:r>
              <w:rPr>
                <w:b w:val="0"/>
                <w:sz w:val="18"/>
              </w:rPr>
              <w:t>Implementa adaptadores, normalización y deduplicación.</w:t>
            </w:r>
          </w:p>
        </w:tc>
        <w:tc>
          <w:tcPr>
            <w:tcW w:type="dxa" w:w="4032"/>
            <w:vAlign w:val="top"/>
          </w:tcPr>
          <w:p>
            <w:pPr>
              <w:spacing w:after="40"/>
            </w:pPr>
            <w:r>
              <w:rPr>
                <w:sz w:val="18"/>
              </w:rPr>
            </w:r>
            <w:r>
              <w:rPr>
                <w:b w:val="0"/>
                <w:sz w:val="18"/>
              </w:rPr>
              <w:t>Configura ejecución programada, logs y alertas.</w:t>
            </w:r>
          </w:p>
        </w:tc>
      </w:tr>
      <w:tr>
        <w:tc>
          <w:tcPr>
            <w:tcW w:type="dxa" w:w="2304"/>
            <w:vAlign w:val="top"/>
          </w:tcPr>
          <w:p>
            <w:pPr>
              <w:spacing w:after="40"/>
            </w:pPr>
            <w:r>
              <w:rPr>
                <w:sz w:val="18"/>
              </w:rPr>
            </w:r>
            <w:r>
              <w:rPr>
                <w:b w:val="0"/>
                <w:sz w:val="18"/>
              </w:rPr>
              <w:t>Frontend</w:t>
            </w:r>
          </w:p>
        </w:tc>
        <w:tc>
          <w:tcPr>
            <w:tcW w:type="dxa" w:w="4320"/>
            <w:vAlign w:val="top"/>
          </w:tcPr>
          <w:p>
            <w:pPr>
              <w:spacing w:after="40"/>
            </w:pPr>
            <w:r>
              <w:rPr>
                <w:sz w:val="18"/>
              </w:rPr>
            </w:r>
            <w:r>
              <w:rPr>
                <w:b w:val="0"/>
                <w:sz w:val="18"/>
              </w:rPr>
              <w:t>Construye mapa, filtros, popups y paneles.</w:t>
            </w:r>
          </w:p>
        </w:tc>
        <w:tc>
          <w:tcPr>
            <w:tcW w:type="dxa" w:w="4032"/>
            <w:vAlign w:val="top"/>
          </w:tcPr>
          <w:p>
            <w:pPr>
              <w:spacing w:after="40"/>
            </w:pPr>
            <w:r>
              <w:rPr>
                <w:sz w:val="18"/>
              </w:rPr>
            </w:r>
            <w:r>
              <w:rPr>
                <w:b w:val="0"/>
                <w:sz w:val="18"/>
              </w:rPr>
              <w:t>Optimiza entrega, cache, HTTPS y disponibilidad futura.</w:t>
            </w:r>
          </w:p>
        </w:tc>
      </w:tr>
      <w:tr>
        <w:tc>
          <w:tcPr>
            <w:tcW w:type="dxa" w:w="2304"/>
            <w:vAlign w:val="top"/>
          </w:tcPr>
          <w:p>
            <w:pPr>
              <w:spacing w:after="40"/>
            </w:pPr>
            <w:r>
              <w:rPr>
                <w:sz w:val="18"/>
              </w:rPr>
            </w:r>
            <w:r>
              <w:rPr>
                <w:b w:val="0"/>
                <w:sz w:val="18"/>
              </w:rPr>
              <w:t>Pruebas</w:t>
            </w:r>
          </w:p>
        </w:tc>
        <w:tc>
          <w:tcPr>
            <w:tcW w:type="dxa" w:w="4320"/>
            <w:vAlign w:val="top"/>
          </w:tcPr>
          <w:p>
            <w:pPr>
              <w:spacing w:after="40"/>
            </w:pPr>
            <w:r>
              <w:rPr>
                <w:sz w:val="18"/>
              </w:rPr>
            </w:r>
            <w:r>
              <w:rPr>
                <w:b w:val="0"/>
                <w:sz w:val="18"/>
              </w:rPr>
              <w:t>Unitarias, integración y validación de datos.</w:t>
            </w:r>
          </w:p>
        </w:tc>
        <w:tc>
          <w:tcPr>
            <w:tcW w:type="dxa" w:w="4032"/>
            <w:vAlign w:val="top"/>
          </w:tcPr>
          <w:p>
            <w:pPr>
              <w:spacing w:after="40"/>
            </w:pPr>
            <w:r>
              <w:rPr>
                <w:sz w:val="18"/>
              </w:rPr>
            </w:r>
            <w:r>
              <w:rPr>
                <w:b w:val="0"/>
                <w:sz w:val="18"/>
              </w:rPr>
              <w:t>Pruebas de despliegue, reinicio, respaldo y monitoreo.</w:t>
            </w:r>
          </w:p>
        </w:tc>
      </w:tr>
    </w:tbl>
    <w:p>
      <w:pPr>
        <w:spacing w:after="120" w:line="259" w:lineRule="auto"/>
      </w:pPr>
    </w:p>
    <w:p>
      <w:pPr>
        <w:pStyle w:val="Heading1"/>
        <w:spacing w:after="120" w:line="259" w:lineRule="auto"/>
      </w:pPr>
      <w:r>
        <w:t>5. Módulos de software</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spacing w:after="40"/>
            </w:pPr>
            <w:r>
              <w:rPr>
                <w:sz w:val="18"/>
              </w:rPr>
            </w:r>
            <w:r>
              <w:rPr>
                <w:b/>
                <w:sz w:val="18"/>
              </w:rPr>
              <w:t>Módulo</w:t>
            </w:r>
          </w:p>
        </w:tc>
        <w:tc>
          <w:tcPr>
            <w:tcW w:type="dxa" w:w="7776"/>
            <w:shd w:fill="D9EAF7"/>
            <w:vAlign w:val="top"/>
          </w:tcPr>
          <w:p>
            <w:pPr>
              <w:spacing w:after="40"/>
            </w:pPr>
            <w:r>
              <w:rPr>
                <w:sz w:val="18"/>
              </w:rPr>
            </w:r>
            <w:r>
              <w:rPr>
                <w:b/>
                <w:sz w:val="18"/>
              </w:rPr>
              <w:t>Descripción</w:t>
            </w:r>
          </w:p>
        </w:tc>
      </w:tr>
      <w:tr>
        <w:tc>
          <w:tcPr>
            <w:tcW w:type="dxa" w:w="2880"/>
            <w:vAlign w:val="top"/>
          </w:tcPr>
          <w:p>
            <w:pPr>
              <w:spacing w:after="40"/>
            </w:pPr>
            <w:r>
              <w:rPr>
                <w:sz w:val="18"/>
              </w:rPr>
            </w:r>
            <w:r>
              <w:rPr>
                <w:b w:val="0"/>
                <w:sz w:val="18"/>
              </w:rPr>
              <w:t>Fuentes</w:t>
            </w:r>
          </w:p>
        </w:tc>
        <w:tc>
          <w:tcPr>
            <w:tcW w:type="dxa" w:w="7776"/>
            <w:vAlign w:val="top"/>
          </w:tcPr>
          <w:p>
            <w:pPr>
              <w:spacing w:after="40"/>
            </w:pPr>
            <w:r>
              <w:rPr>
                <w:sz w:val="18"/>
              </w:rPr>
            </w:r>
            <w:r>
              <w:rPr>
                <w:b w:val="0"/>
                <w:sz w:val="18"/>
              </w:rPr>
              <w:t>Configuración de proveedores externos, frecuencia de consulta y estado de disponibilidad.</w:t>
            </w:r>
          </w:p>
        </w:tc>
      </w:tr>
      <w:tr>
        <w:tc>
          <w:tcPr>
            <w:tcW w:type="dxa" w:w="2880"/>
            <w:vAlign w:val="top"/>
          </w:tcPr>
          <w:p>
            <w:pPr>
              <w:spacing w:after="40"/>
            </w:pPr>
            <w:r>
              <w:rPr>
                <w:sz w:val="18"/>
              </w:rPr>
            </w:r>
            <w:r>
              <w:rPr>
                <w:b w:val="0"/>
                <w:sz w:val="18"/>
              </w:rPr>
              <w:t>Ingesta</w:t>
            </w:r>
          </w:p>
        </w:tc>
        <w:tc>
          <w:tcPr>
            <w:tcW w:type="dxa" w:w="7776"/>
            <w:vAlign w:val="top"/>
          </w:tcPr>
          <w:p>
            <w:pPr>
              <w:spacing w:after="40"/>
            </w:pPr>
            <w:r>
              <w:rPr>
                <w:sz w:val="18"/>
              </w:rPr>
            </w:r>
            <w:r>
              <w:rPr>
                <w:b w:val="0"/>
                <w:sz w:val="18"/>
              </w:rPr>
              <w:t>Proceso programado que consulta APIs y feeds sísmicos.</w:t>
            </w:r>
          </w:p>
        </w:tc>
      </w:tr>
      <w:tr>
        <w:tc>
          <w:tcPr>
            <w:tcW w:type="dxa" w:w="2880"/>
            <w:vAlign w:val="top"/>
          </w:tcPr>
          <w:p>
            <w:pPr>
              <w:spacing w:after="40"/>
            </w:pPr>
            <w:r>
              <w:rPr>
                <w:sz w:val="18"/>
              </w:rPr>
            </w:r>
            <w:r>
              <w:rPr>
                <w:b w:val="0"/>
                <w:sz w:val="18"/>
              </w:rPr>
              <w:t>Normalización</w:t>
            </w:r>
          </w:p>
        </w:tc>
        <w:tc>
          <w:tcPr>
            <w:tcW w:type="dxa" w:w="7776"/>
            <w:vAlign w:val="top"/>
          </w:tcPr>
          <w:p>
            <w:pPr>
              <w:spacing w:after="40"/>
            </w:pPr>
            <w:r>
              <w:rPr>
                <w:sz w:val="18"/>
              </w:rPr>
            </w:r>
            <w:r>
              <w:rPr>
                <w:b w:val="0"/>
                <w:sz w:val="18"/>
              </w:rPr>
              <w:t>Conversión de respuestas externas a un modelo común.</w:t>
            </w:r>
          </w:p>
        </w:tc>
      </w:tr>
      <w:tr>
        <w:tc>
          <w:tcPr>
            <w:tcW w:type="dxa" w:w="2880"/>
            <w:vAlign w:val="top"/>
          </w:tcPr>
          <w:p>
            <w:pPr>
              <w:spacing w:after="40"/>
            </w:pPr>
            <w:r>
              <w:rPr>
                <w:sz w:val="18"/>
              </w:rPr>
            </w:r>
            <w:r>
              <w:rPr>
                <w:b w:val="0"/>
                <w:sz w:val="18"/>
              </w:rPr>
              <w:t>Deduplicación</w:t>
            </w:r>
          </w:p>
        </w:tc>
        <w:tc>
          <w:tcPr>
            <w:tcW w:type="dxa" w:w="7776"/>
            <w:vAlign w:val="top"/>
          </w:tcPr>
          <w:p>
            <w:pPr>
              <w:spacing w:after="40"/>
            </w:pPr>
            <w:r>
              <w:rPr>
                <w:sz w:val="18"/>
              </w:rPr>
            </w:r>
            <w:r>
              <w:rPr>
                <w:b w:val="0"/>
                <w:sz w:val="18"/>
              </w:rPr>
              <w:t>Reglas para evitar repetir el mismo evento de varias fuentes.</w:t>
            </w:r>
          </w:p>
        </w:tc>
      </w:tr>
      <w:tr>
        <w:tc>
          <w:tcPr>
            <w:tcW w:type="dxa" w:w="2880"/>
            <w:vAlign w:val="top"/>
          </w:tcPr>
          <w:p>
            <w:pPr>
              <w:spacing w:after="40"/>
            </w:pPr>
            <w:r>
              <w:rPr>
                <w:sz w:val="18"/>
              </w:rPr>
            </w:r>
            <w:r>
              <w:rPr>
                <w:b w:val="0"/>
                <w:sz w:val="18"/>
              </w:rPr>
              <w:t>API</w:t>
            </w:r>
          </w:p>
        </w:tc>
        <w:tc>
          <w:tcPr>
            <w:tcW w:type="dxa" w:w="7776"/>
            <w:vAlign w:val="top"/>
          </w:tcPr>
          <w:p>
            <w:pPr>
              <w:spacing w:after="40"/>
            </w:pPr>
            <w:r>
              <w:rPr>
                <w:sz w:val="18"/>
              </w:rPr>
            </w:r>
            <w:r>
              <w:rPr>
                <w:b w:val="0"/>
                <w:sz w:val="18"/>
              </w:rPr>
              <w:t>Endpoints de consulta para mapa, eventos, fuentes y productos de tsunami.</w:t>
            </w:r>
          </w:p>
        </w:tc>
      </w:tr>
      <w:tr>
        <w:tc>
          <w:tcPr>
            <w:tcW w:type="dxa" w:w="2880"/>
            <w:vAlign w:val="top"/>
          </w:tcPr>
          <w:p>
            <w:pPr>
              <w:spacing w:after="40"/>
            </w:pPr>
            <w:r>
              <w:rPr>
                <w:sz w:val="18"/>
              </w:rPr>
            </w:r>
            <w:r>
              <w:rPr>
                <w:b w:val="0"/>
                <w:sz w:val="18"/>
              </w:rPr>
              <w:t>Mapa</w:t>
            </w:r>
          </w:p>
        </w:tc>
        <w:tc>
          <w:tcPr>
            <w:tcW w:type="dxa" w:w="7776"/>
            <w:vAlign w:val="top"/>
          </w:tcPr>
          <w:p>
            <w:r>
              <w:t>Interfaz CesiumJS para visualizar epicentros, navegación 3D, filtros, capas y detalle operacional del evento.</w:t>
            </w:r>
          </w:p>
        </w:tc>
      </w:tr>
      <w:tr>
        <w:tc>
          <w:tcPr>
            <w:tcW w:type="dxa" w:w="2880"/>
            <w:vAlign w:val="top"/>
          </w:tcPr>
          <w:p>
            <w:pPr>
              <w:spacing w:after="40"/>
            </w:pPr>
            <w:r>
              <w:rPr>
                <w:sz w:val="18"/>
              </w:rPr>
            </w:r>
            <w:r>
              <w:rPr>
                <w:b w:val="0"/>
                <w:sz w:val="18"/>
              </w:rPr>
              <w:t>Observabilidad</w:t>
            </w:r>
          </w:p>
        </w:tc>
        <w:tc>
          <w:tcPr>
            <w:tcW w:type="dxa" w:w="7776"/>
            <w:vAlign w:val="top"/>
          </w:tcPr>
          <w:p>
            <w:pPr>
              <w:spacing w:after="40"/>
            </w:pPr>
            <w:r>
              <w:rPr>
                <w:sz w:val="18"/>
              </w:rPr>
            </w:r>
            <w:r>
              <w:rPr>
                <w:b w:val="0"/>
                <w:sz w:val="18"/>
              </w:rPr>
              <w:t>Logs, estado de fuentes, errores y métricas técnicas básicas.</w:t>
            </w:r>
          </w:p>
        </w:tc>
      </w:tr>
      <w:tr>
        <w:tc>
          <w:tcPr>
            <w:tcW w:type="dxa" w:w="4896"/>
          </w:tcPr>
          <w:p>
            <w:r>
              <w:t>Tiempo real</w:t>
            </w:r>
          </w:p>
        </w:tc>
        <w:tc>
          <w:tcPr>
            <w:tcW w:type="dxa" w:w="4896"/>
          </w:tcPr>
          <w:p>
            <w:r>
              <w:t>Canal SSE que empuja eventos nuevos al frontend; suscripción opcional al WebSocket de EMSC en el worker.</w:t>
            </w:r>
          </w:p>
        </w:tc>
      </w:tr>
      <w:tr>
        <w:tc>
          <w:tcPr>
            <w:tcW w:type="dxa" w:w="4896"/>
          </w:tcPr>
          <w:p>
            <w:r>
              <w:t>Caché</w:t>
            </w:r>
          </w:p>
        </w:tc>
        <w:tc>
          <w:tcPr>
            <w:tcW w:type="dxa" w:w="4896"/>
          </w:tcPr>
          <w:p>
            <w:r>
              <w:t>TTL en memoria del backend para consultas frecuentes del mapa; PostgreSQL es el almacén persistente. No se usa Redis en la etapa 1.</w:t>
            </w:r>
          </w:p>
        </w:tc>
      </w:tr>
    </w:tbl>
    <w:p>
      <w:pPr>
        <w:spacing w:after="120" w:line="259" w:lineRule="auto"/>
      </w:pPr>
    </w:p>
    <w:p>
      <w:pPr>
        <w:pStyle w:val="Heading2"/>
        <w:spacing w:after="120" w:line="259" w:lineRule="auto"/>
      </w:pPr>
      <w:r>
        <w:t>5.1 Estructura actual del repositorio</w:t>
      </w:r>
    </w:p>
    <w:p>
      <w:pPr>
        <w:pStyle w:val="CodeBlock"/>
        <w:spacing w:after="120" w:line="259" w:lineRule="auto"/>
      </w:pPr>
      <w:r>
        <w:t>raíz/</w:t>
        <w:br/>
        <w:t xml:space="preserve">  apps/</w:t>
        <w:br/>
        <w:t xml:space="preserve">    api/           # API REST y canal SSE</w:t>
        <w:br/>
        <w:t xml:space="preserve">    web/           # frontend React/Vite y CesiumJS</w:t>
        <w:br/>
        <w:t xml:space="preserve">    worker/        # ingesta, normalización y deduplicación</w:t>
        <w:br/>
        <w:t xml:space="preserve">  packages/</w:t>
        <w:br/>
        <w:t xml:space="preserve">    shared/        # tipos y contratos comunes</w:t>
        <w:br/>
        <w:t xml:space="preserve">  db/</w:t>
        <w:br/>
        <w:t xml:space="preserve">    migrations/    # esquema PostgreSQL + PostGIS</w:t>
        <w:br/>
        <w:t xml:space="preserve">  docs/</w:t>
        <w:br/>
        <w:t xml:space="preserve">    specs/         # SDD vigentes</w:t>
        <w:br/>
        <w:t xml:space="preserve">    validation/    # planes y evidencia de pruebas</w:t>
        <w:br/>
        <w:t xml:space="preserve">  scripts/         # automatización operativa</w:t>
        <w:br/>
        <w:t xml:space="preserve">  docker-compose.yml</w:t>
        <w:br/>
        <w:t xml:space="preserve">  package.json</w:t>
      </w:r>
    </w:p>
    <w:p>
      <w:pPr>
        <w:pStyle w:val="Heading1"/>
        <w:spacing w:after="120" w:line="259" w:lineRule="auto"/>
      </w:pPr>
      <w:r>
        <w:t>6. Modelo de datos PostgreSQL + PostGIS</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D9EAF7"/>
            <w:vAlign w:val="top"/>
          </w:tcPr>
          <w:p>
            <w:pPr>
              <w:spacing w:after="40"/>
            </w:pPr>
            <w:r>
              <w:rPr>
                <w:sz w:val="18"/>
              </w:rPr>
            </w:r>
            <w:r>
              <w:rPr>
                <w:b/>
                <w:sz w:val="18"/>
              </w:rPr>
              <w:t>Tabla</w:t>
            </w:r>
          </w:p>
        </w:tc>
        <w:tc>
          <w:tcPr>
            <w:tcW w:type="dxa" w:w="3744"/>
            <w:shd w:fill="D9EAF7"/>
            <w:vAlign w:val="top"/>
          </w:tcPr>
          <w:p>
            <w:pPr>
              <w:spacing w:after="40"/>
            </w:pPr>
            <w:r>
              <w:rPr>
                <w:sz w:val="18"/>
              </w:rPr>
            </w:r>
            <w:r>
              <w:rPr>
                <w:b/>
                <w:sz w:val="18"/>
              </w:rPr>
              <w:t>Propósito</w:t>
            </w:r>
          </w:p>
        </w:tc>
        <w:tc>
          <w:tcPr>
            <w:tcW w:type="dxa" w:w="4464"/>
            <w:shd w:fill="D9EAF7"/>
            <w:vAlign w:val="top"/>
          </w:tcPr>
          <w:p>
            <w:pPr>
              <w:spacing w:after="40"/>
            </w:pPr>
            <w:r>
              <w:rPr>
                <w:sz w:val="18"/>
              </w:rPr>
            </w:r>
            <w:r>
              <w:rPr>
                <w:b/>
                <w:sz w:val="18"/>
              </w:rPr>
              <w:t>Campos clave</w:t>
            </w:r>
          </w:p>
        </w:tc>
      </w:tr>
      <w:tr>
        <w:tc>
          <w:tcPr>
            <w:tcW w:type="dxa" w:w="2448"/>
            <w:vAlign w:val="top"/>
          </w:tcPr>
          <w:p>
            <w:pPr>
              <w:spacing w:after="40"/>
            </w:pPr>
            <w:r>
              <w:rPr>
                <w:sz w:val="18"/>
              </w:rPr>
            </w:r>
            <w:r>
              <w:rPr>
                <w:b w:val="0"/>
                <w:sz w:val="18"/>
              </w:rPr>
              <w:t>seismic_sources</w:t>
            </w:r>
          </w:p>
        </w:tc>
        <w:tc>
          <w:tcPr>
            <w:tcW w:type="dxa" w:w="3744"/>
            <w:vAlign w:val="top"/>
          </w:tcPr>
          <w:p>
            <w:pPr>
              <w:spacing w:after="40"/>
            </w:pPr>
            <w:r>
              <w:rPr>
                <w:sz w:val="18"/>
              </w:rPr>
            </w:r>
            <w:r>
              <w:rPr>
                <w:b w:val="0"/>
                <w:sz w:val="18"/>
              </w:rPr>
              <w:t>Catálogo de fuentes.</w:t>
            </w:r>
          </w:p>
        </w:tc>
        <w:tc>
          <w:tcPr>
            <w:tcW w:type="dxa" w:w="4464"/>
            <w:vAlign w:val="top"/>
          </w:tcPr>
          <w:p>
            <w:pPr>
              <w:spacing w:after="40"/>
            </w:pPr>
            <w:r>
              <w:rPr>
                <w:sz w:val="18"/>
              </w:rPr>
            </w:r>
            <w:r>
              <w:rPr>
                <w:b w:val="0"/>
                <w:sz w:val="18"/>
              </w:rPr>
              <w:t>id, code, name, base_url, enabled, last_status</w:t>
            </w:r>
          </w:p>
        </w:tc>
      </w:tr>
      <w:tr>
        <w:tc>
          <w:tcPr>
            <w:tcW w:type="dxa" w:w="2448"/>
            <w:vAlign w:val="top"/>
          </w:tcPr>
          <w:p>
            <w:pPr>
              <w:spacing w:after="40"/>
            </w:pPr>
            <w:r>
              <w:rPr>
                <w:sz w:val="18"/>
              </w:rPr>
            </w:r>
            <w:r>
              <w:rPr>
                <w:b w:val="0"/>
                <w:sz w:val="18"/>
              </w:rPr>
              <w:t>seismic_events</w:t>
            </w:r>
          </w:p>
        </w:tc>
        <w:tc>
          <w:tcPr>
            <w:tcW w:type="dxa" w:w="3744"/>
            <w:vAlign w:val="top"/>
          </w:tcPr>
          <w:p>
            <w:pPr>
              <w:spacing w:after="40"/>
            </w:pPr>
            <w:r>
              <w:rPr>
                <w:sz w:val="18"/>
              </w:rPr>
              <w:t>Eventos normalizados (con geometría espacial).</w:t>
            </w:r>
            <w:r>
              <w:rPr>
                <w:b w:val="0"/>
                <w:sz w:val="18"/>
              </w:rPr>
            </w:r>
          </w:p>
        </w:tc>
        <w:tc>
          <w:tcPr>
            <w:tcW w:type="dxa" w:w="4464"/>
            <w:vAlign w:val="top"/>
          </w:tcPr>
          <w:p>
            <w:pPr>
              <w:spacing w:after="40"/>
            </w:pPr>
            <w:r>
              <w:rPr>
                <w:sz w:val="18"/>
              </w:rPr>
              <w:t>event_id, title, magnitude, latitude, longitude, geom geography(Point,4326), depth_km, event_time_utc</w:t>
            </w:r>
            <w:r>
              <w:rPr>
                <w:b w:val="0"/>
                <w:sz w:val="18"/>
              </w:rPr>
            </w:r>
          </w:p>
        </w:tc>
      </w:tr>
      <w:tr>
        <w:tc>
          <w:tcPr>
            <w:tcW w:type="dxa" w:w="2448"/>
            <w:vAlign w:val="top"/>
          </w:tcPr>
          <w:p>
            <w:pPr>
              <w:spacing w:after="40"/>
            </w:pPr>
            <w:r>
              <w:rPr>
                <w:sz w:val="18"/>
              </w:rPr>
            </w:r>
            <w:r>
              <w:rPr>
                <w:b w:val="0"/>
                <w:sz w:val="18"/>
              </w:rPr>
              <w:t>event_source_refs</w:t>
            </w:r>
          </w:p>
        </w:tc>
        <w:tc>
          <w:tcPr>
            <w:tcW w:type="dxa" w:w="3744"/>
            <w:vAlign w:val="top"/>
          </w:tcPr>
          <w:p>
            <w:pPr>
              <w:spacing w:after="40"/>
            </w:pPr>
            <w:r>
              <w:rPr>
                <w:sz w:val="18"/>
              </w:rPr>
            </w:r>
            <w:r>
              <w:rPr>
                <w:b w:val="0"/>
                <w:sz w:val="18"/>
              </w:rPr>
              <w:t>Referencias originales por fuente.</w:t>
            </w:r>
          </w:p>
        </w:tc>
        <w:tc>
          <w:tcPr>
            <w:tcW w:type="dxa" w:w="4464"/>
            <w:vAlign w:val="top"/>
          </w:tcPr>
          <w:p>
            <w:pPr>
              <w:spacing w:after="40"/>
            </w:pPr>
            <w:r>
              <w:rPr>
                <w:sz w:val="18"/>
              </w:rPr>
            </w:r>
            <w:r>
              <w:rPr>
                <w:b w:val="0"/>
                <w:sz w:val="18"/>
              </w:rPr>
              <w:t>event_id, source_code, source_event_id, original_url</w:t>
            </w:r>
          </w:p>
        </w:tc>
      </w:tr>
      <w:tr>
        <w:tc>
          <w:tcPr>
            <w:tcW w:type="dxa" w:w="2448"/>
            <w:vAlign w:val="top"/>
          </w:tcPr>
          <w:p>
            <w:pPr>
              <w:spacing w:after="40"/>
            </w:pPr>
            <w:r>
              <w:rPr>
                <w:sz w:val="18"/>
              </w:rPr>
            </w:r>
            <w:r>
              <w:rPr>
                <w:b w:val="0"/>
                <w:sz w:val="18"/>
              </w:rPr>
              <w:t>ingestion_runs</w:t>
            </w:r>
          </w:p>
        </w:tc>
        <w:tc>
          <w:tcPr>
            <w:tcW w:type="dxa" w:w="3744"/>
            <w:vAlign w:val="top"/>
          </w:tcPr>
          <w:p>
            <w:pPr>
              <w:spacing w:after="40"/>
            </w:pPr>
            <w:r>
              <w:rPr>
                <w:sz w:val="18"/>
              </w:rPr>
            </w:r>
            <w:r>
              <w:rPr>
                <w:b w:val="0"/>
                <w:sz w:val="18"/>
              </w:rPr>
              <w:t>Auditoría de ingesta.</w:t>
            </w:r>
          </w:p>
        </w:tc>
        <w:tc>
          <w:tcPr>
            <w:tcW w:type="dxa" w:w="4464"/>
            <w:vAlign w:val="top"/>
          </w:tcPr>
          <w:p>
            <w:pPr>
              <w:spacing w:after="40"/>
            </w:pPr>
            <w:r>
              <w:rPr>
                <w:sz w:val="18"/>
              </w:rPr>
            </w:r>
            <w:r>
              <w:rPr>
                <w:b w:val="0"/>
                <w:sz w:val="18"/>
              </w:rPr>
              <w:t>id, source_code, started_at, finished_at, status, error_message</w:t>
            </w:r>
          </w:p>
        </w:tc>
      </w:tr>
      <w:tr>
        <w:tc>
          <w:tcPr>
            <w:tcW w:type="dxa" w:w="2448"/>
            <w:vAlign w:val="top"/>
          </w:tcPr>
          <w:p>
            <w:pPr>
              <w:spacing w:after="40"/>
            </w:pPr>
            <w:r>
              <w:rPr>
                <w:sz w:val="18"/>
              </w:rPr>
            </w:r>
            <w:r>
              <w:rPr>
                <w:b w:val="0"/>
                <w:sz w:val="18"/>
              </w:rPr>
              <w:t>tsunami_products</w:t>
            </w:r>
          </w:p>
        </w:tc>
        <w:tc>
          <w:tcPr>
            <w:tcW w:type="dxa" w:w="3744"/>
            <w:vAlign w:val="top"/>
          </w:tcPr>
          <w:p>
            <w:pPr>
              <w:spacing w:after="40"/>
            </w:pPr>
            <w:r>
              <w:rPr>
                <w:sz w:val="18"/>
              </w:rPr>
            </w:r>
            <w:r>
              <w:rPr>
                <w:b w:val="0"/>
                <w:sz w:val="18"/>
              </w:rPr>
              <w:t>Productos oficiales de tsunami.</w:t>
            </w:r>
          </w:p>
        </w:tc>
        <w:tc>
          <w:tcPr>
            <w:tcW w:type="dxa" w:w="4464"/>
            <w:vAlign w:val="top"/>
          </w:tcPr>
          <w:p>
            <w:pPr>
              <w:spacing w:after="40"/>
            </w:pPr>
            <w:r>
              <w:rPr>
                <w:sz w:val="18"/>
              </w:rPr>
            </w:r>
            <w:r>
              <w:rPr>
                <w:b w:val="0"/>
                <w:sz w:val="18"/>
              </w:rPr>
              <w:t>id, center, product_type, issued_at, status, official_url</w:t>
            </w:r>
          </w:p>
        </w:tc>
      </w:tr>
      <w:tr>
        <w:tc>
          <w:tcPr>
            <w:tcW w:type="dxa" w:w="2448"/>
            <w:vAlign w:val="top"/>
          </w:tcPr>
          <w:p>
            <w:pPr>
              <w:spacing w:after="40"/>
            </w:pPr>
            <w:r>
              <w:rPr>
                <w:sz w:val="18"/>
              </w:rPr>
            </w:r>
            <w:r>
              <w:rPr>
                <w:b w:val="0"/>
                <w:sz w:val="18"/>
              </w:rPr>
              <w:t>system_settings</w:t>
            </w:r>
          </w:p>
        </w:tc>
        <w:tc>
          <w:tcPr>
            <w:tcW w:type="dxa" w:w="3744"/>
            <w:vAlign w:val="top"/>
          </w:tcPr>
          <w:p>
            <w:pPr>
              <w:spacing w:after="40"/>
            </w:pPr>
            <w:r>
              <w:rPr>
                <w:sz w:val="18"/>
              </w:rPr>
            </w:r>
            <w:r>
              <w:rPr>
                <w:b w:val="0"/>
                <w:sz w:val="18"/>
              </w:rPr>
              <w:t>Configuración operativa.</w:t>
            </w:r>
          </w:p>
        </w:tc>
        <w:tc>
          <w:tcPr>
            <w:tcW w:type="dxa" w:w="4464"/>
            <w:vAlign w:val="top"/>
          </w:tcPr>
          <w:p>
            <w:pPr>
              <w:spacing w:after="40"/>
            </w:pPr>
            <w:r>
              <w:rPr>
                <w:sz w:val="18"/>
              </w:rPr>
            </w:r>
            <w:r>
              <w:rPr>
                <w:b w:val="0"/>
                <w:sz w:val="18"/>
              </w:rPr>
              <w:t>key, value, updated_at</w:t>
            </w:r>
          </w:p>
        </w:tc>
      </w:tr>
    </w:tbl>
    <w:p>
      <w:pPr/>
      <w:r>
        <w:t>La columna geom (geography(Point,4326)) almacena el epicentro como punto geográfico e incorpora un índice espacial GiST. Esto permite resolver filtros por región (bounding box) y consultas de proximidad sin recorrer linealmente las columnas latitude/longitude. Se complementa con un índice por event_time_utc para las consultas temporales del mapa.</w:t>
      </w:r>
    </w:p>
    <w:p>
      <w:pPr>
        <w:pStyle w:val="CodeBlock"/>
      </w:pPr>
      <w:r>
        <w:t>-- Extensión geoespacial y geometría del evento</w:t>
        <w:br/>
        <w:t>CREATE EXTENSION IF NOT EXISTS postgis;</w:t>
        <w:br/>
        <w:t>ALTER TABLE seismic_events</w:t>
        <w:br/>
        <w:t xml:space="preserve">  ADD COLUMN geom geography(Point,4326);</w:t>
        <w:br/>
        <w:t>CREATE INDEX idx_events_geom ON seismic_events USING GIST (geom);</w:t>
        <w:br/>
        <w:t>CREATE INDEX idx_events_time ON seismic_events (event_time_utc);</w:t>
        <w:br/>
        <w:br/>
        <w:t>-- Consulta por proximidad (eventos a &lt; radius_m metros de un punto)</w:t>
        <w:br/>
        <w:t>SELECT * FROM seismic_events</w:t>
        <w:br/>
        <w:t>WHERE ST_DWithin(geom, ST_MakePoint(:lon,:lat)::geography, :radius_m)</w:t>
        <w:br/>
        <w:t>ORDER BY event_time_utc DESC;</w:t>
      </w:r>
    </w:p>
    <w:p>
      <w:pPr>
        <w:pStyle w:val="Heading2"/>
      </w:pPr>
      <w:r>
        <w:t>6.1 Deduplicación entre fuentes</w:t>
      </w:r>
    </w:p>
    <w:p>
      <w:pPr/>
      <w:r>
        <w:t>Un mismo sismo aparece en USGS y EMSC con magnitud, coordenadas y hora ligeramente distintas. Se consideran el mismo evento cuando coinciden dentro de los umbrales: diferencia temporal ≤ 60 s, distancia entre epicentros &lt; 100 km y diferencia de magnitud &lt; 0.5. Al detectar una coincidencia se conserva un único registro lógico y se elige una fuente preferida para mostrar (por defecto USGS), manteniendo en event_source_refs la referencia original de cada proveedor para trazabilidad.</w:t>
      </w:r>
    </w:p>
    <w:p>
      <w:pPr>
        <w:pStyle w:val="CodeBlock"/>
      </w:pPr>
      <w:r>
        <w:t>-- Detección de candidatos duplicados (PostGIS)</w:t>
        <w:br/>
        <w:t>SELECT a.event_id, b.event_id</w:t>
        <w:br/>
        <w:t>FROM seismic_events a JOIN seismic_events b</w:t>
        <w:br/>
        <w:t xml:space="preserve">  ON a.event_id &lt; b.event_id</w:t>
        <w:br/>
        <w:t xml:space="preserve"> AND ST_DWithin(a.geom, b.geom, 100000)            -- &lt; 100 km</w:t>
        <w:br/>
        <w:t xml:space="preserve"> AND ABS(EXTRACT(EPOCH FROM a.event_time_utc - b.event_time_utc)) &lt;= 60</w:t>
        <w:br/>
        <w:t xml:space="preserve"> AND ABS(a.magnitude - b.magnitude) &lt; 0.5;</w:t>
      </w:r>
    </w:p>
    <w:p>
      <w:pPr>
        <w:spacing w:after="120" w:line="259" w:lineRule="auto"/>
      </w:pPr>
    </w:p>
    <w:p>
      <w:pPr>
        <w:pStyle w:val="Heading1"/>
        <w:spacing w:after="120" w:line="259" w:lineRule="auto"/>
      </w:pPr>
      <w:r>
        <w:t>7. API y contratos funcionales</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fill="D9EAF7"/>
            <w:vAlign w:val="top"/>
          </w:tcPr>
          <w:p>
            <w:pPr>
              <w:spacing w:after="40"/>
            </w:pPr>
            <w:r>
              <w:rPr>
                <w:sz w:val="18"/>
              </w:rPr>
            </w:r>
            <w:r>
              <w:rPr>
                <w:b/>
                <w:sz w:val="18"/>
              </w:rPr>
              <w:t>Endpoint</w:t>
            </w:r>
          </w:p>
        </w:tc>
        <w:tc>
          <w:tcPr>
            <w:tcW w:type="dxa" w:w="1584"/>
            <w:shd w:fill="D9EAF7"/>
            <w:vAlign w:val="top"/>
          </w:tcPr>
          <w:p>
            <w:pPr>
              <w:spacing w:after="40"/>
            </w:pPr>
            <w:r>
              <w:rPr>
                <w:sz w:val="18"/>
              </w:rPr>
            </w:r>
            <w:r>
              <w:rPr>
                <w:b/>
                <w:sz w:val="18"/>
              </w:rPr>
              <w:t>Método</w:t>
            </w:r>
          </w:p>
        </w:tc>
        <w:tc>
          <w:tcPr>
            <w:tcW w:type="dxa" w:w="5904"/>
            <w:shd w:fill="D9EAF7"/>
            <w:vAlign w:val="top"/>
          </w:tcPr>
          <w:p>
            <w:pPr>
              <w:spacing w:after="40"/>
            </w:pPr>
            <w:r>
              <w:rPr>
                <w:sz w:val="18"/>
              </w:rPr>
            </w:r>
            <w:r>
              <w:rPr>
                <w:b/>
                <w:sz w:val="18"/>
              </w:rPr>
              <w:t>Uso</w:t>
            </w:r>
          </w:p>
        </w:tc>
      </w:tr>
      <w:tr>
        <w:tc>
          <w:tcPr>
            <w:tcW w:type="dxa" w:w="3168"/>
            <w:vAlign w:val="top"/>
          </w:tcPr>
          <w:p>
            <w:pPr>
              <w:spacing w:after="40"/>
            </w:pPr>
            <w:r>
              <w:rPr>
                <w:sz w:val="18"/>
              </w:rPr>
            </w:r>
            <w:r>
              <w:rPr>
                <w:b w:val="0"/>
                <w:sz w:val="18"/>
              </w:rPr>
              <w:t>/api/health</w:t>
            </w:r>
          </w:p>
        </w:tc>
        <w:tc>
          <w:tcPr>
            <w:tcW w:type="dxa" w:w="1584"/>
            <w:vAlign w:val="top"/>
          </w:tcPr>
          <w:p>
            <w:pPr>
              <w:spacing w:after="40"/>
            </w:pPr>
            <w:r>
              <w:rPr>
                <w:sz w:val="18"/>
              </w:rPr>
            </w:r>
            <w:r>
              <w:rPr>
                <w:b w:val="0"/>
                <w:sz w:val="18"/>
              </w:rPr>
              <w:t>GET</w:t>
            </w:r>
          </w:p>
        </w:tc>
        <w:tc>
          <w:tcPr>
            <w:tcW w:type="dxa" w:w="5904"/>
            <w:vAlign w:val="top"/>
          </w:tcPr>
          <w:p>
            <w:pPr>
              <w:spacing w:after="40"/>
            </w:pPr>
            <w:r>
              <w:rPr>
                <w:sz w:val="18"/>
              </w:rPr>
            </w:r>
            <w:r>
              <w:rPr>
                <w:b w:val="0"/>
                <w:sz w:val="18"/>
              </w:rPr>
              <w:t>Estado de salud de la API.</w:t>
            </w:r>
          </w:p>
        </w:tc>
      </w:tr>
      <w:tr>
        <w:tc>
          <w:tcPr>
            <w:tcW w:type="dxa" w:w="3168"/>
            <w:vAlign w:val="top"/>
          </w:tcPr>
          <w:p>
            <w:pPr>
              <w:spacing w:after="40"/>
            </w:pPr>
            <w:r>
              <w:rPr>
                <w:sz w:val="18"/>
              </w:rPr>
            </w:r>
            <w:r>
              <w:rPr>
                <w:b w:val="0"/>
                <w:sz w:val="18"/>
              </w:rPr>
              <w:t>/api/events</w:t>
            </w:r>
          </w:p>
        </w:tc>
        <w:tc>
          <w:tcPr>
            <w:tcW w:type="dxa" w:w="1584"/>
            <w:vAlign w:val="top"/>
          </w:tcPr>
          <w:p>
            <w:pPr>
              <w:spacing w:after="40"/>
            </w:pPr>
            <w:r>
              <w:rPr>
                <w:sz w:val="18"/>
              </w:rPr>
            </w:r>
            <w:r>
              <w:rPr>
                <w:b w:val="0"/>
                <w:sz w:val="18"/>
              </w:rPr>
              <w:t>GET</w:t>
            </w:r>
          </w:p>
        </w:tc>
        <w:tc>
          <w:tcPr>
            <w:tcW w:type="dxa" w:w="5904"/>
            <w:vAlign w:val="top"/>
          </w:tcPr>
          <w:p>
            <w:pPr>
              <w:spacing w:after="40"/>
            </w:pPr>
            <w:r>
              <w:rPr>
                <w:sz w:val="18"/>
              </w:rPr>
              <w:t>Listado de eventos con filtros por magnitud, fecha, fuente y región (bounding box resuelto con PostGIS).</w:t>
            </w:r>
            <w:r>
              <w:rPr>
                <w:b w:val="0"/>
                <w:sz w:val="18"/>
              </w:rPr>
            </w:r>
          </w:p>
        </w:tc>
      </w:tr>
      <w:tr>
        <w:tc>
          <w:tcPr>
            <w:tcW w:type="dxa" w:w="3168"/>
            <w:vAlign w:val="top"/>
          </w:tcPr>
          <w:p>
            <w:pPr>
              <w:spacing w:after="40"/>
            </w:pPr>
            <w:r>
              <w:rPr>
                <w:sz w:val="18"/>
              </w:rPr>
            </w:r>
            <w:r>
              <w:rPr>
                <w:b w:val="0"/>
                <w:sz w:val="18"/>
              </w:rPr>
              <w:t>/api/events/{eventId}</w:t>
            </w:r>
          </w:p>
        </w:tc>
        <w:tc>
          <w:tcPr>
            <w:tcW w:type="dxa" w:w="1584"/>
            <w:vAlign w:val="top"/>
          </w:tcPr>
          <w:p>
            <w:pPr>
              <w:spacing w:after="40"/>
            </w:pPr>
            <w:r>
              <w:rPr>
                <w:sz w:val="18"/>
              </w:rPr>
            </w:r>
            <w:r>
              <w:rPr>
                <w:b w:val="0"/>
                <w:sz w:val="18"/>
              </w:rPr>
              <w:t>GET</w:t>
            </w:r>
          </w:p>
        </w:tc>
        <w:tc>
          <w:tcPr>
            <w:tcW w:type="dxa" w:w="5904"/>
            <w:vAlign w:val="top"/>
          </w:tcPr>
          <w:p>
            <w:pPr>
              <w:spacing w:after="40"/>
            </w:pPr>
            <w:r>
              <w:rPr>
                <w:sz w:val="18"/>
              </w:rPr>
            </w:r>
            <w:r>
              <w:rPr>
                <w:b w:val="0"/>
                <w:sz w:val="18"/>
              </w:rPr>
              <w:t>Detalle de un evento con trazabilidad.</w:t>
            </w:r>
          </w:p>
        </w:tc>
      </w:tr>
      <w:tr>
        <w:tc>
          <w:tcPr>
            <w:tcW w:type="dxa" w:w="3168"/>
            <w:vAlign w:val="top"/>
          </w:tcPr>
          <w:p>
            <w:pPr>
              <w:spacing w:after="40"/>
            </w:pPr>
            <w:r>
              <w:rPr>
                <w:sz w:val="18"/>
              </w:rPr>
            </w:r>
            <w:r>
              <w:rPr>
                <w:b w:val="0"/>
                <w:sz w:val="18"/>
              </w:rPr>
              <w:t>/api/sources/status</w:t>
            </w:r>
          </w:p>
        </w:tc>
        <w:tc>
          <w:tcPr>
            <w:tcW w:type="dxa" w:w="1584"/>
            <w:vAlign w:val="top"/>
          </w:tcPr>
          <w:p>
            <w:pPr>
              <w:spacing w:after="40"/>
            </w:pPr>
            <w:r>
              <w:rPr>
                <w:sz w:val="18"/>
              </w:rPr>
            </w:r>
            <w:r>
              <w:rPr>
                <w:b w:val="0"/>
                <w:sz w:val="18"/>
              </w:rPr>
              <w:t>GET</w:t>
            </w:r>
          </w:p>
        </w:tc>
        <w:tc>
          <w:tcPr>
            <w:tcW w:type="dxa" w:w="5904"/>
            <w:vAlign w:val="top"/>
          </w:tcPr>
          <w:p>
            <w:pPr>
              <w:spacing w:after="40"/>
            </w:pPr>
            <w:r>
              <w:rPr>
                <w:sz w:val="18"/>
              </w:rPr>
            </w:r>
            <w:r>
              <w:rPr>
                <w:b w:val="0"/>
                <w:sz w:val="18"/>
              </w:rPr>
              <w:t>Estado de fuentes y última sincronización.</w:t>
            </w:r>
          </w:p>
        </w:tc>
      </w:tr>
      <w:tr>
        <w:tc>
          <w:tcPr>
            <w:tcW w:type="dxa" w:w="3168"/>
            <w:vAlign w:val="top"/>
          </w:tcPr>
          <w:p>
            <w:pPr>
              <w:spacing w:after="40"/>
            </w:pPr>
            <w:r>
              <w:rPr>
                <w:sz w:val="18"/>
              </w:rPr>
            </w:r>
            <w:r>
              <w:rPr>
                <w:b w:val="0"/>
                <w:sz w:val="18"/>
              </w:rPr>
              <w:t>/api/tsunami/active</w:t>
            </w:r>
          </w:p>
        </w:tc>
        <w:tc>
          <w:tcPr>
            <w:tcW w:type="dxa" w:w="1584"/>
            <w:vAlign w:val="top"/>
          </w:tcPr>
          <w:p>
            <w:pPr>
              <w:spacing w:after="40"/>
            </w:pPr>
            <w:r>
              <w:rPr>
                <w:sz w:val="18"/>
              </w:rPr>
            </w:r>
            <w:r>
              <w:rPr>
                <w:b w:val="0"/>
                <w:sz w:val="18"/>
              </w:rPr>
              <w:t>GET</w:t>
            </w:r>
          </w:p>
        </w:tc>
        <w:tc>
          <w:tcPr>
            <w:tcW w:type="dxa" w:w="5904"/>
            <w:vAlign w:val="top"/>
          </w:tcPr>
          <w:p>
            <w:pPr>
              <w:spacing w:after="40"/>
            </w:pPr>
            <w:r>
              <w:rPr>
                <w:sz w:val="18"/>
              </w:rPr>
            </w:r>
            <w:r>
              <w:rPr>
                <w:b w:val="0"/>
                <w:sz w:val="18"/>
              </w:rPr>
              <w:t>Productos activos o informativos de tsunami.</w:t>
            </w:r>
          </w:p>
        </w:tc>
      </w:tr>
      <w:tr>
        <w:tc>
          <w:tcPr>
            <w:tcW w:type="dxa" w:w="3264"/>
          </w:tcPr>
          <w:p>
            <w:r>
              <w:t>/api/stream</w:t>
            </w:r>
          </w:p>
        </w:tc>
        <w:tc>
          <w:tcPr>
            <w:tcW w:type="dxa" w:w="3264"/>
          </w:tcPr>
          <w:p>
            <w:r>
              <w:t>GET (SSE)</w:t>
            </w:r>
          </w:p>
        </w:tc>
        <w:tc>
          <w:tcPr>
            <w:tcW w:type="dxa" w:w="3264"/>
          </w:tcPr>
          <w:p>
            <w:r>
              <w:t>Canal en vivo que empuja al cliente los eventos nuevos a medida que el worker los ingiere.</w:t>
            </w:r>
          </w:p>
        </w:tc>
      </w:tr>
    </w:tbl>
    <w:p>
      <w:pPr>
        <w:spacing w:after="120" w:line="259" w:lineRule="auto"/>
      </w:pPr>
    </w:p>
    <w:p>
      <w:pPr>
        <w:pStyle w:val="Heading2"/>
        <w:spacing w:after="120" w:line="259" w:lineRule="auto"/>
      </w:pPr>
      <w:r>
        <w:t>7.1 Modelo TypeScript base</w:t>
      </w:r>
    </w:p>
    <w:p>
      <w:pPr>
        <w:pStyle w:val="CodeBlock"/>
        <w:spacing w:after="120" w:line="259" w:lineRule="auto"/>
      </w:pPr>
      <w:r>
        <w:t>type SeismicEvent = {</w:t>
        <w:br/>
        <w:t xml:space="preserve">  eventId: string;</w:t>
        <w:br/>
        <w:t xml:space="preserve">  source: 'USGS' | 'EMSC' | 'IGP' | 'FUNVISIS' | 'GEOFON' | 'GEONET' | 'BMKG' | 'JMA' | 'CWA';</w:t>
        <w:br/>
        <w:t xml:space="preserve">  sourceEventId?: string;</w:t>
        <w:br/>
        <w:t xml:space="preserve">  title: string;</w:t>
        <w:br/>
        <w:t xml:space="preserve">  magnitude: number | null;</w:t>
        <w:br/>
        <w:t xml:space="preserve">  latitude: number;</w:t>
        <w:br/>
        <w:t xml:space="preserve">  longitude: number;</w:t>
        <w:br/>
        <w:t xml:space="preserve">  depthKm: number | null;</w:t>
        <w:br/>
        <w:t xml:space="preserve">  eventTimeUtc: string;</w:t>
        <w:br/>
        <w:t xml:space="preserve">  updatedAtUtc?: string;</w:t>
        <w:br/>
        <w:t xml:space="preserve">  url?: string;</w:t>
        <w:br/>
        <w:t>};</w:t>
      </w:r>
    </w:p>
    <w:p>
      <w:pPr>
        <w:pStyle w:val="Heading1"/>
        <w:spacing w:after="120" w:line="259" w:lineRule="auto"/>
      </w:pPr>
      <w:r>
        <w:t>8. Entorno de ejecución en Windows y opción WSL2</w:t>
      </w:r>
    </w:p>
    <w:p>
      <w:pPr>
        <w:spacing w:after="120" w:line="259" w:lineRule="auto"/>
      </w:pPr>
      <w:r>
        <w:t>El entorno validado es Windows como sistema host con ejecución local de Node.js y PostgreSQL/PostGIS; Ubuntu en WSL2 se mantiene como alternativa Linux recomendada. Esta ruta permite ejecutar Node.js, npm, PostgreSQL, Git y scripts de backend en un entorno similar al de producción.</w:t>
      </w:r>
    </w:p>
    <w:tbl>
      <w:tblPr>
        <w:tblStyle w:val="TableGrid"/>
        <w:tblW w:type="auto" w:w="0"/>
        <w:jc w:val="center"/>
        <w:tblLook w:firstColumn="1" w:firstRow="1" w:lastColumn="0" w:lastRow="0" w:noHBand="0" w:noVBand="1" w:val="04A0"/>
      </w:tblPr>
      <w:tblGrid>
        <w:gridCol w:w="4896"/>
        <w:gridCol w:w="4896"/>
      </w:tblGrid>
      <w:tr>
        <w:tc>
          <w:tcPr>
            <w:tcW w:type="dxa" w:w="3312"/>
            <w:shd w:fill="D9EAF7"/>
            <w:vAlign w:val="top"/>
          </w:tcPr>
          <w:p>
            <w:pPr>
              <w:spacing w:after="40"/>
            </w:pPr>
            <w:r>
              <w:rPr>
                <w:sz w:val="18"/>
              </w:rPr>
            </w:r>
            <w:r>
              <w:rPr>
                <w:b/>
                <w:sz w:val="18"/>
              </w:rPr>
              <w:t>Revisión local</w:t>
            </w:r>
          </w:p>
        </w:tc>
        <w:tc>
          <w:tcPr>
            <w:tcW w:type="dxa" w:w="7344"/>
            <w:shd w:fill="D9EAF7"/>
            <w:vAlign w:val="top"/>
          </w:tcPr>
          <w:p>
            <w:pPr>
              <w:spacing w:after="40"/>
            </w:pPr>
            <w:r>
              <w:rPr>
                <w:sz w:val="18"/>
              </w:rPr>
            </w:r>
            <w:r>
              <w:rPr>
                <w:b/>
                <w:sz w:val="18"/>
              </w:rPr>
              <w:t>Resultado</w:t>
            </w:r>
          </w:p>
        </w:tc>
      </w:tr>
      <w:tr>
        <w:tc>
          <w:tcPr>
            <w:tcW w:type="dxa" w:w="3312"/>
            <w:vAlign w:val="top"/>
          </w:tcPr>
          <w:p>
            <w:pPr>
              <w:spacing w:after="40"/>
            </w:pPr>
            <w:r>
              <w:rPr>
                <w:sz w:val="18"/>
              </w:rPr>
            </w:r>
            <w:r>
              <w:rPr>
                <w:b w:val="0"/>
                <w:sz w:val="18"/>
              </w:rPr>
              <w:t>WSL disponible</w:t>
            </w:r>
          </w:p>
        </w:tc>
        <w:tc>
          <w:tcPr>
            <w:tcW w:type="dxa" w:w="7344"/>
            <w:vAlign w:val="top"/>
          </w:tcPr>
          <w:p>
            <w:pPr>
              <w:spacing w:after="40"/>
            </w:pPr>
            <w:r>
              <w:rPr>
                <w:sz w:val="18"/>
              </w:rPr>
            </w:r>
            <w:r>
              <w:rPr>
                <w:b w:val="0"/>
                <w:sz w:val="18"/>
              </w:rPr>
              <w:t>Sí. Se detectó wsl.exe en Windows.</w:t>
            </w:r>
          </w:p>
        </w:tc>
      </w:tr>
      <w:tr>
        <w:tc>
          <w:tcPr>
            <w:tcW w:type="dxa" w:w="3312"/>
            <w:vAlign w:val="top"/>
          </w:tcPr>
          <w:p>
            <w:pPr>
              <w:spacing w:after="40"/>
            </w:pPr>
            <w:r>
              <w:rPr>
                <w:sz w:val="18"/>
              </w:rPr>
            </w:r>
            <w:r>
              <w:rPr>
                <w:b w:val="0"/>
                <w:sz w:val="18"/>
              </w:rPr>
              <w:t>Versión WSL</w:t>
            </w:r>
          </w:p>
        </w:tc>
        <w:tc>
          <w:tcPr>
            <w:tcW w:type="dxa" w:w="7344"/>
            <w:vAlign w:val="top"/>
          </w:tcPr>
          <w:p>
            <w:pPr>
              <w:spacing w:after="40"/>
            </w:pPr>
            <w:r>
              <w:rPr>
                <w:sz w:val="18"/>
              </w:rPr>
            </w:r>
            <w:r>
              <w:rPr>
                <w:b w:val="0"/>
                <w:sz w:val="18"/>
              </w:rPr>
              <w:t>2.7.8.0</w:t>
            </w:r>
          </w:p>
        </w:tc>
      </w:tr>
      <w:tr>
        <w:tc>
          <w:tcPr>
            <w:tcW w:type="dxa" w:w="3312"/>
            <w:vAlign w:val="top"/>
          </w:tcPr>
          <w:p>
            <w:pPr>
              <w:spacing w:after="40"/>
            </w:pPr>
            <w:r>
              <w:rPr>
                <w:sz w:val="18"/>
              </w:rPr>
            </w:r>
            <w:r>
              <w:rPr>
                <w:b w:val="0"/>
                <w:sz w:val="18"/>
              </w:rPr>
              <w:t>Kernel WSL</w:t>
            </w:r>
          </w:p>
        </w:tc>
        <w:tc>
          <w:tcPr>
            <w:tcW w:type="dxa" w:w="7344"/>
            <w:vAlign w:val="top"/>
          </w:tcPr>
          <w:p>
            <w:pPr>
              <w:spacing w:after="40"/>
            </w:pPr>
            <w:r>
              <w:rPr>
                <w:sz w:val="18"/>
              </w:rPr>
            </w:r>
            <w:r>
              <w:rPr>
                <w:b w:val="0"/>
                <w:sz w:val="18"/>
              </w:rPr>
              <w:t>6.18.33.1-1</w:t>
            </w:r>
          </w:p>
        </w:tc>
      </w:tr>
      <w:tr>
        <w:tc>
          <w:tcPr>
            <w:tcW w:type="dxa" w:w="3312"/>
            <w:vAlign w:val="top"/>
          </w:tcPr>
          <w:p>
            <w:pPr>
              <w:spacing w:after="40"/>
            </w:pPr>
            <w:r>
              <w:rPr>
                <w:sz w:val="18"/>
              </w:rPr>
            </w:r>
            <w:r>
              <w:rPr>
                <w:b w:val="0"/>
                <w:sz w:val="18"/>
              </w:rPr>
              <w:t>Distribuciones instaladas</w:t>
            </w:r>
          </w:p>
        </w:tc>
        <w:tc>
          <w:tcPr>
            <w:tcW w:type="dxa" w:w="7344"/>
            <w:vAlign w:val="top"/>
          </w:tcPr>
          <w:p>
            <w:pPr>
              <w:spacing w:after="40"/>
            </w:pPr>
            <w:r>
              <w:rPr>
                <w:sz w:val="18"/>
              </w:rPr>
            </w:r>
            <w:r>
              <w:rPr>
                <w:b w:val="0"/>
                <w:sz w:val="18"/>
              </w:rPr>
              <w:t>No hay distribución Linux instalada todavía.</w:t>
            </w:r>
          </w:p>
        </w:tc>
      </w:tr>
      <w:tr>
        <w:tc>
          <w:tcPr>
            <w:tcW w:type="dxa" w:w="3312"/>
            <w:vAlign w:val="top"/>
          </w:tcPr>
          <w:p>
            <w:pPr>
              <w:spacing w:after="40"/>
            </w:pPr>
            <w:r>
              <w:rPr>
                <w:sz w:val="18"/>
              </w:rPr>
            </w:r>
            <w:r>
              <w:rPr>
                <w:b w:val="0"/>
                <w:sz w:val="18"/>
              </w:rPr>
              <w:t>Distribución recomendada</w:t>
            </w:r>
          </w:p>
        </w:tc>
        <w:tc>
          <w:tcPr>
            <w:tcW w:type="dxa" w:w="7344"/>
            <w:vAlign w:val="top"/>
          </w:tcPr>
          <w:p>
            <w:pPr>
              <w:spacing w:after="40"/>
            </w:pPr>
            <w:r>
              <w:rPr>
                <w:sz w:val="18"/>
              </w:rPr>
            </w:r>
            <w:r>
              <w:rPr>
                <w:b w:val="0"/>
                <w:sz w:val="18"/>
              </w:rPr>
              <w:t>Ubuntu 24.04 LTS.</w:t>
            </w:r>
          </w:p>
        </w:tc>
      </w:tr>
    </w:tbl>
    <w:p>
      <w:pPr>
        <w:spacing w:after="120" w:line="259" w:lineRule="auto"/>
      </w:pPr>
    </w:p>
    <w:p>
      <w:pPr>
        <w:pStyle w:val="Heading2"/>
        <w:spacing w:after="120" w:line="259" w:lineRule="auto"/>
      </w:pPr>
      <w:r>
        <w:t>8.1 Instalación recomendada</w:t>
      </w:r>
    </w:p>
    <w:p>
      <w:pPr>
        <w:pStyle w:val="CodeBlock"/>
        <w:spacing w:after="120" w:line="259" w:lineRule="auto"/>
      </w:pPr>
      <w:r>
        <w:t>wsl --list --online</w:t>
        <w:br/>
        <w:t>wsl --install -d Ubuntu-24.04</w:t>
        <w:br/>
        <w:t>wsl -l -v</w:t>
        <w:br/>
        <w:t>wsl --set-default-version 2</w:t>
      </w:r>
    </w:p>
    <w:p>
      <w:pPr>
        <w:pStyle w:val="Heading2"/>
        <w:spacing w:after="120" w:line="259" w:lineRule="auto"/>
      </w:pPr>
      <w:r>
        <w:t>8.2 Preparación dentro de Ubuntu WSL2</w:t>
      </w:r>
    </w:p>
    <w:p>
      <w:pPr>
        <w:pStyle w:val="CodeBlock"/>
        <w:spacing w:after="120" w:line="259" w:lineRule="auto"/>
      </w:pPr>
      <w:r>
        <w:t>sudo apt update</w:t>
        <w:br/>
        <w:t>sudo apt upgrade -y</w:t>
        <w:br/>
        <w:t>sudo apt install -y git curl build-essential ca-certificates postgresql postgresql-contrib postgis</w:t>
        <w:br/>
        <w:t>sudo service postgresql start</w:t>
        <w:br/>
        <w:t>psql --version</w:t>
      </w:r>
    </w:p>
    <w:p>
      <w:pPr>
        <w:pStyle w:val="CodeBlock"/>
        <w:spacing w:after="120" w:line="259" w:lineRule="auto"/>
      </w:pPr>
      <w:r>
        <w:t>curl -o- https://raw.githubusercontent.com/nvm-sh/nvm/v0.40.3/install.sh | bash</w:t>
        <w:br/>
        <w:t>source ~/.bashrc</w:t>
        <w:br/>
        <w:t>nvm install --lts</w:t>
        <w:br/>
        <w:t>node --version</w:t>
        <w:br/>
        <w:t>npm --version</w:t>
      </w:r>
    </w:p>
    <w:p>
      <w:pPr>
        <w:spacing w:after="120" w:line="259" w:lineRule="auto"/>
      </w:pPr>
      <w:r>
        <w:t>El código fuente de la plataforma debe ubicarse preferentemente dentro de /home/&lt;usuario&gt;/proyecto-sismico, no en rutas montadas como /mnt/c o /mnt/e, para mejorar rendimiento con Node.js y npm.</w:t>
      </w:r>
    </w:p>
    <w:p>
      <w:pPr>
        <w:pStyle w:val="Heading2"/>
      </w:pPr>
      <w:r>
        <w:t>8.3 Entorno reproducible con Docker Compose</w:t>
      </w:r>
    </w:p>
    <w:p>
      <w:pPr/>
      <w:r>
        <w:t>Como alternativa a la instalación nativa y para garantizar paridad dev/prod, el entorno puede levantarse con Docker Compose. La imagen oficial postgis/postgis ya incluye la extensión, y un único 'docker compose up -d' deja disponibles base de datos, API y worker.</w:t>
      </w:r>
    </w:p>
    <w:p>
      <w:pPr>
        <w:pStyle w:val="CodeBlock"/>
      </w:pPr>
      <w:r>
        <w:t># docker-compose.yml</w:t>
        <w:br/>
        <w:t>services:</w:t>
        <w:br/>
        <w:t xml:space="preserve">  db:</w:t>
        <w:br/>
        <w:t xml:space="preserve">    image: postgis/postgis:16-3.4</w:t>
        <w:br/>
        <w:t xml:space="preserve">    environment:</w:t>
        <w:br/>
        <w:t xml:space="preserve">      POSTGRES_DB: sismos</w:t>
        <w:br/>
        <w:t xml:space="preserve">      POSTGRES_USER: app</w:t>
        <w:br/>
        <w:t xml:space="preserve">      POSTGRES_PASSWORD: app</w:t>
        <w:br/>
        <w:t xml:space="preserve">    ports: ["5432:5432"]</w:t>
        <w:br/>
        <w:t xml:space="preserve">    volumes: ["dbdata:/var/lib/postgresql/data"]</w:t>
        <w:br/>
        <w:t xml:space="preserve">  api:</w:t>
        <w:br/>
        <w:t xml:space="preserve">    build: .</w:t>
        <w:br/>
        <w:t xml:space="preserve">    command: npm run start:api</w:t>
        <w:br/>
        <w:t xml:space="preserve">    env_file: .env</w:t>
        <w:br/>
        <w:t xml:space="preserve">    depends_on: [db]</w:t>
        <w:br/>
        <w:t xml:space="preserve">    ports: ["3000:3000"]</w:t>
        <w:br/>
        <w:t xml:space="preserve">  worker:</w:t>
        <w:br/>
        <w:t xml:space="preserve">    build: .</w:t>
        <w:br/>
        <w:t xml:space="preserve">    command: npm run start:worker</w:t>
        <w:br/>
        <w:t xml:space="preserve">    env_file: .env</w:t>
        <w:br/>
        <w:t xml:space="preserve">    depends_on: [db]</w:t>
        <w:br/>
        <w:t>volumes:</w:t>
        <w:br/>
        <w:t xml:space="preserve">  dbdata:</w:t>
      </w:r>
    </w:p>
    <w:p>
      <w:pPr>
        <w:pStyle w:val="Heading1"/>
        <w:spacing w:after="120" w:line="259" w:lineRule="auto"/>
      </w:pPr>
      <w:r>
        <w:t>9. Estado de implementación y evolución</w:t>
      </w:r>
    </w:p>
    <w:p>
      <w:pPr>
        <w:pStyle w:val="ListNumber"/>
        <w:spacing w:after="120" w:line="259" w:lineRule="auto"/>
      </w:pPr>
      <w:r>
        <w:t>Entorno local Windows con PostgreSQL/PostGIS operativo; WSL2 permanece como alternativa reproducible.</w:t>
      </w:r>
    </w:p>
    <w:p>
      <w:pPr>
        <w:pStyle w:val="ListNumber"/>
        <w:spacing w:after="120" w:line="259" w:lineRule="auto"/>
      </w:pPr>
      <w:r>
        <w:t>Monorepo TypeScript organizado en aplicaciones API, web y worker, con contratos compartidos.</w:t>
      </w:r>
    </w:p>
    <w:p>
      <w:pPr>
        <w:pStyle w:val="ListNumber"/>
        <w:spacing w:after="120" w:line="259" w:lineRule="auto"/>
      </w:pPr>
      <w:r>
        <w:t>Globo 3D CesiumJS, feed global, filtros, detalle técnico y estado de fuentes implementados.</w:t>
      </w:r>
    </w:p>
    <w:p>
      <w:pPr>
        <w:pStyle w:val="ListNumber"/>
        <w:spacing w:after="120" w:line="259" w:lineRule="auto"/>
      </w:pPr>
      <w:r>
        <w:t>API REST, SSE, persistencia PostgreSQL/PostGIS y caché de consultas implementados.</w:t>
      </w:r>
    </w:p>
    <w:p>
      <w:pPr>
        <w:pStyle w:val="ListNumber"/>
        <w:spacing w:after="120" w:line="259" w:lineRule="auto"/>
      </w:pPr>
      <w:r>
        <w:t>Worker multifuente con auditoría, aislamiento de fallas y deduplicación implementado.</w:t>
      </w:r>
    </w:p>
    <w:p>
      <w:pPr>
        <w:pStyle w:val="ListNumber"/>
      </w:pPr>
      <w:r>
        <w:t>USGS, EMSC, IGP/CENSIS, FUNVISIS, GEOFON, GeoNet, BMKG, JMA, CWA, GDACS y NOAA operativos.</w:t>
      </w:r>
    </w:p>
    <w:p>
      <w:pPr>
        <w:pStyle w:val="ListNumber"/>
        <w:spacing w:after="120" w:line="259" w:lineRule="auto"/>
      </w:pPr>
      <w:r>
        <w:t>DHN/CNAT, SGC, CSN e ISC condicionados a contratos adecuados para el flujo en vivo.</w:t>
      </w:r>
    </w:p>
    <w:p>
      <w:pPr>
        <w:pStyle w:val="ListNumber"/>
        <w:spacing w:after="120" w:line="259" w:lineRule="auto"/>
      </w:pPr>
      <w:r>
        <w:t>Pendiente para producción: servidor público, HTTPS, observabilidad, respaldos y pruebas de carga.</w:t>
      </w:r>
    </w:p>
    <w:p>
      <w:pPr>
        <w:pStyle w:val="Heading1"/>
        <w:spacing w:after="120" w:line="259" w:lineRule="auto"/>
      </w:pPr>
      <w:r>
        <w:t>10. Seguridad y operación</w:t>
      </w:r>
    </w:p>
    <w:p>
      <w:pPr>
        <w:pStyle w:val="ListBullet"/>
        <w:spacing w:after="120" w:line="259" w:lineRule="auto"/>
      </w:pPr>
      <w:r>
        <w:t>Mantener variables de entorno en archivos .env no versionados.</w:t>
      </w:r>
    </w:p>
    <w:p>
      <w:pPr>
        <w:pStyle w:val="ListBullet"/>
        <w:spacing w:after="120" w:line="259" w:lineRule="auto"/>
      </w:pPr>
      <w:r>
        <w:t>No almacenar datos personales en esta etapa.</w:t>
      </w:r>
    </w:p>
    <w:p>
      <w:pPr>
        <w:pStyle w:val="ListBullet"/>
        <w:spacing w:after="120" w:line="259" w:lineRule="auto"/>
      </w:pPr>
      <w:r>
        <w:t>Aplicar validación de parámetros en endpoints.</w:t>
      </w:r>
    </w:p>
    <w:p>
      <w:pPr>
        <w:pStyle w:val="ListBullet"/>
        <w:spacing w:after="120" w:line="259" w:lineRule="auto"/>
      </w:pPr>
      <w:r>
        <w:t>Registrar errores técnicos sin exponer detalles sensibles al usuario final.</w:t>
      </w:r>
    </w:p>
    <w:p>
      <w:pPr>
        <w:pStyle w:val="ListBullet"/>
        <w:spacing w:after="120" w:line="259" w:lineRule="auto"/>
      </w:pPr>
      <w:r>
        <w:t>Preparar backups de PostgreSQL (pg_dump) antes de pruebas destructivas.</w:t>
      </w:r>
    </w:p>
    <w:p>
      <w:pPr>
        <w:pStyle w:val="ListBullet"/>
        <w:spacing w:after="120" w:line="259" w:lineRule="auto"/>
      </w:pPr>
      <w:r>
        <w:t>Considerar VPS Linux o cloud para producción futura; WSL2 no es entorno público final.</w:t>
      </w:r>
    </w:p>
    <w:p>
      <w:pPr>
        <w:pStyle w:val="ListBullet"/>
      </w:pPr>
      <w:r>
        <w:t>Caché de la etapa 1: TTL en memoria del backend para consultas frecuentes; sin Redis (PostgreSQL es el almacén persistente).</w:t>
      </w:r>
    </w:p>
    <w:p>
      <w:pPr>
        <w:pStyle w:val="Heading1"/>
        <w:spacing w:after="120" w:line="259" w:lineRule="auto"/>
      </w:pPr>
      <w:r>
        <w:t>11. Validación técnica</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spacing w:after="40"/>
            </w:pPr>
            <w:r>
              <w:rPr>
                <w:sz w:val="18"/>
              </w:rPr>
            </w:r>
            <w:r>
              <w:rPr>
                <w:b/>
                <w:sz w:val="18"/>
              </w:rPr>
              <w:t>Validación</w:t>
            </w:r>
          </w:p>
        </w:tc>
        <w:tc>
          <w:tcPr>
            <w:tcW w:type="dxa" w:w="7776"/>
            <w:shd w:fill="D9EAF7"/>
            <w:vAlign w:val="top"/>
          </w:tcPr>
          <w:p>
            <w:pPr>
              <w:spacing w:after="40"/>
            </w:pPr>
            <w:r>
              <w:rPr>
                <w:sz w:val="18"/>
              </w:rPr>
            </w:r>
            <w:r>
              <w:rPr>
                <w:b/>
                <w:sz w:val="18"/>
              </w:rPr>
              <w:t>Criterio de aceptación</w:t>
            </w:r>
          </w:p>
        </w:tc>
      </w:tr>
      <w:tr>
        <w:tc>
          <w:tcPr>
            <w:tcW w:type="dxa" w:w="2880"/>
            <w:vAlign w:val="top"/>
          </w:tcPr>
          <w:p>
            <w:pPr>
              <w:spacing w:after="40"/>
            </w:pPr>
            <w:r>
              <w:rPr>
                <w:sz w:val="18"/>
              </w:rPr>
            </w:r>
            <w:r>
              <w:rPr>
                <w:b w:val="0"/>
                <w:sz w:val="18"/>
              </w:rPr>
              <w:t>API</w:t>
            </w:r>
          </w:p>
        </w:tc>
        <w:tc>
          <w:tcPr>
            <w:tcW w:type="dxa" w:w="7776"/>
            <w:vAlign w:val="top"/>
          </w:tcPr>
          <w:p>
            <w:pPr>
              <w:spacing w:after="40"/>
            </w:pPr>
            <w:r>
              <w:rPr>
                <w:sz w:val="18"/>
              </w:rPr>
            </w:r>
            <w:r>
              <w:rPr>
                <w:b w:val="0"/>
                <w:sz w:val="18"/>
              </w:rPr>
              <w:t>Responde /api/health y endpoints principales con estructura documentada.</w:t>
            </w:r>
          </w:p>
        </w:tc>
      </w:tr>
      <w:tr>
        <w:tc>
          <w:tcPr>
            <w:tcW w:type="dxa" w:w="2880"/>
            <w:vAlign w:val="top"/>
          </w:tcPr>
          <w:p>
            <w:pPr>
              <w:spacing w:after="40"/>
            </w:pPr>
            <w:r>
              <w:rPr>
                <w:sz w:val="18"/>
              </w:rPr>
            </w:r>
            <w:r>
              <w:rPr>
                <w:b w:val="0"/>
                <w:sz w:val="18"/>
              </w:rPr>
              <w:t>Worker</w:t>
            </w:r>
          </w:p>
        </w:tc>
        <w:tc>
          <w:tcPr>
            <w:tcW w:type="dxa" w:w="7776"/>
            <w:vAlign w:val="top"/>
          </w:tcPr>
          <w:p>
            <w:pPr>
              <w:spacing w:after="40"/>
            </w:pPr>
            <w:r>
              <w:rPr>
                <w:sz w:val="18"/>
              </w:rPr>
            </w:r>
            <w:r>
              <w:rPr>
                <w:b w:val="0"/>
                <w:sz w:val="18"/>
              </w:rPr>
              <w:t>Ejecuta ingesta, guarda eventos y registra errores.</w:t>
            </w:r>
          </w:p>
        </w:tc>
      </w:tr>
      <w:tr>
        <w:tc>
          <w:tcPr>
            <w:tcW w:type="dxa" w:w="2880"/>
            <w:vAlign w:val="top"/>
          </w:tcPr>
          <w:p>
            <w:pPr>
              <w:spacing w:after="40"/>
            </w:pPr>
            <w:r>
              <w:rPr>
                <w:sz w:val="18"/>
              </w:rPr>
              <w:t>PostgreSQL + PostGIS</w:t>
            </w:r>
            <w:r>
              <w:rPr>
                <w:b w:val="0"/>
                <w:sz w:val="18"/>
              </w:rPr>
            </w:r>
          </w:p>
        </w:tc>
        <w:tc>
          <w:tcPr>
            <w:tcW w:type="dxa" w:w="7776"/>
            <w:vAlign w:val="top"/>
          </w:tcPr>
          <w:p>
            <w:pPr>
              <w:spacing w:after="40"/>
            </w:pPr>
            <w:r>
              <w:rPr>
                <w:sz w:val="18"/>
              </w:rPr>
              <w:t>Persistencia con tablas, índice espacial GiST y consultas por región funcionando.</w:t>
            </w:r>
            <w:r>
              <w:rPr>
                <w:b w:val="0"/>
                <w:sz w:val="18"/>
              </w:rPr>
            </w:r>
          </w:p>
        </w:tc>
      </w:tr>
      <w:tr>
        <w:tc>
          <w:tcPr>
            <w:tcW w:type="dxa" w:w="2880"/>
            <w:vAlign w:val="top"/>
          </w:tcPr>
          <w:p>
            <w:pPr>
              <w:spacing w:after="40"/>
            </w:pPr>
            <w:r>
              <w:rPr>
                <w:sz w:val="18"/>
              </w:rPr>
            </w:r>
            <w:r>
              <w:rPr>
                <w:b w:val="0"/>
                <w:sz w:val="18"/>
              </w:rPr>
              <w:t>Mapa</w:t>
            </w:r>
          </w:p>
        </w:tc>
        <w:tc>
          <w:tcPr>
            <w:tcW w:type="dxa" w:w="7776"/>
            <w:vAlign w:val="top"/>
          </w:tcPr>
          <w:p>
            <w:pPr>
              <w:spacing w:after="40"/>
            </w:pPr>
            <w:r>
              <w:rPr>
                <w:sz w:val="18"/>
              </w:rPr>
            </w:r>
            <w:r>
              <w:rPr>
                <w:b w:val="0"/>
                <w:sz w:val="18"/>
              </w:rPr>
              <w:t>Renderiza eventos y permite filtros principales.</w:t>
            </w:r>
          </w:p>
        </w:tc>
      </w:tr>
      <w:tr>
        <w:tc>
          <w:tcPr>
            <w:tcW w:type="dxa" w:w="2880"/>
            <w:vAlign w:val="top"/>
          </w:tcPr>
          <w:p>
            <w:pPr>
              <w:spacing w:after="40"/>
            </w:pPr>
            <w:r>
              <w:rPr>
                <w:sz w:val="18"/>
              </w:rPr>
            </w:r>
            <w:r>
              <w:rPr>
                <w:b w:val="0"/>
                <w:sz w:val="18"/>
              </w:rPr>
              <w:t>Falla externa</w:t>
            </w:r>
          </w:p>
        </w:tc>
        <w:tc>
          <w:tcPr>
            <w:tcW w:type="dxa" w:w="7776"/>
            <w:vAlign w:val="top"/>
          </w:tcPr>
          <w:p>
            <w:pPr>
              <w:spacing w:after="40"/>
            </w:pPr>
            <w:r>
              <w:rPr>
                <w:sz w:val="18"/>
              </w:rPr>
            </w:r>
            <w:r>
              <w:rPr>
                <w:b w:val="0"/>
                <w:sz w:val="18"/>
              </w:rPr>
              <w:t>El sistema no se cae si una fuente no responde.</w:t>
            </w:r>
          </w:p>
        </w:tc>
      </w:tr>
      <w:tr>
        <w:tc>
          <w:tcPr>
            <w:tcW w:type="dxa" w:w="2880"/>
            <w:vAlign w:val="top"/>
          </w:tcPr>
          <w:p>
            <w:pPr>
              <w:spacing w:after="40"/>
            </w:pPr>
            <w:r>
              <w:rPr>
                <w:sz w:val="18"/>
              </w:rPr>
            </w:r>
            <w:r>
              <w:rPr>
                <w:b w:val="0"/>
                <w:sz w:val="18"/>
              </w:rPr>
              <w:t>WSL2</w:t>
            </w:r>
          </w:p>
        </w:tc>
        <w:tc>
          <w:tcPr>
            <w:tcW w:type="dxa" w:w="7776"/>
            <w:vAlign w:val="top"/>
          </w:tcPr>
          <w:p>
            <w:pPr>
              <w:spacing w:after="40"/>
            </w:pPr>
            <w:r>
              <w:rPr>
                <w:sz w:val="18"/>
              </w:rPr>
              <w:t>El entorno levanta frontend, API, worker y PostgreSQL localmente (nativo o vía Docker Compose).</w:t>
            </w:r>
            <w:r>
              <w:rPr>
                <w:b w:val="0"/>
                <w:sz w:val="18"/>
              </w:rPr>
            </w:r>
          </w:p>
        </w:tc>
      </w:tr>
      <w:tr>
        <w:tc>
          <w:tcPr>
            <w:tcW w:type="dxa" w:w="4896"/>
          </w:tcPr>
          <w:p>
            <w:r>
              <w:t>Tiempo real</w:t>
            </w:r>
          </w:p>
        </w:tc>
        <w:tc>
          <w:tcPr>
            <w:tcW w:type="dxa" w:w="4896"/>
          </w:tcPr>
          <w:p>
            <w:r>
              <w:t>La API empuja un evento nuevo al cliente por SSE sin recargar la página.</w:t>
            </w:r>
          </w:p>
        </w:tc>
      </w:tr>
      <w:tr>
        <w:tc>
          <w:tcPr>
            <w:tcW w:type="dxa" w:w="4896"/>
          </w:tcPr>
          <w:p>
            <w:r>
              <w:t>Deduplicación</w:t>
            </w:r>
          </w:p>
        </w:tc>
        <w:tc>
          <w:tcPr>
            <w:tcW w:type="dxa" w:w="4896"/>
          </w:tcPr>
          <w:p>
            <w:r>
              <w:t>Un mismo sismo en USGS y EMSC se consolida en un único registro según los umbrales definidos.</w:t>
            </w:r>
          </w:p>
        </w:tc>
      </w:tr>
      <w:tr>
        <w:tc>
          <w:tcPr>
            <w:tcW w:type="dxa" w:w="4896"/>
          </w:tcPr>
          <w:p>
            <w:r>
              <w:t>Interfaz 3D</w:t>
            </w:r>
          </w:p>
        </w:tc>
        <w:tc>
          <w:tcPr>
            <w:tcW w:type="dxa" w:w="4896"/>
          </w:tcPr>
          <w:p>
            <w:r>
              <w:t>CesiumJS renderiza eventos, navegación, foco sobre eventos nuevos y capas sin errores visuales críticos.</w:t>
            </w:r>
          </w:p>
        </w:tc>
      </w:tr>
    </w:tbl>
    <w:p>
      <w:pPr>
        <w:spacing w:after="120" w:line="259" w:lineRule="auto"/>
      </w:pPr>
    </w:p>
    <w:p>
      <w:pPr>
        <w:pStyle w:val="Heading1"/>
        <w:spacing w:after="120" w:line="259" w:lineRule="auto"/>
      </w:pPr>
      <w:r>
        <w:t>12. Riesgos técnicos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D9EAF7"/>
            <w:vAlign w:val="top"/>
          </w:tcPr>
          <w:p>
            <w:pPr>
              <w:spacing w:after="40"/>
            </w:pPr>
            <w:r>
              <w:rPr>
                <w:sz w:val="18"/>
              </w:rPr>
            </w:r>
            <w:r>
              <w:rPr>
                <w:b/>
                <w:sz w:val="18"/>
              </w:rPr>
              <w:t>Riesgo</w:t>
            </w:r>
          </w:p>
        </w:tc>
        <w:tc>
          <w:tcPr>
            <w:tcW w:type="dxa" w:w="3456"/>
            <w:shd w:fill="D9EAF7"/>
            <w:vAlign w:val="top"/>
          </w:tcPr>
          <w:p>
            <w:pPr>
              <w:spacing w:after="40"/>
            </w:pPr>
            <w:r>
              <w:rPr>
                <w:sz w:val="18"/>
              </w:rPr>
            </w:r>
            <w:r>
              <w:rPr>
                <w:b/>
                <w:sz w:val="18"/>
              </w:rPr>
              <w:t>Impacto</w:t>
            </w:r>
          </w:p>
        </w:tc>
        <w:tc>
          <w:tcPr>
            <w:tcW w:type="dxa" w:w="4320"/>
            <w:shd w:fill="D9EAF7"/>
            <w:vAlign w:val="top"/>
          </w:tcPr>
          <w:p>
            <w:pPr>
              <w:spacing w:after="40"/>
            </w:pPr>
            <w:r>
              <w:rPr>
                <w:sz w:val="18"/>
              </w:rPr>
            </w:r>
            <w:r>
              <w:rPr>
                <w:b/>
                <w:sz w:val="18"/>
              </w:rPr>
              <w:t>Mitigación</w:t>
            </w:r>
          </w:p>
        </w:tc>
      </w:tr>
      <w:tr>
        <w:tc>
          <w:tcPr>
            <w:tcW w:type="dxa" w:w="2880"/>
            <w:vAlign w:val="top"/>
          </w:tcPr>
          <w:p>
            <w:pPr>
              <w:spacing w:after="40"/>
            </w:pPr>
            <w:r>
              <w:rPr>
                <w:sz w:val="18"/>
              </w:rPr>
            </w:r>
            <w:r>
              <w:rPr>
                <w:b w:val="0"/>
                <w:sz w:val="18"/>
              </w:rPr>
              <w:t>Falta de distribución WSL2</w:t>
            </w:r>
          </w:p>
        </w:tc>
        <w:tc>
          <w:tcPr>
            <w:tcW w:type="dxa" w:w="3456"/>
            <w:vAlign w:val="top"/>
          </w:tcPr>
          <w:p>
            <w:pPr>
              <w:spacing w:after="40"/>
            </w:pPr>
            <w:r>
              <w:rPr>
                <w:sz w:val="18"/>
              </w:rPr>
            </w:r>
            <w:r>
              <w:rPr>
                <w:b w:val="0"/>
                <w:sz w:val="18"/>
              </w:rPr>
              <w:t>No se puede iniciar entorno Linux.</w:t>
            </w:r>
          </w:p>
        </w:tc>
        <w:tc>
          <w:tcPr>
            <w:tcW w:type="dxa" w:w="4320"/>
            <w:vAlign w:val="top"/>
          </w:tcPr>
          <w:p>
            <w:pPr>
              <w:spacing w:after="40"/>
            </w:pPr>
            <w:r>
              <w:rPr>
                <w:sz w:val="18"/>
              </w:rPr>
            </w:r>
            <w:r>
              <w:rPr>
                <w:b w:val="0"/>
                <w:sz w:val="18"/>
              </w:rPr>
              <w:t>Instalar Ubuntu 24.04 LTS y verificar con wsl -l -v.</w:t>
            </w:r>
          </w:p>
        </w:tc>
      </w:tr>
      <w:tr>
        <w:tc>
          <w:tcPr>
            <w:tcW w:type="dxa" w:w="2880"/>
            <w:vAlign w:val="top"/>
          </w:tcPr>
          <w:p>
            <w:pPr>
              <w:spacing w:after="40"/>
            </w:pPr>
            <w:r>
              <w:rPr>
                <w:sz w:val="18"/>
              </w:rPr>
            </w:r>
            <w:r>
              <w:rPr>
                <w:b w:val="0"/>
                <w:sz w:val="18"/>
              </w:rPr>
              <w:t>Dependencia de APIs externas</w:t>
            </w:r>
          </w:p>
        </w:tc>
        <w:tc>
          <w:tcPr>
            <w:tcW w:type="dxa" w:w="3456"/>
            <w:vAlign w:val="top"/>
          </w:tcPr>
          <w:p>
            <w:pPr>
              <w:spacing w:after="40"/>
            </w:pPr>
            <w:r>
              <w:rPr>
                <w:sz w:val="18"/>
              </w:rPr>
            </w:r>
            <w:r>
              <w:rPr>
                <w:b w:val="0"/>
                <w:sz w:val="18"/>
              </w:rPr>
              <w:t>Sin datos nuevos si falla una fuente.</w:t>
            </w:r>
          </w:p>
        </w:tc>
        <w:tc>
          <w:tcPr>
            <w:tcW w:type="dxa" w:w="4320"/>
            <w:vAlign w:val="top"/>
          </w:tcPr>
          <w:p>
            <w:pPr>
              <w:spacing w:after="40"/>
            </w:pPr>
            <w:r>
              <w:rPr>
                <w:sz w:val="18"/>
              </w:rPr>
            </w:r>
            <w:r>
              <w:rPr>
                <w:b w:val="0"/>
                <w:sz w:val="18"/>
              </w:rPr>
              <w:t>Cache, reintentos y múltiples proveedores.</w:t>
            </w:r>
          </w:p>
        </w:tc>
      </w:tr>
      <w:tr>
        <w:tc>
          <w:tcPr>
            <w:tcW w:type="dxa" w:w="2880"/>
            <w:vAlign w:val="top"/>
          </w:tcPr>
          <w:p>
            <w:pPr>
              <w:spacing w:after="40"/>
            </w:pPr>
            <w:r>
              <w:rPr>
                <w:sz w:val="18"/>
              </w:rPr>
            </w:r>
            <w:r>
              <w:rPr>
                <w:b w:val="0"/>
                <w:sz w:val="18"/>
              </w:rPr>
              <w:t>Duplicados</w:t>
            </w:r>
          </w:p>
        </w:tc>
        <w:tc>
          <w:tcPr>
            <w:tcW w:type="dxa" w:w="3456"/>
            <w:vAlign w:val="top"/>
          </w:tcPr>
          <w:p>
            <w:pPr>
              <w:spacing w:after="40"/>
            </w:pPr>
            <w:r>
              <w:rPr>
                <w:sz w:val="18"/>
              </w:rPr>
            </w:r>
            <w:r>
              <w:rPr>
                <w:b w:val="0"/>
                <w:sz w:val="18"/>
              </w:rPr>
              <w:t>Mapa confuso.</w:t>
            </w:r>
          </w:p>
        </w:tc>
        <w:tc>
          <w:tcPr>
            <w:tcW w:type="dxa" w:w="4320"/>
            <w:vAlign w:val="top"/>
          </w:tcPr>
          <w:p>
            <w:pPr>
              <w:spacing w:after="40"/>
            </w:pPr>
            <w:r>
              <w:rPr>
                <w:sz w:val="18"/>
              </w:rPr>
            </w:r>
            <w:r>
              <w:rPr>
                <w:b w:val="0"/>
                <w:sz w:val="18"/>
              </w:rPr>
              <w:t>Reglas de deduplicación por tiempo, distancia y magnitud.</w:t>
            </w:r>
          </w:p>
        </w:tc>
      </w:tr>
      <w:tr>
        <w:tc>
          <w:tcPr>
            <w:tcW w:type="dxa" w:w="2880"/>
            <w:vAlign w:val="top"/>
          </w:tcPr>
          <w:p>
            <w:pPr>
              <w:spacing w:after="40"/>
            </w:pPr>
            <w:r>
              <w:rPr>
                <w:sz w:val="18"/>
              </w:rPr>
            </w:r>
            <w:r>
              <w:rPr>
                <w:b w:val="0"/>
                <w:sz w:val="18"/>
              </w:rPr>
              <w:t>Código en /mnt/e</w:t>
            </w:r>
          </w:p>
        </w:tc>
        <w:tc>
          <w:tcPr>
            <w:tcW w:type="dxa" w:w="3456"/>
            <w:vAlign w:val="top"/>
          </w:tcPr>
          <w:p>
            <w:pPr>
              <w:spacing w:after="40"/>
            </w:pPr>
            <w:r>
              <w:rPr>
                <w:sz w:val="18"/>
              </w:rPr>
            </w:r>
            <w:r>
              <w:rPr>
                <w:b w:val="0"/>
                <w:sz w:val="18"/>
              </w:rPr>
              <w:t>Rendimiento menor con npm.</w:t>
            </w:r>
          </w:p>
        </w:tc>
        <w:tc>
          <w:tcPr>
            <w:tcW w:type="dxa" w:w="4320"/>
            <w:vAlign w:val="top"/>
          </w:tcPr>
          <w:p>
            <w:pPr>
              <w:spacing w:after="40"/>
            </w:pPr>
            <w:r>
              <w:rPr>
                <w:sz w:val="18"/>
              </w:rPr>
            </w:r>
            <w:r>
              <w:rPr>
                <w:b w:val="0"/>
                <w:sz w:val="18"/>
              </w:rPr>
              <w:t>Ubicar repositorio en /home/&lt;usuario&gt; dentro de WSL2.</w:t>
            </w:r>
          </w:p>
        </w:tc>
      </w:tr>
      <w:tr>
        <w:tc>
          <w:tcPr>
            <w:tcW w:type="dxa" w:w="2880"/>
            <w:vAlign w:val="top"/>
          </w:tcPr>
          <w:p>
            <w:pPr>
              <w:spacing w:after="40"/>
            </w:pPr>
            <w:r>
              <w:rPr>
                <w:sz w:val="18"/>
              </w:rPr>
            </w:r>
            <w:r>
              <w:rPr>
                <w:b w:val="0"/>
                <w:sz w:val="18"/>
              </w:rPr>
              <w:t>Ausencia de monitoreo</w:t>
            </w:r>
          </w:p>
        </w:tc>
        <w:tc>
          <w:tcPr>
            <w:tcW w:type="dxa" w:w="3456"/>
            <w:vAlign w:val="top"/>
          </w:tcPr>
          <w:p>
            <w:pPr>
              <w:spacing w:after="40"/>
            </w:pPr>
            <w:r>
              <w:rPr>
                <w:sz w:val="18"/>
              </w:rPr>
            </w:r>
            <w:r>
              <w:rPr>
                <w:b w:val="0"/>
                <w:sz w:val="18"/>
              </w:rPr>
              <w:t>Fallas silenciosas.</w:t>
            </w:r>
          </w:p>
        </w:tc>
        <w:tc>
          <w:tcPr>
            <w:tcW w:type="dxa" w:w="4320"/>
            <w:vAlign w:val="top"/>
          </w:tcPr>
          <w:p>
            <w:pPr>
              <w:spacing w:after="40"/>
            </w:pPr>
            <w:r>
              <w:rPr>
                <w:sz w:val="18"/>
              </w:rPr>
            </w:r>
            <w:r>
              <w:rPr>
                <w:b w:val="0"/>
                <w:sz w:val="18"/>
              </w:rPr>
              <w:t>Health checks, logs y estado de fuentes.</w:t>
            </w:r>
          </w:p>
        </w:tc>
      </w:tr>
      <w:tr>
        <w:tc>
          <w:tcPr>
            <w:tcW w:type="dxa" w:w="3264"/>
          </w:tcPr>
          <w:p>
            <w:r>
              <w:t>Deduplicación incorrecta</w:t>
            </w:r>
          </w:p>
        </w:tc>
        <w:tc>
          <w:tcPr>
            <w:tcW w:type="dxa" w:w="3264"/>
          </w:tcPr>
          <w:p>
            <w:r>
              <w:t>Eventos distintos fusionados o duplicados visibles en el mapa.</w:t>
            </w:r>
          </w:p>
        </w:tc>
        <w:tc>
          <w:tcPr>
            <w:tcW w:type="dxa" w:w="3264"/>
          </w:tcPr>
          <w:p>
            <w:r>
              <w:t>Umbrales calibrados (≤ 60 s, &lt; 100 km, Δmag &lt; 0.5) y fuente preferida; revisión de casos límite.</w:t>
            </w:r>
          </w:p>
        </w:tc>
      </w:tr>
      <w:tr>
        <w:tc>
          <w:tcPr>
            <w:tcW w:type="dxa" w:w="3264"/>
          </w:tcPr>
          <w:p>
            <w:r>
              <w:t>Dependencia de un referente no oficial</w:t>
            </w:r>
          </w:p>
        </w:tc>
        <w:tc>
          <w:tcPr>
            <w:tcW w:type="dxa" w:w="3264"/>
          </w:tcPr>
          <w:p>
            <w:r>
              <w:t>Riesgo de bloqueo por cambios de licencia, roadmap o cierres de código en proyectos de terceros.</w:t>
            </w:r>
          </w:p>
        </w:tc>
        <w:tc>
          <w:tcPr>
            <w:tcW w:type="dxa" w:w="3264"/>
          </w:tcPr>
          <w:p>
            <w:r>
              <w:t>Mantener GlobalQuake solo como referencia funcional; toda lógica de ingesta, persistencia y visualización debe ser propia.</w:t>
            </w:r>
          </w:p>
        </w:tc>
      </w:tr>
    </w:tbl>
    <w:p>
      <w:pPr>
        <w:spacing w:after="120" w:line="259" w:lineRule="auto"/>
      </w:pPr>
    </w:p>
    <w:p>
      <w:pPr/>
      <w:r>
        <w:t>Además de los riesgos operativos habituales, debe evitarse que un referente experimental de terceros sea tratado como dependencia contractual o tecnológica del sistema. El control del proyecto debe mantenerse sobre componentes propios, fuentes verificables y contratos de datos claramente autorizados.</w:t>
      </w:r>
    </w:p>
    <w:p>
      <w:pPr>
        <w:pStyle w:val="Heading1"/>
        <w:spacing w:after="120" w:line="259" w:lineRule="auto"/>
      </w:pPr>
      <w:r>
        <w:t>13. Recomendación final</w:t>
      </w:r>
    </w:p>
    <w:p>
      <w:pPr>
        <w:spacing w:after="120" w:line="259" w:lineRule="auto"/>
      </w:pPr>
      <w:r>
        <w:t>Se recomienda iniciar el desarrollo en Windows con Ubuntu WSL2, usando TypeScript, Node.js y PostgreSQL con PostGIS, con una arquitectura de modelo híbrido: datos oficiales como base verificable y CesiumJS como capa principal de visualización 3D. La base funcional integra USGS, globo 3D interactivo, API propia con canal en vivo (SSE) y worker de ingesta. La evolucion funcional incorpora EMSC, IGP/CENSIS, FUNVISIS, GEOFON, GeoNet, BMKG, JMA, GDACS y productos NOAA/PTWC/NTWC, junto con reglas maduras de deduplicación y trazabilidad multi-fuente. Esta ruta conserva rigor técnico, mejora la experiencia operativa y evita depender de herramientas experimentales de terceros como componente crítico del sistema.</w:t>
      </w:r>
    </w:p>
    <w:p>
      <w:pPr>
        <w:pStyle w:val="Heading1"/>
        <w:spacing w:after="120" w:line="259" w:lineRule="auto"/>
      </w:pPr>
      <w:r>
        <w:t>14. Referencias</w:t>
      </w:r>
    </w:p>
    <w:p>
      <w:pPr>
        <w:pStyle w:val="ListBullet"/>
        <w:spacing w:after="120" w:line="259" w:lineRule="auto"/>
      </w:pPr>
      <w:r>
        <w:t xml:space="preserve">TypeScript Documentation: </w:t>
      </w:r>
      <w:hyperlink r:id="rId11">
        <w:r>
          <w:rPr>
            <w:color w:val="0563C1"/>
            <w:u w:val="single"/>
          </w:rPr>
          <w:t>https://www.typescriptlang.org/docs/</w:t>
        </w:r>
      </w:hyperlink>
    </w:p>
    <w:p>
      <w:pPr>
        <w:pStyle w:val="ListBullet"/>
        <w:spacing w:after="120" w:line="259" w:lineRule="auto"/>
      </w:pPr>
      <w:r>
        <w:t xml:space="preserve">Node.js Documentation: </w:t>
      </w:r>
      <w:hyperlink r:id="rId12">
        <w:r>
          <w:rPr>
            <w:color w:val="0563C1"/>
            <w:u w:val="single"/>
          </w:rPr>
          <w:t>https://nodejs.org/docs/latest/api/</w:t>
        </w:r>
      </w:hyperlink>
    </w:p>
    <w:p>
      <w:pPr>
        <w:pStyle w:val="ListBullet"/>
        <w:spacing w:after="120" w:line="259" w:lineRule="auto"/>
      </w:pPr>
      <w:r>
        <w:t xml:space="preserve">PostgreSQL Documentation: </w:t>
      </w:r>
      <w:hyperlink r:id="rId13">
        <w:r>
          <w:rPr>
            <w:color w:val="0563C1"/>
            <w:u w:val="single"/>
          </w:rPr>
          <w:t>https://www.postgresql.org/docs/</w:t>
        </w:r>
      </w:hyperlink>
    </w:p>
    <w:p>
      <w:pPr>
        <w:pStyle w:val="ListBullet"/>
      </w:pPr>
      <w:r>
        <w:t>PostGIS Documentation: https://postgis.net/documentation/</w:t>
      </w:r>
    </w:p>
    <w:p>
      <w:pPr>
        <w:pStyle w:val="ListBullet"/>
      </w:pPr>
      <w:r>
        <w:t>EMSC Seismic Portal (tiempo real / WebSocket): https://www.seismicportal.eu/realtime.html</w:t>
      </w:r>
    </w:p>
    <w:p>
      <w:pPr>
        <w:pStyle w:val="ListBullet"/>
      </w:pPr>
      <w:r>
        <w:t>CesiumJS: https://cesium.com/platform/cesiumjs/</w:t>
      </w:r>
    </w:p>
    <w:p>
      <w:pPr>
        <w:pStyle w:val="ListBullet"/>
      </w:pPr>
      <w:r>
        <w:t>Docker Compose: https://docs.docker.com/compose/</w:t>
      </w:r>
    </w:p>
    <w:p>
      <w:pPr>
        <w:pStyle w:val="ListBullet"/>
        <w:spacing w:after="120" w:line="259" w:lineRule="auto"/>
      </w:pPr>
      <w:r>
        <w:t xml:space="preserve">Microsoft Learn - Install WSL: </w:t>
      </w:r>
      <w:hyperlink r:id="rId14">
        <w:r>
          <w:rPr>
            <w:color w:val="0563C1"/>
            <w:u w:val="single"/>
          </w:rPr>
          <w:t>https://learn.microsoft.com/en-us/windows/wsl/install</w:t>
        </w:r>
      </w:hyperlink>
    </w:p>
    <w:p>
      <w:pPr>
        <w:pStyle w:val="ListBullet"/>
        <w:spacing w:after="120" w:line="259" w:lineRule="auto"/>
      </w:pPr>
      <w:r>
        <w:t xml:space="preserve">Microsoft Learn - Set up a WSL development environment: </w:t>
      </w:r>
      <w:hyperlink r:id="rId15">
        <w:r>
          <w:rPr>
            <w:color w:val="0563C1"/>
            <w:u w:val="single"/>
          </w:rPr>
          <w:t>https://learn.microsoft.com/en-us/windows/wsl/setup/environment</w:t>
        </w:r>
      </w:hyperlink>
    </w:p>
    <w:p>
      <w:pPr>
        <w:pStyle w:val="ListBullet"/>
        <w:spacing w:after="120" w:line="259" w:lineRule="auto"/>
      </w:pPr>
      <w:r>
        <w:t xml:space="preserve">USGS Earthquake Event Web Service: </w:t>
      </w:r>
      <w:hyperlink r:id="rId16">
        <w:r>
          <w:rPr>
            <w:color w:val="0563C1"/>
            <w:u w:val="single"/>
          </w:rPr>
          <w:t>https://earthquake.usgs.gov/fdsnws/event/1/</w:t>
        </w:r>
      </w:hyperlink>
    </w:p>
    <w:p>
      <w:pPr>
        <w:pStyle w:val="ListBullet"/>
        <w:spacing w:after="120" w:line="259" w:lineRule="auto"/>
      </w:pPr>
      <w:r>
        <w:t xml:space="preserve">European-Mediterranean Seismological Centre: </w:t>
      </w:r>
      <w:hyperlink r:id="rId17">
        <w:r>
          <w:rPr>
            <w:color w:val="0563C1"/>
            <w:u w:val="single"/>
          </w:rPr>
          <w:t>https://www.emsc-csem.org/</w:t>
        </w:r>
      </w:hyperlink>
    </w:p>
    <w:p>
      <w:pPr>
        <w:pStyle w:val="ListBullet"/>
        <w:spacing w:after="120" w:line="259" w:lineRule="auto"/>
      </w:pPr>
      <w:r>
        <w:t xml:space="preserve">U.S. Tsunami Warning System: </w:t>
      </w:r>
      <w:hyperlink r:id="rId18">
        <w:r>
          <w:rPr>
            <w:color w:val="0563C1"/>
            <w:u w:val="single"/>
          </w:rPr>
          <w:t>https://www.tsunami.gov/</w:t>
        </w:r>
      </w:hyperlink>
    </w:p>
    <w:p>
      <w:pPr>
        <w:pStyle w:val="ListBullet"/>
      </w:pPr>
      <w:r>
        <w:t>GlobalQuake - sitio oficial: https://globalquake.net/</w:t>
      </w:r>
    </w:p>
    <w:p>
      <w:pPr>
        <w:pStyle w:val="ListBullet"/>
      </w:pPr>
      <w:r>
        <w:t>GlobalQuake - descargas: https://globalquake.net/download</w:t>
      </w:r>
    </w:p>
    <w:p>
      <w:pPr>
        <w:pStyle w:val="ListBullet"/>
      </w:pPr>
      <w:r>
        <w:t>GlobalQuake - repositorio público archivado: https://github.com/xspanger3770/GlobalQuake</w:t>
      </w:r>
    </w:p>
    <w:p>
      <w:pPr/>
      <w:r>
        <w:t>Centro Sismologico Nacional IGP/CENSIS: https://ultimosismo.igp.gob.pe/</w:t>
      </w:r>
    </w:p>
    <w:p>
      <w:pPr/>
      <w:r>
        <w:t>Datos abiertos IGP: https://www.igp.gob.pe/servicios/infraestructura-de-datos-espaciales/componentes/datos-abiertos</w:t>
      </w:r>
    </w:p>
    <w:p>
      <w:pPr>
        <w:pStyle w:val="Heading1"/>
      </w:pPr>
      <w:r>
        <w:t>15. Ampliación técnica de proveedores oficiales</w:t>
      </w:r>
    </w:p>
    <w:p>
      <w:r>
        <w:t>La ampliación mantiene la arquitectura de adaptadores TypeScript del worker. Cada proveedor transforma su contrato externo al modelo SeismicEvent y entrega registros al servicio común de asociación. PostgreSQL/PostGIS conserva la fuente original, calcula proximidad espacial y evita duplicidad visible.</w:t>
      </w:r>
    </w:p>
    <w:p>
      <w:pPr>
        <w:pStyle w:val="Heading2"/>
      </w:pPr>
      <w:r>
        <w:t>15.1 Contratos implementados</w:t>
      </w:r>
    </w:p>
    <w:tbl>
      <w:tblPr>
        <w:tblStyle w:val="TableGrid"/>
        <w:tblW w:type="auto" w:w="0"/>
        <w:tblLayout w:type="fixed"/>
        <w:tblLook w:firstColumn="1" w:firstRow="1" w:lastColumn="0" w:lastRow="0" w:noHBand="0" w:noVBand="1" w:val="04A0"/>
      </w:tblPr>
      <w:tblGrid>
        <w:gridCol w:w="1958"/>
        <w:gridCol w:w="1958"/>
        <w:gridCol w:w="1958"/>
        <w:gridCol w:w="1958"/>
        <w:gridCol w:w="1958"/>
      </w:tblGrid>
      <w:tr>
        <w:trPr>
          <w:tblHeader w:val="true"/>
        </w:trPr>
        <w:tc>
          <w:tcPr>
            <w:tcW w:type="dxa" w:w="1440"/>
            <w:vAlign w:val="center"/>
            <w:shd w:fill="1F4E78"/>
          </w:tcPr>
          <w:p>
            <w:pPr>
              <w:spacing w:after="0"/>
            </w:pPr>
            <w:r>
              <w:rPr>
                <w:b/>
                <w:color w:val="FFFFFF"/>
                <w:sz w:val="18"/>
              </w:rPr>
              <w:t>Código</w:t>
            </w:r>
          </w:p>
        </w:tc>
        <w:tc>
          <w:tcPr>
            <w:tcW w:type="dxa" w:w="2016"/>
            <w:vAlign w:val="center"/>
            <w:shd w:fill="1F4E78"/>
          </w:tcPr>
          <w:p>
            <w:pPr>
              <w:spacing w:after="0"/>
            </w:pPr>
            <w:r>
              <w:rPr>
                <w:b/>
                <w:color w:val="FFFFFF"/>
                <w:sz w:val="18"/>
              </w:rPr>
              <w:t>Contrato</w:t>
            </w:r>
          </w:p>
        </w:tc>
        <w:tc>
          <w:tcPr>
            <w:tcW w:type="dxa" w:w="3888"/>
            <w:vAlign w:val="center"/>
            <w:shd w:fill="1F4E78"/>
          </w:tcPr>
          <w:p>
            <w:pPr>
              <w:spacing w:after="0"/>
            </w:pPr>
            <w:r>
              <w:rPr>
                <w:b/>
                <w:color w:val="FFFFFF"/>
                <w:sz w:val="18"/>
              </w:rPr>
              <w:t>Normalización</w:t>
            </w:r>
          </w:p>
        </w:tc>
        <w:tc>
          <w:tcPr>
            <w:tcW w:type="dxa" w:w="1296"/>
            <w:vAlign w:val="center"/>
            <w:shd w:fill="1F4E78"/>
          </w:tcPr>
          <w:p>
            <w:pPr>
              <w:spacing w:after="0"/>
            </w:pPr>
            <w:r>
              <w:rPr>
                <w:b/>
                <w:color w:val="FFFFFF"/>
                <w:sz w:val="18"/>
              </w:rPr>
              <w:t>Intervalo</w:t>
            </w:r>
          </w:p>
        </w:tc>
        <w:tc>
          <w:tcPr>
            <w:tcW w:type="dxa" w:w="1584"/>
            <w:vAlign w:val="center"/>
            <w:shd w:fill="1F4E78"/>
          </w:tcPr>
          <w:p>
            <w:pPr>
              <w:spacing w:after="0"/>
            </w:pPr>
            <w:r>
              <w:rPr>
                <w:b/>
                <w:color w:val="FFFFFF"/>
                <w:sz w:val="18"/>
              </w:rPr>
              <w:t>Estado</w:t>
            </w:r>
          </w:p>
        </w:tc>
      </w:tr>
      <w:tr>
        <w:tc>
          <w:tcPr>
            <w:tcW w:type="dxa" w:w="1440"/>
            <w:vAlign w:val="top"/>
          </w:tcPr>
          <w:p>
            <w:pPr>
              <w:spacing w:after="0"/>
            </w:pPr>
            <w:r>
              <w:rPr>
                <w:sz w:val="17"/>
              </w:rPr>
              <w:t>GEOFON</w:t>
            </w:r>
          </w:p>
        </w:tc>
        <w:tc>
          <w:tcPr>
            <w:tcW w:type="dxa" w:w="2016"/>
            <w:vAlign w:val="top"/>
          </w:tcPr>
          <w:p>
            <w:pPr>
              <w:spacing w:after="0"/>
            </w:pPr>
            <w:r>
              <w:rPr>
                <w:sz w:val="17"/>
              </w:rPr>
              <w:t>FDSN Event text</w:t>
            </w:r>
          </w:p>
        </w:tc>
        <w:tc>
          <w:tcPr>
            <w:tcW w:type="dxa" w:w="3888"/>
            <w:vAlign w:val="top"/>
          </w:tcPr>
          <w:p>
            <w:pPr>
              <w:spacing w:after="0"/>
            </w:pPr>
            <w:r>
              <w:rPr>
                <w:sz w:val="17"/>
              </w:rPr>
              <w:t>Columnas identificadas por cabecera</w:t>
            </w:r>
          </w:p>
        </w:tc>
        <w:tc>
          <w:tcPr>
            <w:tcW w:type="dxa" w:w="1296"/>
            <w:vAlign w:val="top"/>
          </w:tcPr>
          <w:p>
            <w:pPr>
              <w:spacing w:after="0"/>
            </w:pPr>
            <w:r>
              <w:rPr>
                <w:sz w:val="17"/>
              </w:rPr>
              <w:t>120 s</w:t>
            </w:r>
          </w:p>
        </w:tc>
        <w:tc>
          <w:tcPr>
            <w:tcW w:type="dxa" w:w="1584"/>
            <w:vAlign w:val="top"/>
          </w:tcPr>
          <w:p>
            <w:pPr>
              <w:spacing w:after="0"/>
            </w:pPr>
            <w:r>
              <w:rPr>
                <w:sz w:val="17"/>
              </w:rPr>
              <w:t>Operativo</w:t>
            </w:r>
          </w:p>
        </w:tc>
      </w:tr>
      <w:tr>
        <w:tc>
          <w:tcPr>
            <w:tcW w:type="dxa" w:w="1440"/>
            <w:vAlign w:val="top"/>
          </w:tcPr>
          <w:p>
            <w:pPr>
              <w:spacing w:after="0"/>
            </w:pPr>
            <w:r>
              <w:rPr>
                <w:sz w:val="17"/>
              </w:rPr>
              <w:t>GEONET</w:t>
            </w:r>
          </w:p>
        </w:tc>
        <w:tc>
          <w:tcPr>
            <w:tcW w:type="dxa" w:w="2016"/>
            <w:vAlign w:val="top"/>
          </w:tcPr>
          <w:p>
            <w:pPr>
              <w:spacing w:after="0"/>
            </w:pPr>
            <w:r>
              <w:rPr>
                <w:sz w:val="17"/>
              </w:rPr>
              <w:t>GeoJSON v2</w:t>
            </w:r>
          </w:p>
        </w:tc>
        <w:tc>
          <w:tcPr>
            <w:tcW w:type="dxa" w:w="3888"/>
            <w:vAlign w:val="top"/>
          </w:tcPr>
          <w:p>
            <w:pPr>
              <w:spacing w:after="0"/>
            </w:pPr>
            <w:r>
              <w:rPr>
                <w:sz w:val="17"/>
              </w:rPr>
              <w:t>Accept versionado; excluye quality=deleted</w:t>
            </w:r>
          </w:p>
        </w:tc>
        <w:tc>
          <w:tcPr>
            <w:tcW w:type="dxa" w:w="1296"/>
            <w:vAlign w:val="top"/>
          </w:tcPr>
          <w:p>
            <w:pPr>
              <w:spacing w:after="0"/>
            </w:pPr>
            <w:r>
              <w:rPr>
                <w:sz w:val="17"/>
              </w:rPr>
              <w:t>120 s</w:t>
            </w:r>
          </w:p>
        </w:tc>
        <w:tc>
          <w:tcPr>
            <w:tcW w:type="dxa" w:w="1584"/>
            <w:vAlign w:val="top"/>
          </w:tcPr>
          <w:p>
            <w:pPr>
              <w:spacing w:after="0"/>
            </w:pPr>
            <w:r>
              <w:rPr>
                <w:sz w:val="17"/>
              </w:rPr>
              <w:t>Operativo</w:t>
            </w:r>
          </w:p>
        </w:tc>
      </w:tr>
      <w:tr>
        <w:tc>
          <w:tcPr>
            <w:tcW w:type="dxa" w:w="1958"/>
            <w:vAlign w:val="top"/>
          </w:tcPr>
          <w:p>
            <w:pPr>
              <w:spacing w:after="0"/>
            </w:pPr>
            <w:r>
              <w:rPr>
                <w:sz w:val="17"/>
              </w:rPr>
              <w:t>BMKG</w:t>
            </w:r>
          </w:p>
        </w:tc>
        <w:tc>
          <w:tcPr>
            <w:tcW w:type="dxa" w:w="1958"/>
            <w:vAlign w:val="top"/>
          </w:tcPr>
          <w:p>
            <w:pPr>
              <w:spacing w:after="0"/>
            </w:pPr>
            <w:r>
              <w:rPr>
                <w:sz w:val="17"/>
              </w:rPr>
              <w:t>JSON M5+ y sentidos</w:t>
            </w:r>
          </w:p>
        </w:tc>
        <w:tc>
          <w:tcPr>
            <w:tcW w:type="dxa" w:w="1958"/>
            <w:vAlign w:val="top"/>
          </w:tcPr>
          <w:p>
            <w:pPr>
              <w:spacing w:after="0"/>
            </w:pPr>
            <w:r>
              <w:rPr>
                <w:sz w:val="17"/>
              </w:rPr>
              <w:t>Fusión por ID; intensidad y tsunami</w:t>
            </w:r>
          </w:p>
        </w:tc>
        <w:tc>
          <w:tcPr>
            <w:tcW w:type="dxa" w:w="1958"/>
            <w:vAlign w:val="top"/>
          </w:tcPr>
          <w:p>
            <w:pPr>
              <w:spacing w:after="0"/>
            </w:pPr>
            <w:r>
              <w:rPr>
                <w:sz w:val="17"/>
              </w:rPr>
              <w:t>120 s</w:t>
            </w:r>
          </w:p>
        </w:tc>
        <w:tc>
          <w:tcPr>
            <w:tcW w:type="dxa" w:w="1958"/>
            <w:vAlign w:val="top"/>
          </w:tcPr>
          <w:p>
            <w:pPr>
              <w:spacing w:after="0"/>
            </w:pPr>
            <w:r>
              <w:rPr>
                <w:sz w:val="17"/>
              </w:rPr>
              <w:t>Operativo</w:t>
            </w:r>
          </w:p>
        </w:tc>
      </w:tr>
      <w:tr>
        <w:tc>
          <w:tcPr>
            <w:tcW w:type="dxa" w:w="1958"/>
            <w:vAlign w:val="top"/>
          </w:tcPr>
          <w:p>
            <w:pPr>
              <w:spacing w:after="0"/>
            </w:pPr>
            <w:r>
              <w:rPr>
                <w:sz w:val="17"/>
              </w:rPr>
              <w:t>JMA</w:t>
            </w:r>
          </w:p>
        </w:tc>
        <w:tc>
          <w:tcPr>
            <w:tcW w:type="dxa" w:w="1958"/>
            <w:vAlign w:val="top"/>
          </w:tcPr>
          <w:p>
            <w:pPr>
              <w:spacing w:after="0"/>
            </w:pPr>
            <w:r>
              <w:rPr>
                <w:sz w:val="17"/>
              </w:rPr>
              <w:t>JSON Bosai</w:t>
            </w:r>
          </w:p>
        </w:tc>
        <w:tc>
          <w:tcPr>
            <w:tcW w:type="dxa" w:w="1958"/>
            <w:vAlign w:val="top"/>
          </w:tcPr>
          <w:p>
            <w:pPr>
              <w:spacing w:after="0"/>
            </w:pPr>
            <w:r>
              <w:rPr>
                <w:sz w:val="17"/>
              </w:rPr>
              <w:t>Por eid; ISO 6709 y Shindo</w:t>
            </w:r>
          </w:p>
        </w:tc>
        <w:tc>
          <w:tcPr>
            <w:tcW w:type="dxa" w:w="1958"/>
            <w:vAlign w:val="top"/>
          </w:tcPr>
          <w:p>
            <w:pPr>
              <w:spacing w:after="0"/>
            </w:pPr>
            <w:r>
              <w:rPr>
                <w:sz w:val="17"/>
              </w:rPr>
              <w:t>120 s</w:t>
            </w:r>
          </w:p>
        </w:tc>
        <w:tc>
          <w:tcPr>
            <w:tcW w:type="dxa" w:w="1958"/>
            <w:vAlign w:val="top"/>
          </w:tcPr>
          <w:p>
            <w:pPr>
              <w:spacing w:after="0"/>
            </w:pPr>
            <w:r>
              <w:rPr>
                <w:sz w:val="17"/>
              </w:rPr>
              <w:t>Operativo</w:t>
            </w:r>
          </w:p>
        </w:tc>
      </w:tr>
      <w:tr>
        <w:tc>
          <w:tcPr>
            <w:tcW w:type="dxa" w:w="1958"/>
          </w:tcPr>
          <w:p>
            <w:r>
              <w:t>CWA</w:t>
            </w:r>
          </w:p>
        </w:tc>
        <w:tc>
          <w:tcPr>
            <w:tcW w:type="dxa" w:w="1958"/>
          </w:tcPr>
          <w:p>
            <w:r>
              <w:t>JSON E-A0016-002 autenticado</w:t>
            </w:r>
          </w:p>
        </w:tc>
        <w:tc>
          <w:tcPr>
            <w:tcW w:type="dxa" w:w="1958"/>
          </w:tcPr>
          <w:p>
            <w:r>
              <w:t>Slug desde Web; fallback hash; intensidad maxima y estaciones</w:t>
            </w:r>
          </w:p>
        </w:tc>
        <w:tc>
          <w:tcPr>
            <w:tcW w:type="dxa" w:w="1958"/>
          </w:tcPr>
          <w:p>
            <w:r>
              <w:t>120 s</w:t>
            </w:r>
          </w:p>
        </w:tc>
        <w:tc>
          <w:tcPr>
            <w:tcW w:type="dxa" w:w="1958"/>
          </w:tcPr>
          <w:p>
            <w:r>
              <w:t>Operativo</w:t>
            </w:r>
          </w:p>
        </w:tc>
      </w:tr>
    </w:tbl>
    <w:p/>
    <w:p>
      <w:pPr>
        <w:pStyle w:val="Heading2"/>
      </w:pPr>
      <w:r>
        <w:t>15.2 Deduplicación y prioridad</w:t>
      </w:r>
    </w:p>
    <w:p>
      <w:r>
        <w:t>Las nuevas fuentes utilizan la misma regla auditable: diferencia temporal máxima de 60 segundos, distancia menor de 100 km y diferencia de magnitud menor de 0,5 cuando ambos valores existen.</w:t>
      </w:r>
    </w:p>
    <w:p>
      <w:pPr>
        <w:pStyle w:val="ListBullet"/>
      </w:pPr>
      <w:r>
        <w:t>Perú: IGP conserva prioridad sobre USGS, GEOFON y EMSC.</w:t>
      </w:r>
    </w:p>
    <w:p>
      <w:pPr>
        <w:pStyle w:val="ListBullet"/>
      </w:pPr>
      <w:r>
        <w:t>Venezuela: FUNVISIS conserva prioridad sobre USGS, GEOFON y EMSC.</w:t>
      </w:r>
    </w:p>
    <w:p>
      <w:pPr>
        <w:pStyle w:val="ListBullet"/>
      </w:pPr>
      <w:r>
        <w:t>Nueva Zelanda y Kermadec: GeoNet tiene prioridad regional.</w:t>
      </w:r>
    </w:p>
    <w:p>
      <w:pPr>
        <w:pStyle w:val="ListBullet"/>
      </w:pPr>
      <w:r>
        <w:t>Indonesia: BMKG tiene prioridad sobre USGS, GEOFON y EMSC.</w:t>
      </w:r>
    </w:p>
    <w:p>
      <w:pPr>
        <w:pStyle w:val="ListBullet"/>
      </w:pPr>
      <w:r>
        <w:t>Japón: JMA tiene prioridad sobre USGS, GEOFON y EMSC. Taiwan: CWA tiene prioridad sobre USGS, GEOFON y EMSC.</w:t>
      </w:r>
    </w:p>
    <w:p>
      <w:pPr>
        <w:pStyle w:val="ListBullet"/>
      </w:pPr>
      <w:r>
        <w:t>Resto del mundo: USGS precede a GEOFON y EMSC.</w:t>
      </w:r>
    </w:p>
    <w:p>
      <w:pPr>
        <w:pStyle w:val="Heading2"/>
      </w:pPr>
      <w:r>
        <w:t>15.3 Componentes modificados</w:t>
      </w:r>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3240"/>
            <w:vAlign w:val="center"/>
            <w:shd w:fill="1F4E78"/>
          </w:tcPr>
          <w:p>
            <w:pPr>
              <w:spacing w:after="0"/>
            </w:pPr>
            <w:r>
              <w:rPr>
                <w:b/>
                <w:color w:val="FFFFFF"/>
                <w:sz w:val="18"/>
              </w:rPr>
              <w:t>Componente</w:t>
            </w:r>
          </w:p>
        </w:tc>
        <w:tc>
          <w:tcPr>
            <w:tcW w:type="dxa" w:w="7272"/>
            <w:vAlign w:val="center"/>
            <w:shd w:fill="1F4E78"/>
          </w:tcPr>
          <w:p>
            <w:pPr>
              <w:spacing w:after="0"/>
            </w:pPr>
            <w:r>
              <w:rPr>
                <w:b/>
                <w:color w:val="FFFFFF"/>
                <w:sz w:val="18"/>
              </w:rPr>
              <w:t>Responsabilidad</w:t>
            </w:r>
          </w:p>
        </w:tc>
      </w:tr>
      <w:tr>
        <w:tc>
          <w:tcPr>
            <w:tcW w:type="dxa" w:w="3240"/>
            <w:vAlign w:val="top"/>
          </w:tcPr>
          <w:p>
            <w:pPr>
              <w:spacing w:after="0"/>
            </w:pPr>
            <w:r>
              <w:rPr>
                <w:sz w:val="17"/>
              </w:rPr>
              <w:t>packages/shared</w:t>
            </w:r>
          </w:p>
        </w:tc>
        <w:tc>
          <w:tcPr>
            <w:tcW w:type="dxa" w:w="7272"/>
            <w:vAlign w:val="top"/>
          </w:tcPr>
          <w:p>
            <w:pPr>
              <w:spacing w:after="0"/>
            </w:pPr>
            <w:r>
              <w:rPr>
                <w:sz w:val="17"/>
              </w:rPr>
              <w:t>Ampliación tipada de SourceCode</w:t>
            </w:r>
          </w:p>
        </w:tc>
      </w:tr>
      <w:tr>
        <w:tc>
          <w:tcPr>
            <w:tcW w:type="dxa" w:w="3240"/>
            <w:vAlign w:val="top"/>
          </w:tcPr>
          <w:p>
            <w:pPr>
              <w:spacing w:after="0"/>
            </w:pPr>
            <w:r>
              <w:rPr>
                <w:sz w:val="17"/>
              </w:rPr>
              <w:t>apps/worker/providers</w:t>
            </w:r>
          </w:p>
        </w:tc>
        <w:tc>
          <w:tcPr>
            <w:tcW w:type="dxa" w:w="7272"/>
            <w:vAlign w:val="top"/>
          </w:tcPr>
          <w:p>
            <w:r>
              <w:t>Adaptadores GEOFON, GeoNet, BMKG, JMA y CWA; parsers FDSN/JSON</w:t>
            </w:r>
          </w:p>
        </w:tc>
      </w:tr>
      <w:tr>
        <w:tc>
          <w:tcPr>
            <w:tcW w:type="dxa" w:w="3240"/>
            <w:vAlign w:val="top"/>
          </w:tcPr>
          <w:p>
            <w:pPr>
              <w:spacing w:after="0"/>
            </w:pPr>
            <w:r>
              <w:rPr>
                <w:sz w:val="17"/>
              </w:rPr>
              <w:t>apps/worker/services</w:t>
            </w:r>
          </w:p>
        </w:tc>
        <w:tc>
          <w:tcPr>
            <w:tcW w:type="dxa" w:w="7272"/>
            <w:vAlign w:val="top"/>
          </w:tcPr>
          <w:p>
            <w:pPr>
              <w:spacing w:after="0"/>
            </w:pPr>
            <w:r>
              <w:rPr>
                <w:sz w:val="17"/>
              </w:rPr>
              <w:t>Frecuencias y prioridades regionales</w:t>
            </w:r>
          </w:p>
        </w:tc>
      </w:tr>
      <w:tr>
        <w:tc>
          <w:tcPr>
            <w:tcW w:type="dxa" w:w="3240"/>
            <w:vAlign w:val="top"/>
          </w:tcPr>
          <w:p>
            <w:pPr>
              <w:spacing w:after="0"/>
            </w:pPr>
            <w:r>
              <w:rPr>
                <w:sz w:val="17"/>
              </w:rPr>
              <w:t>apps/api</w:t>
            </w:r>
          </w:p>
        </w:tc>
        <w:tc>
          <w:tcPr>
            <w:tcW w:type="dxa" w:w="7272"/>
            <w:vAlign w:val="top"/>
          </w:tcPr>
          <w:p>
            <w:r>
              <w:t>Exposición del estado de las doce fuentes</w:t>
            </w:r>
          </w:p>
        </w:tc>
      </w:tr>
      <w:tr>
        <w:tc>
          <w:tcPr>
            <w:tcW w:type="dxa" w:w="3240"/>
            <w:vAlign w:val="top"/>
          </w:tcPr>
          <w:p>
            <w:pPr>
              <w:spacing w:after="0"/>
            </w:pPr>
            <w:r>
              <w:rPr>
                <w:sz w:val="17"/>
              </w:rPr>
              <w:t>PostgreSQL/PostGIS</w:t>
            </w:r>
          </w:p>
        </w:tc>
        <w:tc>
          <w:tcPr>
            <w:tcW w:type="dxa" w:w="7272"/>
            <w:vAlign w:val="top"/>
          </w:tcPr>
          <w:p>
            <w:pPr>
              <w:spacing w:after="0"/>
            </w:pPr>
            <w:r>
              <w:rPr>
                <w:sz w:val="17"/>
              </w:rPr>
              <w:t>Persistencia, unicidad y asociación espacial sin migración adicional</w:t>
            </w:r>
          </w:p>
        </w:tc>
      </w:tr>
    </w:tbl>
    <w:p/>
    <w:p>
      <w:pPr>
        <w:pStyle w:val="Heading2"/>
      </w:pPr>
      <w:r>
        <w:t>15.4 Evidencia y limitaciones</w:t>
      </w:r>
    </w:p>
    <w:p>
      <w:pPr>
        <w:pStyle w:val="ListBullet"/>
      </w:pPr>
      <w:r>
        <w:t>Primera corrida GEOFON: 58 asociaciones y 4 inserciones.</w:t>
      </w:r>
    </w:p>
    <w:p>
      <w:pPr>
        <w:pStyle w:val="ListBullet"/>
      </w:pPr>
      <w:r>
        <w:t>Primera corrida GeoNet: 6 asociaciones y 20 inserciones.</w:t>
      </w:r>
    </w:p>
    <w:p>
      <w:pPr>
        <w:pStyle w:val="ListBullet"/>
      </w:pPr>
      <w:r>
        <w:t>Cero duplicados por la clave compuesta de fuente e identificador.</w:t>
      </w:r>
    </w:p>
    <w:p>
      <w:pPr>
        <w:pStyle w:val="ListBullet"/>
      </w:pPr>
      <w:r>
        <w:t>Primera corrida BMKG: 2 asociaciones y 1 inserción; reingesta idempotente.</w:t>
      </w:r>
    </w:p>
    <w:p>
      <w:pPr>
        <w:pStyle w:val="ListBullet"/>
      </w:pPr>
      <w:r>
        <w:t>Primera corrida JMA conforme: 11 asociaciones y 5 inserciones; 16 referencias únicas.</w:t>
      </w:r>
    </w:p>
    <w:p>
      <w:pPr>
        <w:pStyle w:val="ListBullet"/>
      </w:pPr>
      <w:r>
        <w:t>Incidencia inicial JMA: prioridad nula; corregida sin persistencia parcial. Incidencia inicial CWA: solapamiento Taiwan/Japón en prioridad regional; corregido con una actualización controlada del canónico.</w:t>
      </w:r>
    </w:p>
    <w:p>
      <w:pPr>
        <w:pStyle w:val="ListBullet"/>
      </w:pPr>
      <w:r>
        <w:t>Primera corrida CWA conforme: 2 inserciones y 2 referencias únicas; reingesta idempotente. Doce fuentes quedan expuestas por API. Veinte pruebas unitarias, typecheck y build ejecutados correctamente. La evidencia específica se registra en VALIDATION-007.</w:t>
      </w:r>
    </w:p>
    <w:p>
      <w:pPr>
        <w:pStyle w:val="ListBullet"/>
      </w:pPr>
      <w:r>
        <w:t>DHN/CNAT, SGC, CSN e ISC permanecen fuera del worker en vivo por las razones registradas en SDD-004, SDD-005, SDD-006 y SDD-007.</w:t>
      </w:r>
    </w:p>
    <w:p>
      <w:pPr>
        <w:pStyle w:val="Heading1"/>
      </w:pPr>
      <w:r>
        <w:t>16. Referencias complementarias</w:t>
      </w:r>
    </w:p>
    <w:p>
      <w:pPr>
        <w:pStyle w:val="ListBullet"/>
      </w:pPr>
      <w:r>
        <w:rPr>
          <w:b/>
        </w:rPr>
        <w:t xml:space="preserve">GEOFON FDSN Event: </w:t>
      </w:r>
      <w:r>
        <w:t>https://geofon.gfz.de/fdsnws/event/1/</w:t>
      </w:r>
    </w:p>
    <w:p>
      <w:pPr>
        <w:pStyle w:val="ListBullet"/>
      </w:pPr>
      <w:r>
        <w:rPr>
          <w:b/>
        </w:rPr>
        <w:t xml:space="preserve">GeoNet API: </w:t>
      </w:r>
      <w:r>
        <w:t>https://api.geonet.org.nz/</w:t>
      </w:r>
    </w:p>
    <w:p>
      <w:pPr>
        <w:pStyle w:val="ListBullet"/>
      </w:pPr>
      <w:r>
        <w:rPr>
          <w:b/>
        </w:rPr>
        <w:t xml:space="preserve">International Seismological Centre: </w:t>
      </w:r>
      <w:r>
        <w:t>https://www.isc.ac.uk/iscbulletin/</w:t>
      </w:r>
    </w:p>
    <w:p>
      <w:pPr>
        <w:pStyle w:val="ListBullet"/>
      </w:pPr>
      <w:r>
        <w:rPr>
          <w:b/>
        </w:rPr>
        <w:t xml:space="preserve">DHN/CNAT Perú: </w:t>
      </w:r>
      <w:r>
        <w:t>https://www.dhn.mil.pe/cnat/</w:t>
      </w:r>
    </w:p>
    <w:p>
      <w:pPr>
        <w:pStyle w:val="ListBullet"/>
      </w:pPr>
      <w:r>
        <w:rPr>
          <w:b/>
        </w:rPr>
        <w:t xml:space="preserve">SGC Colombia: </w:t>
      </w:r>
      <w:r>
        <w:t>https://www.sgc.gov.co/Sismos/</w:t>
      </w:r>
    </w:p>
    <w:p>
      <w:pPr>
        <w:pStyle w:val="ListBullet"/>
      </w:pPr>
      <w:r>
        <w:rPr>
          <w:b/>
        </w:rPr>
        <w:t xml:space="preserve">CSN Chile: </w:t>
      </w:r>
      <w:r>
        <w:t>https://www.csn.uchile.cl/</w:t>
      </w:r>
    </w:p>
    <w:p>
      <w:pPr>
        <w:pStyle w:val="ListBullet"/>
      </w:pPr>
      <w:r>
        <w:rPr>
          <w:b/>
        </w:rPr>
        <w:t xml:space="preserve">BMKG - Datos abiertos de terremotos: </w:t>
      </w:r>
      <w:r>
        <w:t>https://data.bmkg.go.id/gempabumi/</w:t>
      </w:r>
    </w:p>
    <w:p>
      <w:pPr>
        <w:pStyle w:val="ListBullet"/>
      </w:pPr>
      <w:r>
        <w:rPr>
          <w:b/>
        </w:rPr>
        <w:t xml:space="preserve">JMA - Información de terremotos: </w:t>
      </w:r>
      <w:r>
        <w:t>https://www.jma.go.jp/bosai/map.html#contents=earthquake</w:t>
      </w:r>
    </w:p>
    <w:p>
      <w:r>
        <w:t>CWA Taiwan - Earthquake Report E-A0016-002: https://opendata.cwa.gov.tw/</w:t>
      </w:r>
    </w:p>
    <w:p>
      <w:pPr>
        <w:pStyle w:val="Heading1"/>
      </w:pPr>
      <w:r>
        <w:t>17. Arquitectura del subsistema experimental de estaciones</w:t>
      </w:r>
    </w:p>
    <w:p>
      <w:r>
        <w:t>La solución adopta una arquitectura desacoplada. SeisComP realiza adquisición, picking, asociación, localización y magnitud en Linux. TypeScript y Node.js conservan la responsabilidad de normalizar contratos, persistir resultados, aplicar seguridad y distribuir estados hacia CesiumJS.</w:t>
      </w:r>
    </w:p>
    <w:p>
      <w:pPr>
        <w:pStyle w:val="Heading2"/>
      </w:pPr>
      <w:r>
        <w:t>17.1 Flujo técnico</w:t>
      </w:r>
    </w:p>
    <w:p>
      <w:pPr>
        <w:pStyle w:val="CodeBlock"/>
      </w:pPr>
      <w:r>
        <w:t>FDSN Station / SeedLink</w:t>
        <w:br/>
        <w:t xml:space="preserve">          |</w:t>
        <w:br/>
        <w:t xml:space="preserve">          v</w:t>
        <w:br/>
        <w:t>SeisComP en Linux VM o WSL2</w:t>
        <w:br/>
        <w:t xml:space="preserve">  scautopick -&gt; scautoloc -&gt; scamp/scmag</w:t>
        <w:br/>
        <w:t xml:space="preserve">          |</w:t>
        <w:br/>
        <w:t xml:space="preserve">          v</w:t>
        <w:br/>
        <w:t>Adaptador interno autenticado</w:t>
        <w:br/>
        <w:t xml:space="preserve">          |</w:t>
        <w:br/>
        <w:t xml:space="preserve">          v</w:t>
        <w:br/>
        <w:t>Node.js API/worker -&gt; PostgreSQL/PostGIS -&gt; SSE -&gt; CesiumJS</w:t>
      </w:r>
    </w:p>
    <w:p>
      <w:pPr>
        <w:pStyle w:val="Heading2"/>
      </w:pPr>
      <w:r>
        <w:t>17.2 Componentes</w:t>
      </w:r>
    </w:p>
    <w:tbl>
      <w:tblPr>
        <w:tblStyle w:val="TableGrid"/>
        <w:tblW w:type="auto" w:w="0"/>
        <w:tblLayout w:type="autofit"/>
        <w:tblLook w:firstColumn="1" w:firstRow="1" w:lastColumn="0" w:lastRow="0" w:noHBand="0" w:noVBand="1" w:val="04A0"/>
      </w:tblPr>
      <w:tblGrid>
        <w:gridCol w:w="3264"/>
        <w:gridCol w:w="3264"/>
        <w:gridCol w:w="3264"/>
      </w:tblGrid>
      <w:tr>
        <w:tc>
          <w:tcPr>
            <w:tcW w:type="dxa" w:w="2268"/>
            <w:shd w:fill="D9E2F3"/>
          </w:tcPr>
          <w:p>
            <w:r>
              <w:rPr>
                <w:b/>
                <w:sz w:val="18"/>
              </w:rPr>
              <w:t>Componente</w:t>
            </w:r>
          </w:p>
        </w:tc>
        <w:tc>
          <w:tcPr>
            <w:tcW w:type="dxa" w:w="2381"/>
            <w:shd w:fill="D9E2F3"/>
          </w:tcPr>
          <w:p>
            <w:r>
              <w:rPr>
                <w:b/>
                <w:sz w:val="18"/>
              </w:rPr>
              <w:t>Tecnología</w:t>
            </w:r>
          </w:p>
        </w:tc>
        <w:tc>
          <w:tcPr>
            <w:tcW w:type="dxa" w:w="4649"/>
            <w:shd w:fill="D9E2F3"/>
          </w:tcPr>
          <w:p>
            <w:r>
              <w:rPr>
                <w:b/>
                <w:sz w:val="18"/>
              </w:rPr>
              <w:t>Responsabilidad</w:t>
            </w:r>
          </w:p>
        </w:tc>
      </w:tr>
      <w:tr>
        <w:tc>
          <w:tcPr>
            <w:tcW w:type="dxa" w:w="2268"/>
          </w:tcPr>
          <w:p>
            <w:r>
              <w:rPr>
                <w:sz w:val="18"/>
              </w:rPr>
              <w:t>Station catalog provider</w:t>
            </w:r>
          </w:p>
        </w:tc>
        <w:tc>
          <w:tcPr>
            <w:tcW w:type="dxa" w:w="2381"/>
          </w:tcPr>
          <w:p>
            <w:r>
              <w:rPr>
                <w:sz w:val="18"/>
              </w:rPr>
              <w:t>TypeScript + FDSN text</w:t>
            </w:r>
          </w:p>
        </w:tc>
        <w:tc>
          <w:tcPr>
            <w:tcW w:type="dxa" w:w="4649"/>
          </w:tcPr>
          <w:p>
            <w:r>
              <w:rPr>
                <w:sz w:val="18"/>
              </w:rPr>
              <w:t>Descargar, validar y versionar metadatos de estaciones.</w:t>
            </w:r>
          </w:p>
        </w:tc>
      </w:tr>
      <w:tr>
        <w:tc>
          <w:tcPr>
            <w:tcW w:type="dxa" w:w="2268"/>
          </w:tcPr>
          <w:p>
            <w:r>
              <w:rPr>
                <w:sz w:val="18"/>
              </w:rPr>
              <w:t>Scientific engine</w:t>
            </w:r>
          </w:p>
        </w:tc>
        <w:tc>
          <w:tcPr>
            <w:tcW w:type="dxa" w:w="2381"/>
          </w:tcPr>
          <w:p>
            <w:r>
              <w:rPr>
                <w:sz w:val="18"/>
              </w:rPr>
              <w:t>SeisComP sobre Linux</w:t>
            </w:r>
          </w:p>
        </w:tc>
        <w:tc>
          <w:tcPr>
            <w:tcW w:type="dxa" w:w="4649"/>
          </w:tcPr>
          <w:p>
            <w:r>
              <w:rPr>
                <w:sz w:val="18"/>
              </w:rPr>
              <w:t>Consumir SeedLink/MiniSEED y producir picks, amplitudes y orígenes.</w:t>
            </w:r>
          </w:p>
        </w:tc>
      </w:tr>
      <w:tr>
        <w:tc>
          <w:tcPr>
            <w:tcW w:type="dxa" w:w="2268"/>
          </w:tcPr>
          <w:p>
            <w:r>
              <w:rPr>
                <w:sz w:val="18"/>
              </w:rPr>
              <w:t>Engine adapter</w:t>
            </w:r>
          </w:p>
        </w:tc>
        <w:tc>
          <w:tcPr>
            <w:tcW w:type="dxa" w:w="2381"/>
          </w:tcPr>
          <w:p>
            <w:r>
              <w:rPr>
                <w:sz w:val="18"/>
              </w:rPr>
              <w:t>API interna Node.js</w:t>
            </w:r>
          </w:p>
        </w:tc>
        <w:tc>
          <w:tcPr>
            <w:tcW w:type="dxa" w:w="4649"/>
          </w:tcPr>
          <w:p>
            <w:r>
              <w:rPr>
                <w:sz w:val="18"/>
              </w:rPr>
              <w:t>Validar autenticación, esquema, límites temporales e idempotencia.</w:t>
            </w:r>
          </w:p>
        </w:tc>
      </w:tr>
      <w:tr>
        <w:tc>
          <w:tcPr>
            <w:tcW w:type="dxa" w:w="2268"/>
          </w:tcPr>
          <w:p>
            <w:r>
              <w:rPr>
                <w:sz w:val="18"/>
              </w:rPr>
              <w:t>Persistence</w:t>
            </w:r>
          </w:p>
        </w:tc>
        <w:tc>
          <w:tcPr>
            <w:tcW w:type="dxa" w:w="2381"/>
          </w:tcPr>
          <w:p>
            <w:r>
              <w:rPr>
                <w:sz w:val="18"/>
              </w:rPr>
              <w:t>PostgreSQL + PostGIS</w:t>
            </w:r>
          </w:p>
        </w:tc>
        <w:tc>
          <w:tcPr>
            <w:tcW w:type="dxa" w:w="4649"/>
          </w:tcPr>
          <w:p>
            <w:r>
              <w:rPr>
                <w:sz w:val="18"/>
              </w:rPr>
              <w:t>Guardar estaciones, último estado, picks y orígenes experimentales.</w:t>
            </w:r>
          </w:p>
        </w:tc>
      </w:tr>
      <w:tr>
        <w:tc>
          <w:tcPr>
            <w:tcW w:type="dxa" w:w="2268"/>
          </w:tcPr>
          <w:p>
            <w:r>
              <w:rPr>
                <w:sz w:val="18"/>
              </w:rPr>
              <w:t>Distribution</w:t>
            </w:r>
          </w:p>
        </w:tc>
        <w:tc>
          <w:tcPr>
            <w:tcW w:type="dxa" w:w="2381"/>
          </w:tcPr>
          <w:p>
            <w:r>
              <w:rPr>
                <w:sz w:val="18"/>
              </w:rPr>
              <w:t>REST + SSE</w:t>
            </w:r>
          </w:p>
        </w:tc>
        <w:tc>
          <w:tcPr>
            <w:tcW w:type="dxa" w:w="4649"/>
          </w:tcPr>
          <w:p>
            <w:r>
              <w:rPr>
                <w:sz w:val="18"/>
              </w:rPr>
              <w:t>Exponer catálogo y cambios sin abrir SeedLink al navegador.</w:t>
            </w:r>
          </w:p>
        </w:tc>
      </w:tr>
      <w:tr>
        <w:tc>
          <w:tcPr>
            <w:tcW w:type="dxa" w:w="2268"/>
          </w:tcPr>
          <w:p>
            <w:r>
              <w:rPr>
                <w:sz w:val="18"/>
              </w:rPr>
              <w:t>Visualization</w:t>
            </w:r>
          </w:p>
        </w:tc>
        <w:tc>
          <w:tcPr>
            <w:tcW w:type="dxa" w:w="2381"/>
          </w:tcPr>
          <w:p>
            <w:r>
              <w:rPr>
                <w:sz w:val="18"/>
              </w:rPr>
              <w:t>React + CesiumJS</w:t>
            </w:r>
          </w:p>
        </w:tc>
        <w:tc>
          <w:tcPr>
            <w:tcW w:type="dxa" w:w="4649"/>
          </w:tcPr>
          <w:p>
            <w:r>
              <w:rPr>
                <w:sz w:val="18"/>
              </w:rPr>
              <w:t>Renderizar estaciones, detalle y frentes P/S sincronizados.</w:t>
            </w:r>
          </w:p>
        </w:tc>
      </w:tr>
    </w:tbl>
    <w:p/>
    <w:p>
      <w:pPr>
        <w:pStyle w:val="Heading2"/>
      </w:pPr>
      <w:r>
        <w:t>17.3 Modelo de datos</w:t>
      </w:r>
    </w:p>
    <w:tbl>
      <w:tblPr>
        <w:tblStyle w:val="TableGrid"/>
        <w:tblW w:type="auto" w:w="0"/>
        <w:tblLayout w:type="autofit"/>
        <w:tblLook w:firstColumn="1" w:firstRow="1" w:lastColumn="0" w:lastRow="0" w:noHBand="0" w:noVBand="1" w:val="04A0"/>
      </w:tblPr>
      <w:tblGrid>
        <w:gridCol w:w="3264"/>
        <w:gridCol w:w="3264"/>
        <w:gridCol w:w="3264"/>
      </w:tblGrid>
      <w:tr>
        <w:tc>
          <w:tcPr>
            <w:tcW w:type="dxa" w:w="2608"/>
            <w:shd w:fill="D9E2F3"/>
          </w:tcPr>
          <w:p>
            <w:r>
              <w:rPr>
                <w:b/>
                <w:sz w:val="18"/>
              </w:rPr>
              <w:t>Entidad</w:t>
            </w:r>
          </w:p>
        </w:tc>
        <w:tc>
          <w:tcPr>
            <w:tcW w:type="dxa" w:w="2324"/>
            <w:shd w:fill="D9E2F3"/>
          </w:tcPr>
          <w:p>
            <w:r>
              <w:rPr>
                <w:b/>
                <w:sz w:val="18"/>
              </w:rPr>
              <w:t>Clave</w:t>
            </w:r>
          </w:p>
        </w:tc>
        <w:tc>
          <w:tcPr>
            <w:tcW w:type="dxa" w:w="4365"/>
            <w:shd w:fill="D9E2F3"/>
          </w:tcPr>
          <w:p>
            <w:r>
              <w:rPr>
                <w:b/>
                <w:sz w:val="18"/>
              </w:rPr>
              <w:t>Contenido principal</w:t>
            </w:r>
          </w:p>
        </w:tc>
      </w:tr>
      <w:tr>
        <w:tc>
          <w:tcPr>
            <w:tcW w:type="dxa" w:w="2608"/>
          </w:tcPr>
          <w:p>
            <w:r>
              <w:rPr>
                <w:sz w:val="18"/>
              </w:rPr>
              <w:t>seismic_stations</w:t>
            </w:r>
          </w:p>
        </w:tc>
        <w:tc>
          <w:tcPr>
            <w:tcW w:type="dxa" w:w="2324"/>
          </w:tcPr>
          <w:p>
            <w:r>
              <w:rPr>
                <w:sz w:val="18"/>
              </w:rPr>
              <w:t>station_id</w:t>
            </w:r>
          </w:p>
        </w:tc>
        <w:tc>
          <w:tcPr>
            <w:tcW w:type="dxa" w:w="4365"/>
          </w:tcPr>
          <w:p>
            <w:r>
              <w:rPr>
                <w:sz w:val="18"/>
              </w:rPr>
              <w:t>Red, estación, coordenadas, elevación, sitio, fechas y fuente.</w:t>
            </w:r>
          </w:p>
        </w:tc>
      </w:tr>
      <w:tr>
        <w:tc>
          <w:tcPr>
            <w:tcW w:type="dxa" w:w="2608"/>
          </w:tcPr>
          <w:p>
            <w:r>
              <w:rPr>
                <w:sz w:val="18"/>
              </w:rPr>
              <w:t>station_states</w:t>
            </w:r>
          </w:p>
        </w:tc>
        <w:tc>
          <w:tcPr>
            <w:tcW w:type="dxa" w:w="2324"/>
          </w:tcPr>
          <w:p>
            <w:r>
              <w:rPr>
                <w:sz w:val="18"/>
              </w:rPr>
              <w:t>station_id</w:t>
            </w:r>
          </w:p>
        </w:tc>
        <w:tc>
          <w:tcPr>
            <w:tcW w:type="dxa" w:w="4365"/>
          </w:tcPr>
          <w:p>
            <w:r>
              <w:rPr>
                <w:sz w:val="18"/>
              </w:rPr>
              <w:t>Estado vigente, latencia, fase, valor de activación y hora UTC.</w:t>
            </w:r>
          </w:p>
        </w:tc>
      </w:tr>
      <w:tr>
        <w:tc>
          <w:tcPr>
            <w:tcW w:type="dxa" w:w="2608"/>
          </w:tcPr>
          <w:p>
            <w:r>
              <w:rPr>
                <w:sz w:val="18"/>
              </w:rPr>
              <w:t>seismic_picks</w:t>
            </w:r>
          </w:p>
        </w:tc>
        <w:tc>
          <w:tcPr>
            <w:tcW w:type="dxa" w:w="2324"/>
          </w:tcPr>
          <w:p>
            <w:r>
              <w:rPr>
                <w:sz w:val="18"/>
              </w:rPr>
              <w:t>pick_id</w:t>
            </w:r>
          </w:p>
        </w:tc>
        <w:tc>
          <w:tcPr>
            <w:tcW w:type="dxa" w:w="4365"/>
          </w:tcPr>
          <w:p>
            <w:r>
              <w:rPr>
                <w:sz w:val="18"/>
              </w:rPr>
              <w:t>Estación, fase, tiempo de llegada, SNR, amplitud y algoritmo.</w:t>
            </w:r>
          </w:p>
        </w:tc>
      </w:tr>
      <w:tr>
        <w:tc>
          <w:tcPr>
            <w:tcW w:type="dxa" w:w="2608"/>
          </w:tcPr>
          <w:p>
            <w:r>
              <w:rPr>
                <w:sz w:val="18"/>
              </w:rPr>
              <w:t>experimental_origins</w:t>
            </w:r>
          </w:p>
        </w:tc>
        <w:tc>
          <w:tcPr>
            <w:tcW w:type="dxa" w:w="2324"/>
          </w:tcPr>
          <w:p>
            <w:r>
              <w:rPr>
                <w:sz w:val="18"/>
              </w:rPr>
              <w:t>origin_id</w:t>
            </w:r>
          </w:p>
        </w:tc>
        <w:tc>
          <w:tcPr>
            <w:tcW w:type="dxa" w:w="4365"/>
          </w:tcPr>
          <w:p>
            <w:r>
              <w:rPr>
                <w:sz w:val="18"/>
              </w:rPr>
              <w:t>Hipocentro, magnitud, calidad, estaciones usadas y estado de revisión.</w:t>
            </w:r>
          </w:p>
        </w:tc>
      </w:tr>
    </w:tbl>
    <w:p/>
    <w:p>
      <w:pPr>
        <w:pStyle w:val="Heading2"/>
        <w:keepNext/>
        <w:pageBreakBefore/>
      </w:pPr>
      <w:r>
        <w:t>17.4 Contratos API</w:t>
      </w:r>
    </w:p>
    <w:tbl>
      <w:tblPr>
        <w:tblStyle w:val="TableGrid"/>
        <w:tblW w:type="auto" w:w="0"/>
        <w:tblLayout w:type="autofit"/>
        <w:tblLook w:firstColumn="1" w:firstRow="1" w:lastColumn="0" w:lastRow="0" w:noHBand="0" w:noVBand="1" w:val="04A0"/>
      </w:tblPr>
      <w:tblGrid>
        <w:gridCol w:w="3264"/>
        <w:gridCol w:w="3264"/>
        <w:gridCol w:w="3264"/>
      </w:tblGrid>
      <w:tr>
        <w:tc>
          <w:tcPr>
            <w:tcW w:type="dxa" w:w="2721"/>
            <w:shd w:fill="D9E2F3"/>
          </w:tcPr>
          <w:p>
            <w:r>
              <w:rPr>
                <w:b/>
                <w:sz w:val="18"/>
              </w:rPr>
              <w:t>Método y ruta</w:t>
            </w:r>
          </w:p>
        </w:tc>
        <w:tc>
          <w:tcPr>
            <w:tcW w:type="dxa" w:w="3685"/>
            <w:shd w:fill="D9E2F3"/>
          </w:tcPr>
          <w:p>
            <w:r>
              <w:rPr>
                <w:b/>
                <w:sz w:val="18"/>
              </w:rPr>
              <w:t>Uso</w:t>
            </w:r>
          </w:p>
        </w:tc>
        <w:tc>
          <w:tcPr>
            <w:tcW w:type="dxa" w:w="2891"/>
            <w:shd w:fill="D9E2F3"/>
          </w:tcPr>
          <w:p>
            <w:r>
              <w:rPr>
                <w:b/>
                <w:sz w:val="18"/>
              </w:rPr>
              <w:t>Exposición</w:t>
            </w:r>
          </w:p>
        </w:tc>
      </w:tr>
      <w:tr>
        <w:tc>
          <w:tcPr>
            <w:tcW w:type="dxa" w:w="2721"/>
          </w:tcPr>
          <w:p>
            <w:r>
              <w:rPr>
                <w:sz w:val="18"/>
              </w:rPr>
              <w:t>GET /api/stations</w:t>
            </w:r>
          </w:p>
        </w:tc>
        <w:tc>
          <w:tcPr>
            <w:tcW w:type="dxa" w:w="3685"/>
          </w:tcPr>
          <w:p>
            <w:r>
              <w:rPr>
                <w:sz w:val="18"/>
              </w:rPr>
              <w:t>Catálogo y último estado</w:t>
            </w:r>
          </w:p>
        </w:tc>
        <w:tc>
          <w:tcPr>
            <w:tcW w:type="dxa" w:w="2891"/>
          </w:tcPr>
          <w:p>
            <w:r>
              <w:rPr>
                <w:sz w:val="18"/>
              </w:rPr>
              <w:t>Pública, solo lectura</w:t>
            </w:r>
          </w:p>
        </w:tc>
      </w:tr>
      <w:tr>
        <w:tc>
          <w:tcPr>
            <w:tcW w:type="dxa" w:w="2721"/>
          </w:tcPr>
          <w:p>
            <w:r>
              <w:rPr>
                <w:sz w:val="18"/>
              </w:rPr>
              <w:t>GET /api/stations/stream</w:t>
            </w:r>
          </w:p>
        </w:tc>
        <w:tc>
          <w:tcPr>
            <w:tcW w:type="dxa" w:w="3685"/>
          </w:tcPr>
          <w:p>
            <w:r>
              <w:rPr>
                <w:sz w:val="18"/>
              </w:rPr>
              <w:t>Cambios de estado por SSE</w:t>
            </w:r>
          </w:p>
        </w:tc>
        <w:tc>
          <w:tcPr>
            <w:tcW w:type="dxa" w:w="2891"/>
          </w:tcPr>
          <w:p>
            <w:r>
              <w:rPr>
                <w:sz w:val="18"/>
              </w:rPr>
              <w:t>Pública, solo lectura</w:t>
            </w:r>
          </w:p>
        </w:tc>
      </w:tr>
      <w:tr>
        <w:tc>
          <w:tcPr>
            <w:tcW w:type="dxa" w:w="2721"/>
          </w:tcPr>
          <w:p>
            <w:r>
              <w:rPr>
                <w:sz w:val="18"/>
              </w:rPr>
              <w:t>POST /internal/seismic-engine/snapshots</w:t>
            </w:r>
          </w:p>
        </w:tc>
        <w:tc>
          <w:tcPr>
            <w:tcW w:type="dxa" w:w="3685"/>
          </w:tcPr>
          <w:p>
            <w:r>
              <w:rPr>
                <w:sz w:val="18"/>
              </w:rPr>
              <w:t>Estados y picks producidos por el motor</w:t>
            </w:r>
          </w:p>
        </w:tc>
        <w:tc>
          <w:tcPr>
            <w:tcW w:type="dxa" w:w="2891"/>
          </w:tcPr>
          <w:p>
            <w:r>
              <w:rPr>
                <w:sz w:val="18"/>
              </w:rPr>
              <w:t>Interna, token obligatorio</w:t>
            </w:r>
          </w:p>
        </w:tc>
      </w:tr>
      <w:tr>
        <w:tc>
          <w:tcPr>
            <w:tcW w:type="dxa" w:w="2721"/>
          </w:tcPr>
          <w:p>
            <w:r>
              <w:rPr>
                <w:sz w:val="18"/>
              </w:rPr>
              <w:t>POST /internal/seismic-engine/origins</w:t>
            </w:r>
          </w:p>
        </w:tc>
        <w:tc>
          <w:tcPr>
            <w:tcW w:type="dxa" w:w="3685"/>
          </w:tcPr>
          <w:p>
            <w:r>
              <w:rPr>
                <w:sz w:val="18"/>
              </w:rPr>
              <w:t>Orígenes experimentales</w:t>
            </w:r>
          </w:p>
        </w:tc>
        <w:tc>
          <w:tcPr>
            <w:tcW w:type="dxa" w:w="2891"/>
          </w:tcPr>
          <w:p>
            <w:r>
              <w:rPr>
                <w:sz w:val="18"/>
              </w:rPr>
              <w:t>Interna, token obligatorio</w:t>
            </w:r>
          </w:p>
        </w:tc>
      </w:tr>
    </w:tbl>
    <w:p/>
    <w:p>
      <w:pPr>
        <w:pStyle w:val="Heading2"/>
      </w:pPr>
      <w:r>
        <w:t>17.5 Reglas de seguridad y calidad</w:t>
      </w:r>
    </w:p>
    <w:p>
      <w:pPr>
        <w:pStyle w:val="ListBullet"/>
      </w:pPr>
      <w:r>
        <w:t>El token del adaptador se mantiene fuera del repositorio y nunca se entrega al frontend.</w:t>
      </w:r>
    </w:p>
    <w:p>
      <w:pPr>
        <w:pStyle w:val="ListBullet"/>
      </w:pPr>
      <w:r>
        <w:t>Cada mensaje tiene identificador idempotente, marca UTC y versión de esquema.</w:t>
      </w:r>
    </w:p>
    <w:p>
      <w:pPr>
        <w:pStyle w:val="ListBullet"/>
      </w:pPr>
      <w:r>
        <w:t>Se rechazan coordenadas, fases, latencias o tiempos fuera de límites configurados.</w:t>
      </w:r>
    </w:p>
    <w:p>
      <w:pPr>
        <w:pStyle w:val="ListBullet"/>
      </w:pPr>
      <w:r>
        <w:t>Los orígenes experimentales no ingresan automáticamente al catálogo oficial consolidado.</w:t>
      </w:r>
    </w:p>
    <w:p>
      <w:pPr>
        <w:pStyle w:val="ListBullet"/>
      </w:pPr>
      <w:r>
        <w:t>La conexión SeedLink se centraliza en el motor; los navegadores no se conectan a redes científicas.</w:t>
      </w:r>
    </w:p>
    <w:p>
      <w:pPr>
        <w:pStyle w:val="Heading2"/>
      </w:pPr>
      <w:r>
        <w:t>17.6 Despliegue y operación</w:t>
      </w:r>
    </w:p>
    <w:p>
      <w:r>
        <w:t>Para desarrollo se admite Windows como host con Ubuntu 24.04 sobre WSL2 o una máquina virtual Linux. PostgreSQL y las aplicaciones TypeScript pueden continuar en el entorno actual. SeisComP debe instalarse y configurarse dentro de Linux con almacenamiento independiente para buffers MiniSEED. El primer modo operativo es reproducción histórica y luego modo sombra en tiempo real.</w:t>
      </w:r>
    </w:p>
    <w:p>
      <w:pPr>
        <w:pStyle w:val="Heading2"/>
      </w:pPr>
      <w:r>
        <w:t>17.7 Criterios técnicos de salida</w:t>
      </w:r>
    </w:p>
    <w:p>
      <w:pPr>
        <w:pStyle w:val="ListBullet"/>
      </w:pPr>
      <w:r>
        <w:t>Catálogo FDSN importado sin duplicar station_id.</w:t>
      </w:r>
    </w:p>
    <w:p>
      <w:pPr>
        <w:pStyle w:val="ListBullet"/>
      </w:pPr>
      <w:r>
        <w:t>API de estaciones validada por esquema y pruebas de integración.</w:t>
      </w:r>
    </w:p>
    <w:p>
      <w:pPr>
        <w:pStyle w:val="ListBullet"/>
      </w:pPr>
      <w:r>
        <w:t>Estados del adaptador persistidos de forma idempotente.</w:t>
      </w:r>
    </w:p>
    <w:p>
      <w:pPr>
        <w:pStyle w:val="ListBullet"/>
      </w:pPr>
      <w:r>
        <w:t>CesiumJS representa estaciones sin degradar la interacción del globo.</w:t>
      </w:r>
    </w:p>
    <w:p>
      <w:pPr>
        <w:pStyle w:val="ListBullet"/>
      </w:pPr>
      <w:r>
        <w:t>Frentes P/S usan el tiempo de origen y no reinician al seleccionar.</w:t>
      </w:r>
    </w:p>
    <w:p>
      <w:pPr>
        <w:pStyle w:val="ListBullet"/>
      </w:pPr>
      <w:r>
        <w:t>Pruebas automatizadas, build y validación visual aprobados.</w:t>
      </w:r>
    </w:p>
    <w:p>
      <w:pPr>
        <w:pStyle w:val="ListBullet"/>
      </w:pPr>
      <w:r>
        <w:t>Toda salida experimental conserva etiqueta visible y trazabilidad.</w:t>
      </w:r>
    </w:p>
    <w:p>
      <w:pPr>
        <w:pStyle w:val="Heading2"/>
      </w:pPr>
      <w:r>
        <w:t>17.8 Trazabilidad documental</w:t>
      </w:r>
    </w:p>
    <w:p>
      <w:r>
        <w:t>Esta ampliación deriva del informe funcional, del presente informe técnico y de la norma PROCESO_DE_ENTREGA_Y_VALIDACION. Su implementación se rige por SDD-014; TEST-014 define las pruebas y VALIDATION-014 registra los resultados.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Documento de sustentación - Stack TypeScript, Node.js, PostgreSQL/PostGIS y WSL2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Informe Técnico de Arquitectura y Desarrollo - Plataforma de Visualización Sísmica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ypescriptlang.org/docs/" TargetMode="External"/><Relationship Id="rId12" Type="http://schemas.openxmlformats.org/officeDocument/2006/relationships/hyperlink" Target="https://nodejs.org/docs/latest/api/" TargetMode="External"/><Relationship Id="rId13" Type="http://schemas.openxmlformats.org/officeDocument/2006/relationships/hyperlink" Target="https://www.postgresql.org/docs/" TargetMode="External"/><Relationship Id="rId14" Type="http://schemas.openxmlformats.org/officeDocument/2006/relationships/hyperlink" Target="https://learn.microsoft.com/en-us/windows/wsl/install" TargetMode="External"/><Relationship Id="rId15" Type="http://schemas.openxmlformats.org/officeDocument/2006/relationships/hyperlink" Target="https://learn.microsoft.com/en-us/windows/wsl/setup/environment" TargetMode="External"/><Relationship Id="rId16" Type="http://schemas.openxmlformats.org/officeDocument/2006/relationships/hyperlink" Target="https://earthquake.usgs.gov/fdsnws/event/1/" TargetMode="External"/><Relationship Id="rId17" Type="http://schemas.openxmlformats.org/officeDocument/2006/relationships/hyperlink" Target="https://www.emsc-csem.org/" TargetMode="External"/><Relationship Id="rId18" Type="http://schemas.openxmlformats.org/officeDocument/2006/relationships/hyperlink" Target="https://www.tsunami.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Arquitectura y Desarrollo</dc:title>
  <dc:subject>TypeScript, Node.js, MySQL y WSL2</dc:subject>
  <dc:creator>python-docx</dc:creator>
  <cp:keywords>sismología, PostGIS, CesiumJS, GEOFON, GeoNet, fuentes oficiales, BMKG, Indonesia, JMA, Japón</cp:keywords>
  <dc:description>generated by python-docx</dc:description>
  <cp:lastModifiedBy/>
  <cp:revision>5</cp:revision>
  <dcterms:created xsi:type="dcterms:W3CDTF">2013-12-23T23:15:00Z</dcterms:created>
  <dcterms:modified xsi:type="dcterms:W3CDTF">2026-06-30T14:50:09Z</dcterms:modified>
  <cp:category/>
</cp:coreProperties>
</file>