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9" w:lineRule="auto"/>
        <w:jc w:val="center"/>
      </w:pPr>
      <w:r>
        <w:rPr>
          <w:b/>
          <w:color w:val="1F4E79"/>
          <w:sz w:val="48"/>
        </w:rPr>
        <w:t>Informe de Alcance y Diseño Funcional</w:t>
      </w:r>
    </w:p>
    <w:p>
      <w:pPr>
        <w:spacing w:after="120" w:line="259" w:lineRule="auto"/>
        <w:jc w:val="center"/>
      </w:pPr>
      <w:r>
        <w:rPr>
          <w:b/>
          <w:color w:val="2F5597"/>
          <w:sz w:val="34"/>
        </w:rPr>
        <w:t>Plataforma de Visualización Sísmica en Mapa Interactivo</w:t>
      </w:r>
    </w:p>
    <w:p>
      <w:pPr>
        <w:spacing w:after="120" w:line="259" w:lineRule="auto"/>
        <w:jc w:val="center"/>
      </w:pPr>
      <w:r>
        <w:t>Etapa 1: integración de información sísmica, visualización geoespacial e interactividad en vivo</w:t>
      </w:r>
    </w:p>
    <w:p>
      <w:pPr>
        <w:spacing w:after="120" w:line="259" w:lineRule="auto"/>
        <w:jc w:val="center"/>
      </w:pPr>
      <w:r>
        <w:t>Versión 1.3 - Junio de 2026</w:t>
      </w:r>
    </w:p>
    <w:p>
      <w:pPr>
        <w:spacing w:after="120" w:line="259" w:lineRule="auto"/>
      </w:pPr>
    </w:p>
    <w:tbl>
      <w:tblPr>
        <w:tblStyle w:val="TableGrid"/>
        <w:tblW w:type="auto" w:w="0"/>
        <w:jc w:val="center"/>
        <w:tblLook w:firstColumn="1" w:firstRow="1" w:lastColumn="0" w:lastRow="0" w:noHBand="0" w:noVBand="1" w:val="04A0"/>
      </w:tblPr>
      <w:tblGrid>
        <w:gridCol w:w="4896"/>
        <w:gridCol w:w="4896"/>
      </w:tblGrid>
      <w:tr>
        <w:tc>
          <w:tcPr>
            <w:tcW w:type="dxa" w:w="2880"/>
            <w:shd w:fill="D9EAF7"/>
            <w:vAlign w:val="top"/>
          </w:tcPr>
          <w:p>
            <w:pPr>
              <w:spacing w:after="40"/>
            </w:pPr>
            <w:r>
              <w:rPr>
                <w:sz w:val="18"/>
              </w:rPr>
            </w:r>
            <w:r>
              <w:rPr>
                <w:b/>
                <w:sz w:val="18"/>
              </w:rPr>
              <w:t>Campo</w:t>
            </w:r>
          </w:p>
        </w:tc>
        <w:tc>
          <w:tcPr>
            <w:tcW w:type="dxa" w:w="7776"/>
            <w:shd w:fill="D9EAF7"/>
            <w:vAlign w:val="top"/>
          </w:tcPr>
          <w:p>
            <w:pPr>
              <w:spacing w:after="40"/>
            </w:pPr>
            <w:r>
              <w:rPr>
                <w:sz w:val="18"/>
              </w:rPr>
            </w:r>
            <w:r>
              <w:rPr>
                <w:b/>
                <w:sz w:val="18"/>
              </w:rPr>
              <w:t>Detalle</w:t>
            </w:r>
          </w:p>
        </w:tc>
      </w:tr>
      <w:tr>
        <w:tc>
          <w:tcPr>
            <w:tcW w:type="dxa" w:w="2880"/>
            <w:vAlign w:val="top"/>
          </w:tcPr>
          <w:p>
            <w:pPr>
              <w:spacing w:after="40"/>
            </w:pPr>
            <w:r>
              <w:rPr>
                <w:sz w:val="18"/>
              </w:rPr>
            </w:r>
            <w:r>
              <w:rPr>
                <w:b w:val="0"/>
                <w:sz w:val="18"/>
              </w:rPr>
              <w:t>Proyecto</w:t>
            </w:r>
          </w:p>
        </w:tc>
        <w:tc>
          <w:tcPr>
            <w:tcW w:type="dxa" w:w="7776"/>
            <w:vAlign w:val="top"/>
          </w:tcPr>
          <w:p>
            <w:pPr>
              <w:spacing w:after="40"/>
            </w:pPr>
            <w:r>
              <w:rPr>
                <w:sz w:val="18"/>
              </w:rPr>
            </w:r>
            <w:r>
              <w:rPr>
                <w:b w:val="0"/>
                <w:sz w:val="18"/>
              </w:rPr>
              <w:t>Plataforma de Visualización Sísmica en Mapa Interactivo</w:t>
            </w:r>
          </w:p>
        </w:tc>
      </w:tr>
      <w:tr>
        <w:tc>
          <w:tcPr>
            <w:tcW w:type="dxa" w:w="2880"/>
            <w:vAlign w:val="top"/>
          </w:tcPr>
          <w:p>
            <w:pPr>
              <w:spacing w:after="40"/>
            </w:pPr>
            <w:r>
              <w:rPr>
                <w:sz w:val="18"/>
              </w:rPr>
            </w:r>
            <w:r>
              <w:rPr>
                <w:b w:val="0"/>
                <w:sz w:val="18"/>
              </w:rPr>
              <w:t>Tipo de documento</w:t>
            </w:r>
          </w:p>
        </w:tc>
        <w:tc>
          <w:tcPr>
            <w:tcW w:type="dxa" w:w="7776"/>
            <w:vAlign w:val="top"/>
          </w:tcPr>
          <w:p>
            <w:pPr>
              <w:spacing w:after="40"/>
            </w:pPr>
            <w:r>
              <w:rPr>
                <w:sz w:val="18"/>
              </w:rPr>
            </w:r>
            <w:r>
              <w:rPr>
                <w:b w:val="0"/>
                <w:sz w:val="18"/>
              </w:rPr>
              <w:t>Informe de alcance, diseño funcional y viabilidad de primera etapa</w:t>
            </w:r>
          </w:p>
        </w:tc>
      </w:tr>
      <w:tr>
        <w:tc>
          <w:tcPr>
            <w:tcW w:type="dxa" w:w="2880"/>
            <w:vAlign w:val="top"/>
          </w:tcPr>
          <w:p>
            <w:pPr>
              <w:spacing w:after="40"/>
            </w:pPr>
            <w:r>
              <w:rPr>
                <w:sz w:val="18"/>
              </w:rPr>
            </w:r>
            <w:r>
              <w:rPr>
                <w:b w:val="0"/>
                <w:sz w:val="18"/>
              </w:rPr>
              <w:t>Enfoque</w:t>
            </w:r>
          </w:p>
        </w:tc>
        <w:tc>
          <w:tcPr>
            <w:tcW w:type="dxa" w:w="7776"/>
            <w:vAlign w:val="top"/>
          </w:tcPr>
          <w:p>
            <w:pPr>
              <w:spacing w:after="40"/>
            </w:pPr>
            <w:r>
              <w:rPr>
                <w:sz w:val="18"/>
              </w:rPr>
            </w:r>
            <w:r>
              <w:rPr>
                <w:b w:val="0"/>
                <w:sz w:val="18"/>
              </w:rPr>
              <w:t>Visualización cartográfica, integración de fuentes sísmicas y consulta interactiva</w:t>
            </w:r>
          </w:p>
        </w:tc>
      </w:tr>
      <w:tr>
        <w:tc>
          <w:tcPr>
            <w:tcW w:type="dxa" w:w="2880"/>
            <w:vAlign w:val="top"/>
          </w:tcPr>
          <w:p>
            <w:pPr>
              <w:spacing w:after="40"/>
            </w:pPr>
            <w:r>
              <w:rPr>
                <w:sz w:val="18"/>
              </w:rPr>
            </w:r>
            <w:r>
              <w:rPr>
                <w:b w:val="0"/>
                <w:sz w:val="18"/>
              </w:rPr>
              <w:t>Roles de elaboración</w:t>
            </w:r>
          </w:p>
        </w:tc>
        <w:tc>
          <w:tcPr>
            <w:tcW w:type="dxa" w:w="7776"/>
            <w:vAlign w:val="top"/>
          </w:tcPr>
          <w:p>
            <w:pPr>
              <w:spacing w:after="40"/>
            </w:pPr>
            <w:r>
              <w:rPr>
                <w:sz w:val="18"/>
              </w:rPr>
            </w:r>
            <w:r>
              <w:rPr>
                <w:b w:val="0"/>
                <w:sz w:val="18"/>
              </w:rPr>
              <w:t>Ingeniería de software e ingeniería de sistemas</w:t>
            </w:r>
          </w:p>
        </w:tc>
      </w:tr>
      <w:tr>
        <w:tc>
          <w:tcPr>
            <w:tcW w:type="dxa" w:w="2880"/>
            <w:vAlign w:val="top"/>
          </w:tcPr>
          <w:p>
            <w:pPr>
              <w:spacing w:after="40"/>
            </w:pPr>
            <w:r>
              <w:rPr>
                <w:sz w:val="18"/>
              </w:rPr>
            </w:r>
            <w:r>
              <w:rPr>
                <w:b w:val="0"/>
                <w:sz w:val="18"/>
              </w:rPr>
              <w:t>Alcance excluido</w:t>
            </w:r>
          </w:p>
        </w:tc>
        <w:tc>
          <w:tcPr>
            <w:tcW w:type="dxa" w:w="7776"/>
            <w:vAlign w:val="top"/>
          </w:tcPr>
          <w:p>
            <w:pPr>
              <w:spacing w:after="40"/>
            </w:pPr>
            <w:r>
              <w:rPr>
                <w:sz w:val="18"/>
              </w:rPr>
            </w:r>
            <w:r>
              <w:rPr>
                <w:b w:val="0"/>
                <w:sz w:val="18"/>
              </w:rPr>
              <w:t>Búsqueda colaborativa de personas, datos personales, rescate operativo y emisión de alertas oficiales</w:t>
            </w:r>
          </w:p>
        </w:tc>
      </w:tr>
    </w:tbl>
    <w:p>
      <w:pPr>
        <w:spacing w:after="120" w:line="259" w:lineRule="auto"/>
      </w:pPr>
    </w:p>
    <w:p>
      <w:pPr>
        <w:spacing w:after="120" w:line="259" w:lineRule="auto"/>
      </w:pPr>
      <w:r/>
    </w:p>
    <w:p>
      <w:pPr>
        <w:pStyle w:val="Heading1"/>
        <w:spacing w:after="120" w:line="259" w:lineRule="auto"/>
      </w:pPr>
      <w:r>
        <w:t>Control del documento</w:t>
      </w:r>
    </w:p>
    <w:tbl>
      <w:tblPr>
        <w:tblStyle w:val="TableGrid"/>
        <w:tblW w:type="auto" w:w="0"/>
        <w:jc w:val="center"/>
        <w:tblLook w:firstColumn="1" w:firstRow="1" w:lastColumn="0" w:lastRow="0" w:noHBand="0" w:noVBand="1" w:val="04A0"/>
      </w:tblPr>
      <w:tblGrid>
        <w:gridCol w:w="4896"/>
        <w:gridCol w:w="4896"/>
      </w:tblGrid>
      <w:tr>
        <w:tc>
          <w:tcPr>
            <w:tcW w:type="dxa" w:w="2880"/>
            <w:shd w:fill="D9EAF7"/>
            <w:vAlign w:val="top"/>
          </w:tcPr>
          <w:p>
            <w:pPr>
              <w:spacing w:after="40"/>
            </w:pPr>
            <w:r>
              <w:rPr>
                <w:sz w:val="18"/>
              </w:rPr>
            </w:r>
            <w:r>
              <w:rPr>
                <w:b/>
                <w:sz w:val="18"/>
              </w:rPr>
              <w:t>Elemento</w:t>
            </w:r>
          </w:p>
        </w:tc>
        <w:tc>
          <w:tcPr>
            <w:tcW w:type="dxa" w:w="7776"/>
            <w:shd w:fill="D9EAF7"/>
            <w:vAlign w:val="top"/>
          </w:tcPr>
          <w:p>
            <w:pPr>
              <w:spacing w:after="40"/>
            </w:pPr>
            <w:r>
              <w:rPr>
                <w:sz w:val="18"/>
              </w:rPr>
            </w:r>
            <w:r>
              <w:rPr>
                <w:b/>
                <w:sz w:val="18"/>
              </w:rPr>
              <w:t>Descripción</w:t>
            </w:r>
          </w:p>
        </w:tc>
      </w:tr>
      <w:tr>
        <w:tc>
          <w:tcPr>
            <w:tcW w:type="dxa" w:w="2880"/>
            <w:vAlign w:val="top"/>
          </w:tcPr>
          <w:p>
            <w:pPr>
              <w:spacing w:after="40"/>
            </w:pPr>
            <w:r>
              <w:rPr>
                <w:sz w:val="18"/>
              </w:rPr>
            </w:r>
            <w:r>
              <w:rPr>
                <w:b w:val="0"/>
                <w:sz w:val="18"/>
              </w:rPr>
              <w:t>Estado</w:t>
            </w:r>
          </w:p>
        </w:tc>
        <w:tc>
          <w:tcPr>
            <w:tcW w:type="dxa" w:w="7776"/>
            <w:vAlign w:val="top"/>
          </w:tcPr>
          <w:p>
            <w:pPr>
              <w:spacing w:after="40"/>
            </w:pPr>
            <w:r>
              <w:rPr>
                <w:sz w:val="18"/>
              </w:rPr>
              <w:t>Documento tecnico vigente de una plataforma funcional en evolucion controlada.</w:t>
            </w:r>
            <w:r>
              <w:rPr>
                <w:b w:val="0"/>
                <w:sz w:val="18"/>
              </w:rPr>
            </w:r>
          </w:p>
        </w:tc>
      </w:tr>
      <w:tr>
        <w:tc>
          <w:tcPr>
            <w:tcW w:type="dxa" w:w="2880"/>
            <w:vAlign w:val="top"/>
          </w:tcPr>
          <w:p>
            <w:pPr>
              <w:spacing w:after="40"/>
            </w:pPr>
            <w:r>
              <w:rPr>
                <w:sz w:val="18"/>
              </w:rPr>
            </w:r>
            <w:r>
              <w:rPr>
                <w:b w:val="0"/>
                <w:sz w:val="18"/>
              </w:rPr>
              <w:t>Propósito</w:t>
            </w:r>
          </w:p>
        </w:tc>
        <w:tc>
          <w:tcPr>
            <w:tcW w:type="dxa" w:w="7776"/>
            <w:vAlign w:val="top"/>
          </w:tcPr>
          <w:p>
            <w:pPr>
              <w:spacing w:after="40"/>
            </w:pPr>
            <w:r>
              <w:rPr>
                <w:sz w:val="18"/>
              </w:rPr>
            </w:r>
            <w:r>
              <w:rPr>
                <w:b w:val="0"/>
                <w:sz w:val="18"/>
              </w:rPr>
              <w:t>Presentar el alcance, decisiones, límites y ruta de desarrollo del proyecto ante evaluación académica o técnica.</w:t>
            </w:r>
          </w:p>
        </w:tc>
      </w:tr>
      <w:tr>
        <w:tc>
          <w:tcPr>
            <w:tcW w:type="dxa" w:w="2880"/>
            <w:vAlign w:val="top"/>
          </w:tcPr>
          <w:p>
            <w:pPr>
              <w:spacing w:after="40"/>
            </w:pPr>
            <w:r>
              <w:rPr>
                <w:sz w:val="18"/>
              </w:rPr>
            </w:r>
            <w:r>
              <w:rPr>
                <w:b w:val="0"/>
                <w:sz w:val="18"/>
              </w:rPr>
              <w:t>Criterio de redacción</w:t>
            </w:r>
          </w:p>
        </w:tc>
        <w:tc>
          <w:tcPr>
            <w:tcW w:type="dxa" w:w="7776"/>
            <w:vAlign w:val="top"/>
          </w:tcPr>
          <w:p>
            <w:pPr>
              <w:spacing w:after="40"/>
            </w:pPr>
            <w:r>
              <w:rPr>
                <w:sz w:val="18"/>
              </w:rPr>
            </w:r>
            <w:r>
              <w:rPr>
                <w:b w:val="0"/>
                <w:sz w:val="18"/>
              </w:rPr>
              <w:t>Lenguaje formal, trazable y responsable; sin prometer funciones no incluidas en la etapa actual.</w:t>
            </w:r>
          </w:p>
        </w:tc>
      </w:tr>
      <w:tr>
        <w:tc>
          <w:tcPr>
            <w:tcW w:type="dxa" w:w="2880"/>
            <w:vAlign w:val="top"/>
          </w:tcPr>
          <w:p>
            <w:pPr>
              <w:spacing w:after="40"/>
            </w:pPr>
            <w:r>
              <w:rPr>
                <w:sz w:val="18"/>
              </w:rPr>
            </w:r>
            <w:r>
              <w:rPr>
                <w:b w:val="0"/>
                <w:sz w:val="18"/>
              </w:rPr>
              <w:t>Control de cambios</w:t>
            </w:r>
          </w:p>
        </w:tc>
        <w:tc>
          <w:tcPr>
            <w:tcW w:type="dxa" w:w="7776"/>
            <w:vAlign w:val="top"/>
          </w:tcPr>
          <w:p>
            <w:r>
              <w:t>Versión 1.3 incorpora GEOFON y GeoNet, actualiza la evaluación de DHN/CNAT, SGC, CSN e ISC, y conserva GlobalQuake únicamente como referente funcional de visualización.</w:t>
            </w:r>
          </w:p>
        </w:tc>
      </w:tr>
    </w:tbl>
    <w:p>
      <w:pPr>
        <w:spacing w:after="120" w:line="259" w:lineRule="auto"/>
      </w:pPr>
    </w:p>
    <w:p>
      <w:pPr>
        <w:pStyle w:val="Heading1"/>
        <w:spacing w:after="120" w:line="259" w:lineRule="auto"/>
      </w:pPr>
      <w:r>
        <w:t>Índice de contenido</w:t>
      </w:r>
    </w:p>
    <w:p>
      <w:pPr>
        <w:pStyle w:val="ListBullet"/>
        <w:spacing w:after="120" w:line="259" w:lineRule="auto"/>
      </w:pPr>
      <w:r>
        <w:t>1. Resumen ejecutivo</w:t>
      </w:r>
    </w:p>
    <w:p>
      <w:pPr>
        <w:pStyle w:val="ListBullet"/>
        <w:spacing w:after="120" w:line="259" w:lineRule="auto"/>
      </w:pPr>
      <w:r>
        <w:t>2. Planteamiento del problema</w:t>
      </w:r>
    </w:p>
    <w:p>
      <w:pPr>
        <w:pStyle w:val="ListBullet"/>
        <w:spacing w:after="120" w:line="259" w:lineRule="auto"/>
      </w:pPr>
      <w:r>
        <w:t>3. Justificación del proyecto</w:t>
      </w:r>
    </w:p>
    <w:p>
      <w:pPr>
        <w:pStyle w:val="ListBullet"/>
        <w:spacing w:after="120" w:line="259" w:lineRule="auto"/>
      </w:pPr>
      <w:r>
        <w:t>4. Objetivos</w:t>
      </w:r>
    </w:p>
    <w:p>
      <w:pPr>
        <w:pStyle w:val="ListBullet"/>
        <w:spacing w:after="120" w:line="259" w:lineRule="auto"/>
      </w:pPr>
      <w:r>
        <w:t>5. Alcance de la etapa 1</w:t>
      </w:r>
    </w:p>
    <w:p>
      <w:pPr>
        <w:pStyle w:val="ListBullet"/>
        <w:spacing w:after="120" w:line="259" w:lineRule="auto"/>
      </w:pPr>
      <w:r>
        <w:t>6. Exclusiones y límites</w:t>
      </w:r>
    </w:p>
    <w:p>
      <w:pPr>
        <w:pStyle w:val="ListBullet"/>
        <w:spacing w:after="120" w:line="259" w:lineRule="auto"/>
      </w:pPr>
      <w:r>
        <w:t>7. Fuentes de información sísmica y tsunami</w:t>
      </w:r>
    </w:p>
    <w:p>
      <w:pPr>
        <w:pStyle w:val="ListBullet"/>
        <w:spacing w:after="120" w:line="259" w:lineRule="auto"/>
      </w:pPr>
      <w:r>
        <w:t>8. Concepto funcional de la solución</w:t>
      </w:r>
    </w:p>
    <w:p>
      <w:pPr>
        <w:pStyle w:val="ListBullet"/>
        <w:spacing w:after="120" w:line="259" w:lineRule="auto"/>
      </w:pPr>
      <w:r>
        <w:t>9. Interactividad y visualización en vivo</w:t>
      </w:r>
    </w:p>
    <w:p>
      <w:pPr>
        <w:pStyle w:val="ListBullet"/>
        <w:spacing w:after="120" w:line="259" w:lineRule="auto"/>
      </w:pPr>
      <w:r>
        <w:t>10. Arquitectura funcional de alto nivel</w:t>
      </w:r>
    </w:p>
    <w:p>
      <w:pPr>
        <w:pStyle w:val="ListBullet"/>
        <w:spacing w:after="120" w:line="259" w:lineRule="auto"/>
      </w:pPr>
      <w:r>
        <w:t>11. Requisitos funcionales y no funcionales</w:t>
      </w:r>
    </w:p>
    <w:p>
      <w:pPr>
        <w:pStyle w:val="ListBullet"/>
        <w:spacing w:after="120" w:line="259" w:lineRule="auto"/>
      </w:pPr>
      <w:r>
        <w:t>12. Riesgos y mitigaciones</w:t>
      </w:r>
    </w:p>
    <w:p>
      <w:pPr>
        <w:pStyle w:val="ListBullet"/>
        <w:spacing w:after="120" w:line="259" w:lineRule="auto"/>
      </w:pPr>
      <w:r>
        <w:t>13. Plan de validación</w:t>
      </w:r>
    </w:p>
    <w:p>
      <w:pPr>
        <w:pStyle w:val="ListBullet"/>
        <w:spacing w:after="120" w:line="259" w:lineRule="auto"/>
      </w:pPr>
      <w:r>
        <w:t>14. Hoja de ruta</w:t>
      </w:r>
    </w:p>
    <w:p>
      <w:pPr>
        <w:pStyle w:val="ListBullet"/>
        <w:spacing w:after="120" w:line="259" w:lineRule="auto"/>
      </w:pPr>
      <w:r>
        <w:t>15. Referencias</w:t>
      </w:r>
    </w:p>
    <w:p>
      <w:pPr>
        <w:spacing w:after="120" w:line="259" w:lineRule="auto"/>
      </w:pPr>
      <w:r/>
    </w:p>
    <w:p>
      <w:pPr>
        <w:pStyle w:val="Heading1"/>
        <w:spacing w:after="120" w:line="259" w:lineRule="auto"/>
      </w:pPr>
      <w:r>
        <w:t>1. Resumen ejecutivo</w:t>
      </w:r>
    </w:p>
    <w:p>
      <w:pPr>
        <w:spacing w:after="120" w:line="259" w:lineRule="auto"/>
      </w:pPr>
      <w:r>
        <w:t>El proyecto propone una plataforma web para visualizar actividad sísmica en un globo o mapa geoespacial interactivo. La primera etapa se limita a integrar información sísmica desde fuentes públicas confiables, normalizar los datos, mostrarlos en una interfaz cartográfica de alto contexto y permitir interacción en vivo mediante filtros, detalle de eventos, estado de sincronización y capas complementarias.</w:t>
      </w:r>
    </w:p>
    <w:p>
      <w:pPr>
        <w:spacing w:after="120" w:line="259" w:lineRule="auto"/>
      </w:pPr>
      <w:r>
        <w:t>La solución no se presenta como sistema de alerta temprana ni como plataforma de rescate. Su función inicial es informativa y analítica: ayudar a comprender dónde ocurren los eventos, con qué magnitud, profundidad, fuente, hora de reporte y posible relación con productos oficiales de tsunami.</w:t>
      </w:r>
    </w:p>
    <w:p>
      <w:pPr>
        <w:pStyle w:val="Heading1"/>
        <w:spacing w:after="120" w:line="259" w:lineRule="auto"/>
      </w:pPr>
      <w:r>
        <w:t>2. Planteamiento del problema</w:t>
      </w:r>
    </w:p>
    <w:p>
      <w:pPr>
        <w:spacing w:after="120" w:line="259" w:lineRule="auto"/>
      </w:pPr>
      <w:r>
        <w:t>Durante eventos sísmicos relevantes, la información suele quedar dispersa entre servicios geológicos, centros internacionales, medios, redes sociales y comunicados oficiales. Esta dispersión dificulta una lectura clara de la ubicación del epicentro, evolución de réplicas, magnitud reportada, profundidad y estado de fuentes disponibles.</w:t>
      </w:r>
    </w:p>
    <w:p>
      <w:pPr>
        <w:spacing w:after="120" w:line="259" w:lineRule="auto"/>
      </w:pPr>
      <w:r>
        <w:t>El problema abordado en esta etapa es la falta de una visualización integrada, trazable y comprensible de eventos sísmicos. La respuesta propuesta es una plataforma de mapa que organice información pública y la presente con criterios técnicos, sin invadir funciones propias de organismos de emergencia.</w:t>
      </w:r>
    </w:p>
    <w:p>
      <w:pPr>
        <w:pStyle w:val="Heading1"/>
        <w:spacing w:after="120" w:line="259" w:lineRule="auto"/>
      </w:pPr>
      <w:r>
        <w:t>3. Justificación del proyecto</w:t>
      </w:r>
    </w:p>
    <w:p>
      <w:pPr>
        <w:pStyle w:val="ListBullet"/>
        <w:spacing w:after="120" w:line="259" w:lineRule="auto"/>
      </w:pPr>
      <w:r>
        <w:t>Permite centralizar información sísmica pública en una interfaz comprensible.</w:t>
      </w:r>
    </w:p>
    <w:p>
      <w:pPr>
        <w:pStyle w:val="ListBullet"/>
        <w:spacing w:after="120" w:line="259" w:lineRule="auto"/>
      </w:pPr>
      <w:r>
        <w:t>Facilita la lectura territorial de eventos, réplicas y zonas cercanas.</w:t>
      </w:r>
    </w:p>
    <w:p>
      <w:pPr>
        <w:pStyle w:val="ListBullet"/>
        <w:spacing w:after="120" w:line="259" w:lineRule="auto"/>
      </w:pPr>
      <w:r>
        <w:t>Genera una base técnica responsable antes de incorporar módulos humanitarios sensibles.</w:t>
      </w:r>
    </w:p>
    <w:p>
      <w:pPr>
        <w:pStyle w:val="ListBullet"/>
        <w:spacing w:after="120" w:line="259" w:lineRule="auto"/>
      </w:pPr>
      <w:r>
        <w:t>Promueve trazabilidad porque cada evento mantiene fuente, hora y enlace de origen.</w:t>
      </w:r>
    </w:p>
    <w:p>
      <w:pPr>
        <w:pStyle w:val="ListBullet"/>
        <w:spacing w:after="120" w:line="259" w:lineRule="auto"/>
      </w:pPr>
      <w:r>
        <w:t>Sirve como prototipo académico y técnico para evaluar una solución de mayor alcance.</w:t>
      </w:r>
    </w:p>
    <w:p>
      <w:pPr>
        <w:pStyle w:val="Heading1"/>
        <w:spacing w:after="120" w:line="259" w:lineRule="auto"/>
      </w:pPr>
      <w:r>
        <w:t>4. Objetivos</w:t>
      </w:r>
    </w:p>
    <w:p>
      <w:pPr>
        <w:pStyle w:val="Heading2"/>
        <w:spacing w:after="120" w:line="259" w:lineRule="auto"/>
      </w:pPr>
      <w:r>
        <w:t>4.1 Objetivo general</w:t>
      </w:r>
    </w:p>
    <w:p>
      <w:pPr>
        <w:spacing w:after="120" w:line="259" w:lineRule="auto"/>
      </w:pPr>
      <w:r>
        <w:t>Diseñar una plataforma web de visualización sísmica que integre fuentes públicas confiables y represente eventos en un mapa interactivo para facilitar la comprensión geográfica y temporal de la actividad sísmica.</w:t>
      </w:r>
    </w:p>
    <w:p>
      <w:pPr>
        <w:pStyle w:val="Heading2"/>
        <w:spacing w:after="120" w:line="259" w:lineRule="auto"/>
      </w:pPr>
      <w:r>
        <w:t>4.2 Objetivos específicos</w:t>
      </w:r>
    </w:p>
    <w:p>
      <w:pPr>
        <w:pStyle w:val="ListBullet"/>
        <w:spacing w:after="120" w:line="259" w:lineRule="auto"/>
      </w:pPr>
      <w:r>
        <w:t>Identificar fuentes de datos sísmicos con APIs, feeds o servicios reutilizables.</w:t>
      </w:r>
    </w:p>
    <w:p>
      <w:pPr>
        <w:pStyle w:val="ListBullet"/>
        <w:spacing w:after="120" w:line="259" w:lineRule="auto"/>
      </w:pPr>
      <w:r>
        <w:t>Definir un modelo normalizado para representar eventos sísmicos de diferentes proveedores.</w:t>
      </w:r>
    </w:p>
    <w:p>
      <w:pPr>
        <w:pStyle w:val="ListBullet"/>
        <w:spacing w:after="120" w:line="259" w:lineRule="auto"/>
      </w:pPr>
      <w:r>
        <w:t>Diseñar una experiencia de mapa con filtros, detalle de evento, línea de tiempo y estado de actualización.</w:t>
      </w:r>
    </w:p>
    <w:p>
      <w:pPr>
        <w:pStyle w:val="ListBullet"/>
        <w:spacing w:after="120" w:line="259" w:lineRule="auto"/>
      </w:pPr>
      <w:r>
        <w:t>Incorporar productos de tsunami como capa complementaria, sin emitir alertas propias.</w:t>
      </w:r>
    </w:p>
    <w:p>
      <w:pPr>
        <w:pStyle w:val="ListBullet"/>
        <w:spacing w:after="120" w:line="259" w:lineRule="auto"/>
      </w:pPr>
      <w:r>
        <w:t>Documentar límites, riesgos y criterios de validación para una construcción responsable.</w:t>
      </w:r>
    </w:p>
    <w:p>
      <w:pPr>
        <w:pStyle w:val="Heading1"/>
        <w:spacing w:after="120" w:line="259" w:lineRule="auto"/>
      </w:pPr>
      <w:r>
        <w:t>5. Alcance de la etapa 1</w:t>
      </w:r>
    </w:p>
    <w:tbl>
      <w:tblPr>
        <w:tblStyle w:val="TableGrid"/>
        <w:tblW w:type="auto" w:w="0"/>
        <w:jc w:val="center"/>
        <w:tblLook w:firstColumn="1" w:firstRow="1" w:lastColumn="0" w:lastRow="0" w:noHBand="0" w:noVBand="1" w:val="04A0"/>
      </w:tblPr>
      <w:tblGrid>
        <w:gridCol w:w="4896"/>
        <w:gridCol w:w="4896"/>
      </w:tblGrid>
      <w:tr>
        <w:tc>
          <w:tcPr>
            <w:tcW w:type="dxa" w:w="2880"/>
            <w:shd w:fill="D9EAF7"/>
            <w:vAlign w:val="top"/>
          </w:tcPr>
          <w:p>
            <w:pPr>
              <w:spacing w:after="40"/>
            </w:pPr>
            <w:r>
              <w:rPr>
                <w:sz w:val="18"/>
              </w:rPr>
            </w:r>
            <w:r>
              <w:rPr>
                <w:b/>
                <w:sz w:val="18"/>
              </w:rPr>
              <w:t>Componente</w:t>
            </w:r>
          </w:p>
        </w:tc>
        <w:tc>
          <w:tcPr>
            <w:tcW w:type="dxa" w:w="7776"/>
            <w:shd w:fill="D9EAF7"/>
            <w:vAlign w:val="top"/>
          </w:tcPr>
          <w:p>
            <w:pPr>
              <w:spacing w:after="40"/>
            </w:pPr>
            <w:r>
              <w:rPr>
                <w:sz w:val="18"/>
              </w:rPr>
            </w:r>
            <w:r>
              <w:rPr>
                <w:b/>
                <w:sz w:val="18"/>
              </w:rPr>
              <w:t>Alcance definido</w:t>
            </w:r>
          </w:p>
        </w:tc>
      </w:tr>
      <w:tr>
        <w:tc>
          <w:tcPr>
            <w:tcW w:type="dxa" w:w="2880"/>
            <w:vAlign w:val="top"/>
          </w:tcPr>
          <w:p>
            <w:pPr>
              <w:spacing w:after="40"/>
            </w:pPr>
            <w:r>
              <w:rPr>
                <w:sz w:val="18"/>
              </w:rPr>
            </w:r>
            <w:r>
              <w:rPr>
                <w:b w:val="0"/>
                <w:sz w:val="18"/>
              </w:rPr>
              <w:t>Mapa interactivo</w:t>
            </w:r>
          </w:p>
        </w:tc>
        <w:tc>
          <w:tcPr>
            <w:tcW w:type="dxa" w:w="7776"/>
            <w:vAlign w:val="top"/>
          </w:tcPr>
          <w:p>
            <w:r>
              <w:t>Globo 3D con CesiumJS en la etapa 1 para mostrar epicentros, navegación, zoom, selección de eventos y capas operativas.</w:t>
            </w:r>
          </w:p>
        </w:tc>
      </w:tr>
      <w:tr>
        <w:tc>
          <w:tcPr>
            <w:tcW w:type="dxa" w:w="2880"/>
            <w:vAlign w:val="top"/>
          </w:tcPr>
          <w:p>
            <w:pPr>
              <w:spacing w:after="40"/>
            </w:pPr>
            <w:r>
              <w:rPr>
                <w:sz w:val="18"/>
              </w:rPr>
            </w:r>
            <w:r>
              <w:rPr>
                <w:b w:val="0"/>
                <w:sz w:val="18"/>
              </w:rPr>
              <w:t>Integración de datos</w:t>
            </w:r>
          </w:p>
        </w:tc>
        <w:tc>
          <w:tcPr>
            <w:tcW w:type="dxa" w:w="7776"/>
            <w:vAlign w:val="top"/>
          </w:tcPr>
          <w:p>
            <w:pPr>
              <w:spacing w:after="40"/>
            </w:pPr>
            <w:r>
              <w:rPr>
                <w:sz w:val="18"/>
              </w:rPr>
              <w:t>Consumo de USGS, EMSC, IGP/CENSIS, FUNVISIS, GEOFON, GeoNet, GDACS y productos NOAA/PTWC/NTWC segun el dominio de cada fuente.</w:t>
            </w:r>
            <w:r>
              <w:rPr>
                <w:b w:val="0"/>
                <w:sz w:val="18"/>
              </w:rPr>
            </w:r>
          </w:p>
        </w:tc>
      </w:tr>
      <w:tr>
        <w:tc>
          <w:tcPr>
            <w:tcW w:type="dxa" w:w="2880"/>
            <w:vAlign w:val="top"/>
          </w:tcPr>
          <w:p>
            <w:pPr>
              <w:spacing w:after="40"/>
            </w:pPr>
            <w:r>
              <w:rPr>
                <w:sz w:val="18"/>
              </w:rPr>
            </w:r>
            <w:r>
              <w:rPr>
                <w:b w:val="0"/>
                <w:sz w:val="18"/>
              </w:rPr>
              <w:t>Normalización</w:t>
            </w:r>
          </w:p>
        </w:tc>
        <w:tc>
          <w:tcPr>
            <w:tcW w:type="dxa" w:w="7776"/>
            <w:vAlign w:val="top"/>
          </w:tcPr>
          <w:p>
            <w:pPr>
              <w:spacing w:after="40"/>
            </w:pPr>
            <w:r>
              <w:rPr>
                <w:sz w:val="18"/>
              </w:rPr>
            </w:r>
            <w:r>
              <w:rPr>
                <w:b w:val="0"/>
                <w:sz w:val="18"/>
              </w:rPr>
              <w:t>Transformación de datos externos a un modelo común con magnitud, ubicación, profundidad, hora y fuente.</w:t>
            </w:r>
          </w:p>
        </w:tc>
      </w:tr>
      <w:tr>
        <w:tc>
          <w:tcPr>
            <w:tcW w:type="dxa" w:w="2880"/>
            <w:vAlign w:val="top"/>
          </w:tcPr>
          <w:p>
            <w:pPr>
              <w:spacing w:after="40"/>
            </w:pPr>
            <w:r>
              <w:rPr>
                <w:sz w:val="18"/>
              </w:rPr>
            </w:r>
            <w:r>
              <w:rPr>
                <w:b w:val="0"/>
                <w:sz w:val="18"/>
              </w:rPr>
              <w:t>Interactividad</w:t>
            </w:r>
          </w:p>
        </w:tc>
        <w:tc>
          <w:tcPr>
            <w:tcW w:type="dxa" w:w="7776"/>
            <w:vAlign w:val="top"/>
          </w:tcPr>
          <w:p>
            <w:pPr>
              <w:spacing w:after="40"/>
            </w:pPr>
            <w:r>
              <w:rPr>
                <w:sz w:val="18"/>
              </w:rPr>
            </w:r>
            <w:r>
              <w:rPr>
                <w:b w:val="0"/>
                <w:sz w:val="18"/>
              </w:rPr>
              <w:t>Filtros por magnitud, fecha, profundidad, fuente, región y actualización automática controlada.</w:t>
            </w:r>
          </w:p>
        </w:tc>
      </w:tr>
      <w:tr>
        <w:tc>
          <w:tcPr>
            <w:tcW w:type="dxa" w:w="2880"/>
            <w:vAlign w:val="top"/>
          </w:tcPr>
          <w:p>
            <w:pPr>
              <w:spacing w:after="40"/>
            </w:pPr>
            <w:r>
              <w:rPr>
                <w:sz w:val="18"/>
              </w:rPr>
            </w:r>
            <w:r>
              <w:rPr>
                <w:b w:val="0"/>
                <w:sz w:val="18"/>
              </w:rPr>
              <w:t>Trazabilidad</w:t>
            </w:r>
          </w:p>
        </w:tc>
        <w:tc>
          <w:tcPr>
            <w:tcW w:type="dxa" w:w="7776"/>
            <w:vAlign w:val="top"/>
          </w:tcPr>
          <w:p>
            <w:pPr>
              <w:spacing w:after="40"/>
            </w:pPr>
            <w:r>
              <w:rPr>
                <w:sz w:val="18"/>
              </w:rPr>
            </w:r>
            <w:r>
              <w:rPr>
                <w:b w:val="0"/>
                <w:sz w:val="18"/>
              </w:rPr>
              <w:t>Conservación de fuente, enlace original, hora de consulta y estado de sincronización.</w:t>
            </w:r>
          </w:p>
        </w:tc>
      </w:tr>
      <w:tr>
        <w:tc>
          <w:tcPr>
            <w:tcW w:type="dxa" w:w="2880"/>
            <w:vAlign w:val="top"/>
          </w:tcPr>
          <w:p>
            <w:pPr>
              <w:spacing w:after="40"/>
            </w:pPr>
            <w:r>
              <w:rPr>
                <w:sz w:val="18"/>
              </w:rPr>
            </w:r>
            <w:r>
              <w:rPr>
                <w:b w:val="0"/>
                <w:sz w:val="18"/>
              </w:rPr>
              <w:t>Documentación</w:t>
            </w:r>
          </w:p>
        </w:tc>
        <w:tc>
          <w:tcPr>
            <w:tcW w:type="dxa" w:w="7776"/>
            <w:vAlign w:val="top"/>
          </w:tcPr>
          <w:p>
            <w:pPr>
              <w:spacing w:after="40"/>
            </w:pPr>
            <w:r>
              <w:rPr>
                <w:sz w:val="18"/>
              </w:rPr>
            </w:r>
            <w:r>
              <w:rPr>
                <w:b w:val="0"/>
                <w:sz w:val="18"/>
              </w:rPr>
              <w:t>Alcance, arquitectura funcional, límites, riesgos, requisitos y plan de validación.</w:t>
            </w:r>
          </w:p>
        </w:tc>
      </w:tr>
    </w:tbl>
    <w:p>
      <w:pPr>
        <w:spacing w:after="120" w:line="259" w:lineRule="auto"/>
      </w:pPr>
    </w:p>
    <w:p>
      <w:pPr>
        <w:pStyle w:val="Heading1"/>
        <w:spacing w:after="120" w:line="259" w:lineRule="auto"/>
      </w:pPr>
      <w:r>
        <w:t>6. Exclusiones y límites</w:t>
      </w:r>
    </w:p>
    <w:tbl>
      <w:tblPr>
        <w:tblStyle w:val="TableGrid"/>
        <w:tblW w:type="auto" w:w="0"/>
        <w:jc w:val="center"/>
        <w:tblLook w:firstColumn="1" w:firstRow="1" w:lastColumn="0" w:lastRow="0" w:noHBand="0" w:noVBand="1" w:val="04A0"/>
      </w:tblPr>
      <w:tblGrid>
        <w:gridCol w:w="4896"/>
        <w:gridCol w:w="4896"/>
      </w:tblGrid>
      <w:tr>
        <w:tc>
          <w:tcPr>
            <w:tcW w:type="dxa" w:w="3312"/>
            <w:shd w:fill="D9EAF7"/>
            <w:vAlign w:val="top"/>
          </w:tcPr>
          <w:p>
            <w:pPr>
              <w:spacing w:after="40"/>
            </w:pPr>
            <w:r>
              <w:rPr>
                <w:sz w:val="18"/>
              </w:rPr>
            </w:r>
            <w:r>
              <w:rPr>
                <w:b/>
                <w:sz w:val="18"/>
              </w:rPr>
              <w:t>Exclusión</w:t>
            </w:r>
          </w:p>
        </w:tc>
        <w:tc>
          <w:tcPr>
            <w:tcW w:type="dxa" w:w="7344"/>
            <w:shd w:fill="D9EAF7"/>
            <w:vAlign w:val="top"/>
          </w:tcPr>
          <w:p>
            <w:pPr>
              <w:spacing w:after="40"/>
            </w:pPr>
            <w:r>
              <w:rPr>
                <w:sz w:val="18"/>
              </w:rPr>
            </w:r>
            <w:r>
              <w:rPr>
                <w:b/>
                <w:sz w:val="18"/>
              </w:rPr>
              <w:t>Razón técnica y ética</w:t>
            </w:r>
          </w:p>
        </w:tc>
      </w:tr>
      <w:tr>
        <w:tc>
          <w:tcPr>
            <w:tcW w:type="dxa" w:w="3312"/>
            <w:vAlign w:val="top"/>
          </w:tcPr>
          <w:p>
            <w:pPr>
              <w:spacing w:after="40"/>
            </w:pPr>
            <w:r>
              <w:rPr>
                <w:sz w:val="18"/>
              </w:rPr>
            </w:r>
            <w:r>
              <w:rPr>
                <w:b w:val="0"/>
                <w:sz w:val="18"/>
              </w:rPr>
              <w:t>Búsqueda colaborativa de personas</w:t>
            </w:r>
          </w:p>
        </w:tc>
        <w:tc>
          <w:tcPr>
            <w:tcW w:type="dxa" w:w="7344"/>
            <w:vAlign w:val="top"/>
          </w:tcPr>
          <w:p>
            <w:pPr>
              <w:spacing w:after="40"/>
            </w:pPr>
            <w:r>
              <w:rPr>
                <w:sz w:val="18"/>
              </w:rPr>
            </w:r>
            <w:r>
              <w:rPr>
                <w:b w:val="0"/>
                <w:sz w:val="18"/>
              </w:rPr>
              <w:t>Requiere manejo de datos personales, verificación humana y coordinación institucional.</w:t>
            </w:r>
          </w:p>
        </w:tc>
      </w:tr>
      <w:tr>
        <w:tc>
          <w:tcPr>
            <w:tcW w:type="dxa" w:w="3312"/>
            <w:vAlign w:val="top"/>
          </w:tcPr>
          <w:p>
            <w:pPr>
              <w:spacing w:after="40"/>
            </w:pPr>
            <w:r>
              <w:rPr>
                <w:sz w:val="18"/>
              </w:rPr>
            </w:r>
            <w:r>
              <w:rPr>
                <w:b w:val="0"/>
                <w:sz w:val="18"/>
              </w:rPr>
              <w:t>Alertas oficiales propias</w:t>
            </w:r>
          </w:p>
        </w:tc>
        <w:tc>
          <w:tcPr>
            <w:tcW w:type="dxa" w:w="7344"/>
            <w:vAlign w:val="top"/>
          </w:tcPr>
          <w:p>
            <w:pPr>
              <w:spacing w:after="40"/>
            </w:pPr>
            <w:r>
              <w:rPr>
                <w:sz w:val="18"/>
              </w:rPr>
            </w:r>
            <w:r>
              <w:rPr>
                <w:b w:val="0"/>
                <w:sz w:val="18"/>
              </w:rPr>
              <w:t>La emisión de alertas corresponde a organismos competentes y redes especializadas.</w:t>
            </w:r>
          </w:p>
        </w:tc>
      </w:tr>
      <w:tr>
        <w:tc>
          <w:tcPr>
            <w:tcW w:type="dxa" w:w="3312"/>
            <w:vAlign w:val="top"/>
          </w:tcPr>
          <w:p>
            <w:pPr>
              <w:spacing w:after="40"/>
            </w:pPr>
            <w:r>
              <w:rPr>
                <w:sz w:val="18"/>
              </w:rPr>
            </w:r>
            <w:r>
              <w:rPr>
                <w:b w:val="0"/>
                <w:sz w:val="18"/>
              </w:rPr>
              <w:t>Predicción de terremotos</w:t>
            </w:r>
          </w:p>
        </w:tc>
        <w:tc>
          <w:tcPr>
            <w:tcW w:type="dxa" w:w="7344"/>
            <w:vAlign w:val="top"/>
          </w:tcPr>
          <w:p>
            <w:pPr>
              <w:spacing w:after="40"/>
            </w:pPr>
            <w:r>
              <w:rPr>
                <w:sz w:val="18"/>
              </w:rPr>
            </w:r>
            <w:r>
              <w:rPr>
                <w:b w:val="0"/>
                <w:sz w:val="18"/>
              </w:rPr>
              <w:t>No existe base operativa confiable para predecir terremotos al público general.</w:t>
            </w:r>
          </w:p>
        </w:tc>
      </w:tr>
      <w:tr>
        <w:tc>
          <w:tcPr>
            <w:tcW w:type="dxa" w:w="3312"/>
            <w:vAlign w:val="top"/>
          </w:tcPr>
          <w:p>
            <w:pPr>
              <w:spacing w:after="40"/>
            </w:pPr>
            <w:r>
              <w:rPr>
                <w:sz w:val="18"/>
              </w:rPr>
            </w:r>
            <w:r>
              <w:rPr>
                <w:b w:val="0"/>
                <w:sz w:val="18"/>
              </w:rPr>
              <w:t>Confirmación de víctimas o daños</w:t>
            </w:r>
          </w:p>
        </w:tc>
        <w:tc>
          <w:tcPr>
            <w:tcW w:type="dxa" w:w="7344"/>
            <w:vAlign w:val="top"/>
          </w:tcPr>
          <w:p>
            <w:pPr>
              <w:spacing w:after="40"/>
            </w:pPr>
            <w:r>
              <w:rPr>
                <w:sz w:val="18"/>
              </w:rPr>
            </w:r>
            <w:r>
              <w:rPr>
                <w:b w:val="0"/>
                <w:sz w:val="18"/>
              </w:rPr>
              <w:t>Debe provenir de autoridades, brigadas o fuentes verificadas.</w:t>
            </w:r>
          </w:p>
        </w:tc>
      </w:tr>
      <w:tr>
        <w:tc>
          <w:tcPr>
            <w:tcW w:type="dxa" w:w="3312"/>
            <w:vAlign w:val="top"/>
          </w:tcPr>
          <w:p>
            <w:pPr>
              <w:spacing w:after="40"/>
            </w:pPr>
            <w:r>
              <w:rPr>
                <w:sz w:val="18"/>
              </w:rPr>
            </w:r>
            <w:r>
              <w:rPr>
                <w:b w:val="0"/>
                <w:sz w:val="18"/>
              </w:rPr>
              <w:t>Rastreo de personas</w:t>
            </w:r>
          </w:p>
        </w:tc>
        <w:tc>
          <w:tcPr>
            <w:tcW w:type="dxa" w:w="7344"/>
            <w:vAlign w:val="top"/>
          </w:tcPr>
          <w:p>
            <w:pPr>
              <w:spacing w:after="40"/>
            </w:pPr>
            <w:r>
              <w:rPr>
                <w:sz w:val="18"/>
              </w:rPr>
            </w:r>
            <w:r>
              <w:rPr>
                <w:b w:val="0"/>
                <w:sz w:val="18"/>
              </w:rPr>
              <w:t>No se accede a GPS privado, telefonía ni información personal sensible.</w:t>
            </w:r>
          </w:p>
        </w:tc>
      </w:tr>
    </w:tbl>
    <w:p>
      <w:pPr>
        <w:spacing w:after="120" w:line="259" w:lineRule="auto"/>
      </w:pPr>
    </w:p>
    <w:p>
      <w:pPr>
        <w:pStyle w:val="Heading1"/>
        <w:spacing w:after="120" w:line="259" w:lineRule="auto"/>
      </w:pPr>
      <w:r>
        <w:t>7. Fuentes de información sísmica y tsunami</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160"/>
            <w:shd w:fill="D9EAF7"/>
            <w:vAlign w:val="top"/>
          </w:tcPr>
          <w:p>
            <w:pPr>
              <w:spacing w:after="40"/>
            </w:pPr>
            <w:r>
              <w:rPr>
                <w:sz w:val="18"/>
              </w:rPr>
            </w:r>
            <w:r>
              <w:rPr>
                <w:b/>
                <w:sz w:val="18"/>
              </w:rPr>
              <w:t>Fuente</w:t>
            </w:r>
          </w:p>
        </w:tc>
        <w:tc>
          <w:tcPr>
            <w:tcW w:type="dxa" w:w="2736"/>
            <w:shd w:fill="D9EAF7"/>
            <w:vAlign w:val="top"/>
          </w:tcPr>
          <w:p>
            <w:pPr>
              <w:spacing w:after="40"/>
            </w:pPr>
            <w:r>
              <w:rPr>
                <w:sz w:val="18"/>
              </w:rPr>
            </w:r>
            <w:r>
              <w:rPr>
                <w:b/>
                <w:sz w:val="18"/>
              </w:rPr>
              <w:t>Rol propuesto</w:t>
            </w:r>
          </w:p>
        </w:tc>
        <w:tc>
          <w:tcPr>
            <w:tcW w:type="dxa" w:w="3456"/>
            <w:shd w:fill="D9EAF7"/>
            <w:vAlign w:val="top"/>
          </w:tcPr>
          <w:p>
            <w:pPr>
              <w:spacing w:after="40"/>
            </w:pPr>
            <w:r>
              <w:rPr>
                <w:sz w:val="18"/>
              </w:rPr>
            </w:r>
            <w:r>
              <w:rPr>
                <w:b/>
                <w:sz w:val="18"/>
              </w:rPr>
              <w:t>Uso en la plataforma</w:t>
            </w:r>
          </w:p>
        </w:tc>
        <w:tc>
          <w:tcPr>
            <w:tcW w:type="dxa" w:w="2304"/>
            <w:shd w:fill="D9EAF7"/>
            <w:vAlign w:val="top"/>
          </w:tcPr>
          <w:p>
            <w:pPr>
              <w:spacing w:after="40"/>
            </w:pPr>
            <w:r>
              <w:rPr>
                <w:sz w:val="18"/>
              </w:rPr>
            </w:r>
            <w:r>
              <w:rPr>
                <w:b/>
                <w:sz w:val="18"/>
              </w:rPr>
              <w:t>Precaución</w:t>
            </w:r>
          </w:p>
        </w:tc>
      </w:tr>
      <w:tr>
        <w:tc>
          <w:tcPr>
            <w:tcW w:type="dxa" w:w="2160"/>
            <w:vAlign w:val="top"/>
          </w:tcPr>
          <w:p>
            <w:pPr>
              <w:spacing w:after="40"/>
            </w:pPr>
            <w:r>
              <w:rPr>
                <w:sz w:val="18"/>
              </w:rPr>
            </w:r>
            <w:r>
              <w:rPr>
                <w:b w:val="0"/>
                <w:sz w:val="18"/>
              </w:rPr>
              <w:t>USGS</w:t>
            </w:r>
          </w:p>
        </w:tc>
        <w:tc>
          <w:tcPr>
            <w:tcW w:type="dxa" w:w="2736"/>
            <w:vAlign w:val="top"/>
          </w:tcPr>
          <w:p>
            <w:pPr>
              <w:spacing w:after="40"/>
            </w:pPr>
            <w:r>
              <w:rPr>
                <w:sz w:val="18"/>
              </w:rPr>
            </w:r>
            <w:r>
              <w:rPr>
                <w:b w:val="0"/>
                <w:sz w:val="18"/>
              </w:rPr>
              <w:t>Fuente primaria de eventos sísmicos globales.</w:t>
            </w:r>
          </w:p>
        </w:tc>
        <w:tc>
          <w:tcPr>
            <w:tcW w:type="dxa" w:w="3456"/>
            <w:vAlign w:val="top"/>
          </w:tcPr>
          <w:p>
            <w:pPr>
              <w:spacing w:after="40"/>
            </w:pPr>
            <w:r>
              <w:rPr>
                <w:sz w:val="18"/>
              </w:rPr>
            </w:r>
            <w:r>
              <w:rPr>
                <w:b w:val="0"/>
                <w:sz w:val="18"/>
              </w:rPr>
              <w:t>Feeds GeoJSON y API FDSN para epicentro, magnitud, profundidad, hora y enlace.</w:t>
            </w:r>
          </w:p>
        </w:tc>
        <w:tc>
          <w:tcPr>
            <w:tcW w:type="dxa" w:w="2304"/>
            <w:vAlign w:val="top"/>
          </w:tcPr>
          <w:p>
            <w:pPr>
              <w:spacing w:after="40"/>
            </w:pPr>
            <w:r>
              <w:rPr>
                <w:sz w:val="18"/>
              </w:rPr>
            </w:r>
            <w:r>
              <w:rPr>
                <w:b w:val="0"/>
                <w:sz w:val="18"/>
              </w:rPr>
              <w:t>Mostrar hora de actualización y respetar condiciones de uso.</w:t>
            </w:r>
          </w:p>
        </w:tc>
      </w:tr>
      <w:tr>
        <w:tc>
          <w:tcPr>
            <w:tcW w:type="dxa" w:w="2160"/>
            <w:vAlign w:val="top"/>
          </w:tcPr>
          <w:p>
            <w:pPr>
              <w:spacing w:after="40"/>
            </w:pPr>
            <w:r>
              <w:rPr>
                <w:sz w:val="18"/>
              </w:rPr>
            </w:r>
            <w:r>
              <w:rPr>
                <w:b w:val="0"/>
                <w:sz w:val="18"/>
              </w:rPr>
              <w:t>EMSC</w:t>
            </w:r>
          </w:p>
        </w:tc>
        <w:tc>
          <w:tcPr>
            <w:tcW w:type="dxa" w:w="2736"/>
            <w:vAlign w:val="top"/>
          </w:tcPr>
          <w:p>
            <w:pPr>
              <w:spacing w:after="40"/>
            </w:pPr>
            <w:r>
              <w:rPr>
                <w:sz w:val="18"/>
              </w:rPr>
            </w:r>
            <w:r>
              <w:rPr>
                <w:b w:val="0"/>
                <w:sz w:val="18"/>
              </w:rPr>
              <w:t>Fuente complementaria internacional.</w:t>
            </w:r>
          </w:p>
        </w:tc>
        <w:tc>
          <w:tcPr>
            <w:tcW w:type="dxa" w:w="3456"/>
            <w:vAlign w:val="top"/>
          </w:tcPr>
          <w:p>
            <w:pPr>
              <w:spacing w:after="40"/>
            </w:pPr>
            <w:r>
              <w:rPr>
                <w:sz w:val="18"/>
              </w:rPr>
            </w:r>
            <w:r>
              <w:rPr>
                <w:b w:val="0"/>
                <w:sz w:val="18"/>
              </w:rPr>
              <w:t>Contraste de eventos y mejora de cobertura regional.</w:t>
            </w:r>
          </w:p>
        </w:tc>
        <w:tc>
          <w:tcPr>
            <w:tcW w:type="dxa" w:w="2304"/>
            <w:vAlign w:val="top"/>
          </w:tcPr>
          <w:p>
            <w:pPr>
              <w:spacing w:after="40"/>
            </w:pPr>
            <w:r>
              <w:rPr>
                <w:sz w:val="18"/>
              </w:rPr>
            </w:r>
            <w:r>
              <w:rPr>
                <w:b w:val="0"/>
                <w:sz w:val="18"/>
              </w:rPr>
              <w:t>Aplicar deduplicación si coincide con USGS.</w:t>
            </w:r>
          </w:p>
        </w:tc>
      </w:tr>
      <w:tr>
        <w:tc>
          <w:tcPr>
            <w:tcW w:type="dxa" w:w="2160"/>
            <w:vAlign w:val="top"/>
          </w:tcPr>
          <w:p>
            <w:pPr>
              <w:spacing w:after="40"/>
            </w:pPr>
            <w:r>
              <w:rPr>
                <w:sz w:val="18"/>
              </w:rPr>
            </w:r>
            <w:r>
              <w:rPr>
                <w:b w:val="0"/>
                <w:sz w:val="18"/>
              </w:rPr>
              <w:t>GDACS</w:t>
            </w:r>
          </w:p>
        </w:tc>
        <w:tc>
          <w:tcPr>
            <w:tcW w:type="dxa" w:w="2736"/>
            <w:vAlign w:val="top"/>
          </w:tcPr>
          <w:p>
            <w:pPr>
              <w:spacing w:after="40"/>
            </w:pPr>
            <w:r>
              <w:rPr>
                <w:sz w:val="18"/>
              </w:rPr>
            </w:r>
            <w:r>
              <w:rPr>
                <w:b w:val="0"/>
                <w:sz w:val="18"/>
              </w:rPr>
              <w:t>Contexto de desastre e impacto.</w:t>
            </w:r>
          </w:p>
        </w:tc>
        <w:tc>
          <w:tcPr>
            <w:tcW w:type="dxa" w:w="3456"/>
            <w:vAlign w:val="top"/>
          </w:tcPr>
          <w:p>
            <w:pPr>
              <w:spacing w:after="40"/>
            </w:pPr>
            <w:r>
              <w:rPr>
                <w:sz w:val="18"/>
              </w:rPr>
            </w:r>
            <w:r>
              <w:rPr>
                <w:b w:val="0"/>
                <w:sz w:val="18"/>
              </w:rPr>
              <w:t>Capa complementaria para lectura de alerta o severidad.</w:t>
            </w:r>
          </w:p>
        </w:tc>
        <w:tc>
          <w:tcPr>
            <w:tcW w:type="dxa" w:w="2304"/>
            <w:vAlign w:val="top"/>
          </w:tcPr>
          <w:p>
            <w:pPr>
              <w:spacing w:after="40"/>
            </w:pPr>
            <w:r>
              <w:rPr>
                <w:sz w:val="18"/>
              </w:rPr>
            </w:r>
            <w:r>
              <w:rPr>
                <w:b w:val="0"/>
                <w:sz w:val="18"/>
              </w:rPr>
              <w:t>No reemplaza catálogo sísmico detallado.</w:t>
            </w:r>
          </w:p>
        </w:tc>
      </w:tr>
      <w:tr>
        <w:tc>
          <w:tcPr>
            <w:tcW w:type="dxa" w:w="2160"/>
            <w:vAlign w:val="top"/>
          </w:tcPr>
          <w:p>
            <w:pPr>
              <w:spacing w:after="40"/>
            </w:pPr>
            <w:r>
              <w:rPr>
                <w:sz w:val="18"/>
              </w:rPr>
            </w:r>
            <w:r>
              <w:rPr>
                <w:b w:val="0"/>
                <w:sz w:val="18"/>
              </w:rPr>
              <w:t>FUNVISIS / Venezuela</w:t>
            </w:r>
          </w:p>
        </w:tc>
        <w:tc>
          <w:tcPr>
            <w:tcW w:type="dxa" w:w="2736"/>
            <w:vAlign w:val="top"/>
          </w:tcPr>
          <w:p>
            <w:pPr>
              <w:spacing w:after="40"/>
            </w:pPr>
            <w:r>
              <w:rPr>
                <w:sz w:val="18"/>
              </w:rPr>
            </w:r>
            <w:r>
              <w:rPr>
                <w:b w:val="0"/>
                <w:sz w:val="18"/>
              </w:rPr>
              <w:t>Fuente nacional a evaluar.</w:t>
            </w:r>
          </w:p>
        </w:tc>
        <w:tc>
          <w:tcPr>
            <w:tcW w:type="dxa" w:w="3456"/>
            <w:vAlign w:val="top"/>
          </w:tcPr>
          <w:p>
            <w:pPr>
              <w:spacing w:after="40"/>
            </w:pPr>
            <w:r>
              <w:rPr>
                <w:sz w:val="18"/>
              </w:rPr>
            </w:r>
            <w:r>
              <w:rPr>
                <w:b w:val="0"/>
                <w:sz w:val="18"/>
              </w:rPr>
              <w:t>Referencia institucional para eventos asociados a Venezuela.</w:t>
            </w:r>
          </w:p>
        </w:tc>
        <w:tc>
          <w:tcPr>
            <w:tcW w:type="dxa" w:w="2304"/>
            <w:vAlign w:val="top"/>
          </w:tcPr>
          <w:p>
            <w:pPr>
              <w:spacing w:after="40"/>
            </w:pPr>
            <w:r>
              <w:rPr>
                <w:sz w:val="18"/>
              </w:rPr>
            </w:r>
            <w:r>
              <w:rPr>
                <w:b w:val="0"/>
                <w:sz w:val="18"/>
              </w:rPr>
              <w:t>Integrar solo si existe acceso permitido o acuerdo formal.</w:t>
            </w:r>
          </w:p>
        </w:tc>
      </w:tr>
      <w:tr>
        <w:tc>
          <w:tcPr>
            <w:tcW w:type="dxa" w:w="2160"/>
            <w:vAlign w:val="top"/>
          </w:tcPr>
          <w:p>
            <w:pPr>
              <w:spacing w:after="40"/>
            </w:pPr>
            <w:r>
              <w:rPr>
                <w:sz w:val="18"/>
              </w:rPr>
            </w:r>
            <w:r>
              <w:rPr>
                <w:b w:val="0"/>
                <w:sz w:val="18"/>
              </w:rPr>
              <w:t>NOAA/PTWC/NTWC</w:t>
            </w:r>
          </w:p>
        </w:tc>
        <w:tc>
          <w:tcPr>
            <w:tcW w:type="dxa" w:w="2736"/>
            <w:vAlign w:val="top"/>
          </w:tcPr>
          <w:p>
            <w:pPr>
              <w:spacing w:after="40"/>
            </w:pPr>
            <w:r>
              <w:rPr>
                <w:sz w:val="18"/>
              </w:rPr>
            </w:r>
            <w:r>
              <w:rPr>
                <w:b w:val="0"/>
                <w:sz w:val="18"/>
              </w:rPr>
              <w:t>Productos oficiales de tsunami.</w:t>
            </w:r>
          </w:p>
        </w:tc>
        <w:tc>
          <w:tcPr>
            <w:tcW w:type="dxa" w:w="3456"/>
            <w:vAlign w:val="top"/>
          </w:tcPr>
          <w:p>
            <w:pPr>
              <w:spacing w:after="40"/>
            </w:pPr>
            <w:r>
              <w:rPr>
                <w:sz w:val="18"/>
              </w:rPr>
            </w:r>
            <w:r>
              <w:rPr>
                <w:b w:val="0"/>
                <w:sz w:val="18"/>
              </w:rPr>
              <w:t>Capa opcional de warning, advisory, watch, threat o information statement.</w:t>
            </w:r>
          </w:p>
        </w:tc>
        <w:tc>
          <w:tcPr>
            <w:tcW w:type="dxa" w:w="2304"/>
            <w:vAlign w:val="top"/>
          </w:tcPr>
          <w:p>
            <w:pPr>
              <w:spacing w:after="40"/>
            </w:pPr>
            <w:r>
              <w:rPr>
                <w:sz w:val="18"/>
              </w:rPr>
            </w:r>
            <w:r>
              <w:rPr>
                <w:b w:val="0"/>
                <w:sz w:val="18"/>
              </w:rPr>
              <w:t>No presentar como alerta emitida por la plataforma.</w:t>
            </w:r>
          </w:p>
        </w:tc>
      </w:tr>
      <w:tr>
        <w:tc>
          <w:tcPr>
            <w:tcW w:type="dxa" w:w="2448"/>
          </w:tcPr>
          <w:p>
            <w:r>
              <w:t>IGP/CENSIS - Peru</w:t>
            </w:r>
          </w:p>
        </w:tc>
        <w:tc>
          <w:tcPr>
            <w:tcW w:type="dxa" w:w="2448"/>
          </w:tcPr>
          <w:p>
            <w:r>
              <w:t>Fuente nacional oficial prioritaria para eventos en Peru.</w:t>
            </w:r>
          </w:p>
        </w:tc>
        <w:tc>
          <w:tcPr>
            <w:tcW w:type="dxa" w:w="2448"/>
          </w:tcPr>
          <w:p>
            <w:r>
              <w:t>Catalogo regional, intensidad, coordenadas, profundidad, hora UTC y referencia oficial.</w:t>
            </w:r>
          </w:p>
        </w:tc>
        <w:tc>
          <w:tcPr>
            <w:tcW w:type="dxa" w:w="2448"/>
          </w:tcPr>
          <w:p>
            <w:r>
              <w:t>Aislar el adaptador y monitorear cambios porque el endpoint utilizado por el portal no publica una especificacion versionada.</w:t>
            </w:r>
          </w:p>
        </w:tc>
      </w:tr>
    </w:tbl>
    <w:p>
      <w:pPr>
        <w:spacing w:after="120" w:line="259" w:lineRule="auto"/>
      </w:pPr>
    </w:p>
    <w:p>
      <w:pPr>
        <w:pStyle w:val="Heading2"/>
      </w:pPr>
      <w:r>
        <w:t>7.1 Criterio de uso de GlobalQuake como referente funcional</w:t>
      </w:r>
    </w:p>
    <w:p>
      <w:pPr/>
      <w:r>
        <w:t>Para enriquecer la propuesta se analizó GlobalQuake como referente funcional de monitoreo sísmico en vivo. Su valor para esta etapa no está en servir como fuente oficial del catálogo, sino en la forma de presentar eventos, capas, enfoque visual del epicentro y percepción operativa de actualización continua.</w:t>
      </w:r>
    </w:p>
    <w:p>
      <w:pPr/>
      <w:r>
        <w:t>En consecuencia, el proyecto adopta una regla explícita: las fuentes de verdad del sistema serán organismos y servicios oficiales o institucionales permitidos, mientras que herramientas como GlobalQuake solo se usarán como referencia de experiencia de usuario y visualización avanzada.</w:t>
      </w:r>
    </w:p>
    <w:p>
      <w:pPr>
        <w:pStyle w:val="Heading1"/>
        <w:spacing w:after="120" w:line="259" w:lineRule="auto"/>
      </w:pPr>
      <w:r>
        <w:t>8. Concepto funcional de la solución</w:t>
      </w:r>
    </w:p>
    <w:p>
      <w:pPr>
        <w:spacing w:after="120" w:line="259" w:lineRule="auto"/>
      </w:pPr>
      <w:r>
        <w:t>La pantalla principal estará compuesta por un globo 3D geoespacial con CesiumJS y un panel de control lateral. El usuario podrá visualizar eventos recientes, filtrar por criterios técnicos, seleccionar un punto del globo y revisar el detalle del evento con trazabilidad a la fuente original.</w:t>
      </w:r>
    </w:p>
    <w:tbl>
      <w:tblPr>
        <w:tblStyle w:val="TableGrid"/>
        <w:tblW w:type="auto" w:w="0"/>
        <w:jc w:val="center"/>
        <w:tblLook w:firstColumn="1" w:firstRow="1" w:lastColumn="0" w:lastRow="0" w:noHBand="0" w:noVBand="1" w:val="04A0"/>
      </w:tblPr>
      <w:tblGrid>
        <w:gridCol w:w="4896"/>
        <w:gridCol w:w="4896"/>
      </w:tblGrid>
      <w:tr>
        <w:tc>
          <w:tcPr>
            <w:tcW w:type="dxa" w:w="2880"/>
            <w:shd w:fill="D9EAF7"/>
            <w:vAlign w:val="top"/>
          </w:tcPr>
          <w:p>
            <w:pPr>
              <w:spacing w:after="40"/>
            </w:pPr>
            <w:r>
              <w:rPr>
                <w:sz w:val="18"/>
              </w:rPr>
            </w:r>
            <w:r>
              <w:rPr>
                <w:b/>
                <w:sz w:val="18"/>
              </w:rPr>
              <w:t>Zona de interfaz</w:t>
            </w:r>
          </w:p>
        </w:tc>
        <w:tc>
          <w:tcPr>
            <w:tcW w:type="dxa" w:w="7776"/>
            <w:shd w:fill="D9EAF7"/>
            <w:vAlign w:val="top"/>
          </w:tcPr>
          <w:p>
            <w:pPr>
              <w:spacing w:after="40"/>
            </w:pPr>
            <w:r>
              <w:rPr>
                <w:sz w:val="18"/>
              </w:rPr>
            </w:r>
            <w:r>
              <w:rPr>
                <w:b/>
                <w:sz w:val="18"/>
              </w:rPr>
              <w:t>Función</w:t>
            </w:r>
          </w:p>
        </w:tc>
      </w:tr>
      <w:tr>
        <w:tc>
          <w:tcPr>
            <w:tcW w:type="dxa" w:w="2880"/>
            <w:vAlign w:val="top"/>
          </w:tcPr>
          <w:p>
            <w:pPr>
              <w:spacing w:after="40"/>
            </w:pPr>
            <w:r>
              <w:rPr>
                <w:sz w:val="18"/>
              </w:rPr>
            </w:r>
            <w:r>
              <w:rPr>
                <w:b w:val="0"/>
                <w:sz w:val="18"/>
              </w:rPr>
              <w:t>Mapa o globo</w:t>
            </w:r>
          </w:p>
        </w:tc>
        <w:tc>
          <w:tcPr>
            <w:tcW w:type="dxa" w:w="7776"/>
            <w:vAlign w:val="top"/>
          </w:tcPr>
          <w:p>
            <w:pPr>
              <w:spacing w:after="40"/>
            </w:pPr>
            <w:r>
              <w:rPr>
                <w:sz w:val="18"/>
              </w:rPr>
            </w:r>
            <w:r>
              <w:rPr>
                <w:b w:val="0"/>
                <w:sz w:val="18"/>
              </w:rPr>
              <w:t>Representar epicentros con marcadores escalados por magnitud.</w:t>
            </w:r>
          </w:p>
        </w:tc>
      </w:tr>
      <w:tr>
        <w:tc>
          <w:tcPr>
            <w:tcW w:type="dxa" w:w="2880"/>
            <w:vAlign w:val="top"/>
          </w:tcPr>
          <w:p>
            <w:pPr>
              <w:spacing w:after="40"/>
            </w:pPr>
            <w:r>
              <w:rPr>
                <w:sz w:val="18"/>
              </w:rPr>
            </w:r>
            <w:r>
              <w:rPr>
                <w:b w:val="0"/>
                <w:sz w:val="18"/>
              </w:rPr>
              <w:t>Panel de eventos</w:t>
            </w:r>
          </w:p>
        </w:tc>
        <w:tc>
          <w:tcPr>
            <w:tcW w:type="dxa" w:w="7776"/>
            <w:vAlign w:val="top"/>
          </w:tcPr>
          <w:p>
            <w:pPr>
              <w:spacing w:after="40"/>
            </w:pPr>
            <w:r>
              <w:rPr>
                <w:sz w:val="18"/>
              </w:rPr>
            </w:r>
            <w:r>
              <w:rPr>
                <w:b w:val="0"/>
                <w:sz w:val="18"/>
              </w:rPr>
              <w:t>Listar eventos recientes y permitir centrar el mapa en un evento.</w:t>
            </w:r>
          </w:p>
        </w:tc>
      </w:tr>
      <w:tr>
        <w:tc>
          <w:tcPr>
            <w:tcW w:type="dxa" w:w="2880"/>
            <w:vAlign w:val="top"/>
          </w:tcPr>
          <w:p>
            <w:pPr>
              <w:spacing w:after="40"/>
            </w:pPr>
            <w:r>
              <w:rPr>
                <w:sz w:val="18"/>
              </w:rPr>
            </w:r>
            <w:r>
              <w:rPr>
                <w:b w:val="0"/>
                <w:sz w:val="18"/>
              </w:rPr>
              <w:t>Filtros</w:t>
            </w:r>
          </w:p>
        </w:tc>
        <w:tc>
          <w:tcPr>
            <w:tcW w:type="dxa" w:w="7776"/>
            <w:vAlign w:val="top"/>
          </w:tcPr>
          <w:p>
            <w:pPr>
              <w:spacing w:after="40"/>
            </w:pPr>
            <w:r>
              <w:rPr>
                <w:sz w:val="18"/>
              </w:rPr>
            </w:r>
            <w:r>
              <w:rPr>
                <w:b w:val="0"/>
                <w:sz w:val="18"/>
              </w:rPr>
              <w:t>Controlar magnitud mínima, periodo, fuente, profundidad y región.</w:t>
            </w:r>
          </w:p>
        </w:tc>
      </w:tr>
      <w:tr>
        <w:tc>
          <w:tcPr>
            <w:tcW w:type="dxa" w:w="2880"/>
            <w:vAlign w:val="top"/>
          </w:tcPr>
          <w:p>
            <w:pPr>
              <w:spacing w:after="40"/>
            </w:pPr>
            <w:r>
              <w:rPr>
                <w:sz w:val="18"/>
              </w:rPr>
            </w:r>
            <w:r>
              <w:rPr>
                <w:b w:val="0"/>
                <w:sz w:val="18"/>
              </w:rPr>
              <w:t>Detalle de evento</w:t>
            </w:r>
          </w:p>
        </w:tc>
        <w:tc>
          <w:tcPr>
            <w:tcW w:type="dxa" w:w="7776"/>
            <w:vAlign w:val="top"/>
          </w:tcPr>
          <w:p>
            <w:pPr>
              <w:spacing w:after="40"/>
            </w:pPr>
            <w:r>
              <w:rPr>
                <w:sz w:val="18"/>
              </w:rPr>
            </w:r>
            <w:r>
              <w:rPr>
                <w:b w:val="0"/>
                <w:sz w:val="18"/>
              </w:rPr>
              <w:t>Mostrar magnitud, profundidad, coordenadas, hora, fuente y enlace original.</w:t>
            </w:r>
          </w:p>
        </w:tc>
      </w:tr>
      <w:tr>
        <w:tc>
          <w:tcPr>
            <w:tcW w:type="dxa" w:w="2880"/>
            <w:vAlign w:val="top"/>
          </w:tcPr>
          <w:p>
            <w:pPr>
              <w:spacing w:after="40"/>
            </w:pPr>
            <w:r>
              <w:rPr>
                <w:sz w:val="18"/>
              </w:rPr>
            </w:r>
            <w:r>
              <w:rPr>
                <w:b w:val="0"/>
                <w:sz w:val="18"/>
              </w:rPr>
              <w:t>Estado de sincronización</w:t>
            </w:r>
          </w:p>
        </w:tc>
        <w:tc>
          <w:tcPr>
            <w:tcW w:type="dxa" w:w="7776"/>
            <w:vAlign w:val="top"/>
          </w:tcPr>
          <w:p>
            <w:pPr>
              <w:spacing w:after="40"/>
            </w:pPr>
            <w:r>
              <w:rPr>
                <w:sz w:val="18"/>
              </w:rPr>
            </w:r>
            <w:r>
              <w:rPr>
                <w:b w:val="0"/>
                <w:sz w:val="18"/>
              </w:rPr>
              <w:t>Indicar última actualización, fuente activa y errores de conexión.</w:t>
            </w:r>
          </w:p>
        </w:tc>
      </w:tr>
    </w:tbl>
    <w:p>
      <w:pPr>
        <w:spacing w:after="120" w:line="259" w:lineRule="auto"/>
      </w:pPr>
    </w:p>
    <w:p>
      <w:pPr>
        <w:pStyle w:val="Heading2"/>
      </w:pPr>
      <w:r>
        <w:t>8.1 Modelo híbrido propuesto</w:t>
      </w:r>
    </w:p>
    <w:p>
      <w:pPr/>
      <w:r>
        <w:t>Se propone un modelo híbrido que combina dos planos claramente separados:</w:t>
      </w:r>
    </w:p>
    <w:p>
      <w:pPr>
        <w:pStyle w:val="ListBullet"/>
      </w:pPr>
      <w:r>
        <w:t>Plano de datos verificables: USGS, EMSC, IGP/CENSIS, FUNVISIS, GEOFON, GeoNet, GDACS y NOAA/PTWC/NTWC mediante sus canales publicos permitidos.</w:t>
      </w:r>
    </w:p>
    <w:p>
      <w:pPr>
        <w:pStyle w:val="ListBullet"/>
      </w:pPr>
      <w:r>
        <w:t>Plano de experiencia operativa: globo 3D con CesiumJS, capas temáticas, resaltado de eventos nuevos, foco automático y lectura geográfica continua.</w:t>
      </w:r>
    </w:p>
    <w:p>
      <w:pPr>
        <w:pStyle w:val="ListBullet"/>
      </w:pPr>
      <w:r>
        <w:t>Plano de trazabilidad: conservación de fuente, hora de consulta, enlace original, estado de sincronización y diferenciación entre evento oficial y representación visual.</w:t>
      </w:r>
    </w:p>
    <w:p>
      <w:pPr>
        <w:pStyle w:val="ListBullet"/>
      </w:pPr>
      <w:r>
        <w:t>Plano de límites: no emitir alertas propias, no sustituir autoridades y no presentar cálculos experimentales como confirmación oficial.</w:t>
      </w:r>
    </w:p>
    <w:p>
      <w:pPr>
        <w:pStyle w:val="ListBullet"/>
      </w:pPr>
      <w:r>
        <w:t>Los elementos inspirados en herramientas experimentales quedarán restringidos a la representación visual y a la ergonomía del monitoreo, sin alterar la prioridad de las fuentes oficiales.</w:t>
      </w:r>
    </w:p>
    <w:p>
      <w:pPr>
        <w:pStyle w:val="Heading1"/>
        <w:spacing w:after="120" w:line="259" w:lineRule="auto"/>
      </w:pPr>
      <w:r>
        <w:t>9. Interactividad y visualización en vivo</w:t>
      </w:r>
    </w:p>
    <w:p>
      <w:pPr>
        <w:pStyle w:val="ListBullet"/>
        <w:spacing w:after="120" w:line="259" w:lineRule="auto"/>
      </w:pPr>
      <w:r>
        <w:t>Refresco automático cada intervalo configurado, sin prometer tiempo real absoluto.</w:t>
      </w:r>
    </w:p>
    <w:p>
      <w:pPr>
        <w:pStyle w:val="ListBullet"/>
      </w:pPr>
      <w:r>
        <w:t>Canal en vivo (SSE/WebSocket) que empuja los eventos nuevos al mapa sin recargar la página; la fuente EMSC ofrece además un WebSocket de tiempo real.</w:t>
      </w:r>
    </w:p>
    <w:p>
      <w:pPr>
        <w:pStyle w:val="ListBullet"/>
        <w:spacing w:after="120" w:line="259" w:lineRule="auto"/>
      </w:pPr>
      <w:r>
        <w:t>Resaltado de eventos nuevos en el panel de eventos recientes.</w:t>
      </w:r>
    </w:p>
    <w:p>
      <w:pPr>
        <w:pStyle w:val="ListBullet"/>
        <w:spacing w:after="120" w:line="259" w:lineRule="auto"/>
      </w:pPr>
      <w:r>
        <w:t>Filtros reactivos que actualizan marcadores sin recargar toda la página.</w:t>
      </w:r>
    </w:p>
    <w:p>
      <w:pPr>
        <w:pStyle w:val="ListBullet"/>
        <w:spacing w:after="120" w:line="259" w:lineRule="auto"/>
      </w:pPr>
      <w:r>
        <w:t>Línea de tiempo para observar evolución de eventos por hora o día.</w:t>
      </w:r>
    </w:p>
    <w:p>
      <w:pPr>
        <w:pStyle w:val="ListBullet"/>
        <w:spacing w:after="120" w:line="259" w:lineRule="auto"/>
      </w:pPr>
      <w:r>
        <w:t>Capa de tsunami visible solo cuando exista producto oficial activo o informativo relevante.</w:t>
      </w:r>
    </w:p>
    <w:p>
      <w:pPr>
        <w:pStyle w:val="ListBullet"/>
        <w:spacing w:after="120" w:line="259" w:lineRule="auto"/>
      </w:pPr>
      <w:r>
        <w:t>Mensajes claros cuando una fuente esté retrasada, caída o sin datos nuevos.</w:t>
      </w:r>
    </w:p>
    <w:p>
      <w:pPr>
        <w:pStyle w:val="Heading1"/>
        <w:spacing w:after="120" w:line="259" w:lineRule="auto"/>
      </w:pPr>
      <w:r>
        <w:t>10. Arquitectura funcional de alto nivel</w:t>
      </w:r>
    </w:p>
    <w:p>
      <w:pPr>
        <w:pStyle w:val="CodeBlock"/>
        <w:spacing w:after="120" w:line="259" w:lineRule="auto"/>
      </w:pPr>
      <w:r>
        <w:t>Fuentes externas -&gt; Servicio de ingesta -&gt; Normalización -&gt; PostgreSQL con extensión PostGIS/cache -&gt; API propia -&gt; Globo 3D interactivo CesiumJS</w:t>
      </w:r>
    </w:p>
    <w:tbl>
      <w:tblPr>
        <w:tblStyle w:val="TableGrid"/>
        <w:tblW w:type="auto" w:w="0"/>
        <w:jc w:val="center"/>
        <w:tblLook w:firstColumn="1" w:firstRow="1" w:lastColumn="0" w:lastRow="0" w:noHBand="0" w:noVBand="1" w:val="04A0"/>
      </w:tblPr>
      <w:tblGrid>
        <w:gridCol w:w="4896"/>
        <w:gridCol w:w="4896"/>
      </w:tblGrid>
      <w:tr>
        <w:tc>
          <w:tcPr>
            <w:tcW w:type="dxa" w:w="2880"/>
            <w:shd w:fill="D9EAF7"/>
            <w:vAlign w:val="top"/>
          </w:tcPr>
          <w:p>
            <w:pPr>
              <w:spacing w:after="40"/>
            </w:pPr>
            <w:r>
              <w:rPr>
                <w:sz w:val="18"/>
              </w:rPr>
            </w:r>
            <w:r>
              <w:rPr>
                <w:b/>
                <w:sz w:val="18"/>
              </w:rPr>
              <w:t>Capa</w:t>
            </w:r>
          </w:p>
        </w:tc>
        <w:tc>
          <w:tcPr>
            <w:tcW w:type="dxa" w:w="7776"/>
            <w:shd w:fill="D9EAF7"/>
            <w:vAlign w:val="top"/>
          </w:tcPr>
          <w:p>
            <w:pPr>
              <w:spacing w:after="40"/>
            </w:pPr>
            <w:r>
              <w:rPr>
                <w:sz w:val="18"/>
              </w:rPr>
            </w:r>
            <w:r>
              <w:rPr>
                <w:b/>
                <w:sz w:val="18"/>
              </w:rPr>
              <w:t>Responsabilidad</w:t>
            </w:r>
          </w:p>
        </w:tc>
      </w:tr>
      <w:tr>
        <w:tc>
          <w:tcPr>
            <w:tcW w:type="dxa" w:w="2880"/>
            <w:vAlign w:val="top"/>
          </w:tcPr>
          <w:p>
            <w:pPr>
              <w:spacing w:after="40"/>
            </w:pPr>
            <w:r>
              <w:rPr>
                <w:sz w:val="18"/>
              </w:rPr>
            </w:r>
            <w:r>
              <w:rPr>
                <w:b w:val="0"/>
                <w:sz w:val="18"/>
              </w:rPr>
              <w:t>Frontend</w:t>
            </w:r>
          </w:p>
        </w:tc>
        <w:tc>
          <w:tcPr>
            <w:tcW w:type="dxa" w:w="7776"/>
            <w:vAlign w:val="top"/>
          </w:tcPr>
          <w:p>
            <w:pPr>
              <w:spacing w:after="40"/>
            </w:pPr>
            <w:r>
              <w:rPr>
                <w:sz w:val="18"/>
              </w:rPr>
            </w:r>
            <w:r>
              <w:rPr>
                <w:b w:val="0"/>
                <w:sz w:val="18"/>
              </w:rPr>
              <w:t>Mapa, filtros, paneles, detalle de evento y actualización visual.</w:t>
            </w:r>
          </w:p>
        </w:tc>
      </w:tr>
      <w:tr>
        <w:tc>
          <w:tcPr>
            <w:tcW w:type="dxa" w:w="2880"/>
            <w:vAlign w:val="top"/>
          </w:tcPr>
          <w:p>
            <w:pPr>
              <w:spacing w:after="40"/>
            </w:pPr>
            <w:r>
              <w:rPr>
                <w:sz w:val="18"/>
              </w:rPr>
            </w:r>
            <w:r>
              <w:rPr>
                <w:b w:val="0"/>
                <w:sz w:val="18"/>
              </w:rPr>
              <w:t>API backend</w:t>
            </w:r>
          </w:p>
        </w:tc>
        <w:tc>
          <w:tcPr>
            <w:tcW w:type="dxa" w:w="7776"/>
            <w:vAlign w:val="top"/>
          </w:tcPr>
          <w:p>
            <w:pPr>
              <w:spacing w:after="40"/>
            </w:pPr>
            <w:r>
              <w:rPr>
                <w:sz w:val="18"/>
              </w:rPr>
            </w:r>
            <w:r>
              <w:rPr>
                <w:b w:val="0"/>
                <w:sz w:val="18"/>
              </w:rPr>
              <w:t>Entrega eventos normalizados al frontend y protege al navegador de acoplarse a cada fuente externa.</w:t>
            </w:r>
          </w:p>
        </w:tc>
      </w:tr>
      <w:tr>
        <w:tc>
          <w:tcPr>
            <w:tcW w:type="dxa" w:w="2880"/>
            <w:vAlign w:val="top"/>
          </w:tcPr>
          <w:p>
            <w:pPr>
              <w:spacing w:after="40"/>
            </w:pPr>
            <w:r>
              <w:rPr>
                <w:sz w:val="18"/>
              </w:rPr>
            </w:r>
            <w:r>
              <w:rPr>
                <w:b w:val="0"/>
                <w:sz w:val="18"/>
              </w:rPr>
              <w:t>Worker de ingesta</w:t>
            </w:r>
          </w:p>
        </w:tc>
        <w:tc>
          <w:tcPr>
            <w:tcW w:type="dxa" w:w="7776"/>
            <w:vAlign w:val="top"/>
          </w:tcPr>
          <w:p>
            <w:pPr>
              <w:spacing w:after="40"/>
            </w:pPr>
            <w:r>
              <w:rPr>
                <w:sz w:val="18"/>
              </w:rPr>
            </w:r>
            <w:r>
              <w:rPr>
                <w:b w:val="0"/>
                <w:sz w:val="18"/>
              </w:rPr>
              <w:t>Consulta fuentes externas, valida respuestas, registra errores y guarda eventos.</w:t>
            </w:r>
          </w:p>
        </w:tc>
      </w:tr>
      <w:tr>
        <w:tc>
          <w:tcPr>
            <w:tcW w:type="dxa" w:w="2880"/>
            <w:vAlign w:val="top"/>
          </w:tcPr>
          <w:p>
            <w:pPr>
              <w:spacing w:after="40"/>
            </w:pPr>
            <w:r>
              <w:rPr>
                <w:sz w:val="18"/>
              </w:rPr>
            </w:r>
            <w:r>
              <w:rPr>
                <w:b w:val="0"/>
                <w:sz w:val="18"/>
              </w:rPr>
              <w:t>Base de datos</w:t>
            </w:r>
          </w:p>
        </w:tc>
        <w:tc>
          <w:tcPr>
            <w:tcW w:type="dxa" w:w="7776"/>
            <w:vAlign w:val="top"/>
          </w:tcPr>
          <w:p>
            <w:pPr>
              <w:spacing w:after="40"/>
              <w:jc w:val="left"/>
            </w:pPr>
            <w:r>
              <w:rPr>
                <w:sz w:val="18"/>
              </w:rPr>
              <w:t>PostgreSQL con extensión PostGIS conserva eventos, fuentes, productos de tsunami, auditoría y estado de sincronización, con índices espaciales mediante PostGIS para consultas por región.</w:t>
            </w:r>
            <w:r>
              <w:rPr>
                <w:b w:val="0"/>
                <w:sz w:val="18"/>
              </w:rPr>
            </w:r>
          </w:p>
        </w:tc>
      </w:tr>
      <w:tr>
        <w:tc>
          <w:tcPr>
            <w:tcW w:type="dxa" w:w="2880"/>
            <w:vAlign w:val="top"/>
          </w:tcPr>
          <w:p>
            <w:pPr>
              <w:spacing w:after="40"/>
            </w:pPr>
            <w:r>
              <w:rPr>
                <w:sz w:val="18"/>
              </w:rPr>
            </w:r>
            <w:r>
              <w:rPr>
                <w:b w:val="0"/>
                <w:sz w:val="18"/>
              </w:rPr>
              <w:t>Observabilidad</w:t>
            </w:r>
          </w:p>
        </w:tc>
        <w:tc>
          <w:tcPr>
            <w:tcW w:type="dxa" w:w="7776"/>
            <w:vAlign w:val="top"/>
          </w:tcPr>
          <w:p>
            <w:pPr>
              <w:spacing w:after="40"/>
            </w:pPr>
            <w:r>
              <w:rPr>
                <w:sz w:val="18"/>
              </w:rPr>
            </w:r>
            <w:r>
              <w:rPr>
                <w:b w:val="0"/>
                <w:sz w:val="18"/>
              </w:rPr>
              <w:t>Registra latencia, fallas, cantidad de eventos procesados y disponibilidad de fuentes.</w:t>
            </w:r>
          </w:p>
        </w:tc>
      </w:tr>
    </w:tbl>
    <w:p>
      <w:pPr>
        <w:spacing w:after="120" w:line="259" w:lineRule="auto"/>
      </w:pPr>
    </w:p>
    <w:p>
      <w:pPr>
        <w:pStyle w:val="Heading1"/>
        <w:spacing w:after="120" w:line="259" w:lineRule="auto"/>
      </w:pPr>
      <w:r>
        <w:t>11. Requisitos funcionales y no funcionales</w:t>
      </w:r>
    </w:p>
    <w:tbl>
      <w:tblPr>
        <w:tblStyle w:val="TableGrid"/>
        <w:tblW w:type="auto" w:w="0"/>
        <w:jc w:val="center"/>
        <w:tblLook w:firstColumn="1" w:firstRow="1" w:lastColumn="0" w:lastRow="0" w:noHBand="0" w:noVBand="1" w:val="04A0"/>
      </w:tblPr>
      <w:tblGrid>
        <w:gridCol w:w="4896"/>
        <w:gridCol w:w="4896"/>
      </w:tblGrid>
      <w:tr>
        <w:tc>
          <w:tcPr>
            <w:tcW w:type="dxa" w:w="1728"/>
            <w:shd w:fill="D9EAF7"/>
            <w:vAlign w:val="top"/>
          </w:tcPr>
          <w:p>
            <w:pPr>
              <w:spacing w:after="40"/>
            </w:pPr>
            <w:r>
              <w:rPr>
                <w:sz w:val="18"/>
              </w:rPr>
            </w:r>
            <w:r>
              <w:rPr>
                <w:b/>
                <w:sz w:val="18"/>
              </w:rPr>
              <w:t>Código</w:t>
            </w:r>
          </w:p>
        </w:tc>
        <w:tc>
          <w:tcPr>
            <w:tcW w:type="dxa" w:w="8928"/>
            <w:shd w:fill="D9EAF7"/>
            <w:vAlign w:val="top"/>
          </w:tcPr>
          <w:p>
            <w:pPr>
              <w:spacing w:after="40"/>
            </w:pPr>
            <w:r>
              <w:rPr>
                <w:sz w:val="18"/>
              </w:rPr>
            </w:r>
            <w:r>
              <w:rPr>
                <w:b/>
                <w:sz w:val="18"/>
              </w:rPr>
              <w:t>Requisito</w:t>
            </w:r>
          </w:p>
        </w:tc>
      </w:tr>
      <w:tr>
        <w:tc>
          <w:tcPr>
            <w:tcW w:type="dxa" w:w="1728"/>
            <w:vAlign w:val="top"/>
          </w:tcPr>
          <w:p>
            <w:pPr>
              <w:spacing w:after="40"/>
            </w:pPr>
            <w:r>
              <w:rPr>
                <w:sz w:val="18"/>
              </w:rPr>
            </w:r>
            <w:r>
              <w:rPr>
                <w:b w:val="0"/>
                <w:sz w:val="18"/>
              </w:rPr>
              <w:t>RF-01</w:t>
            </w:r>
          </w:p>
        </w:tc>
        <w:tc>
          <w:tcPr>
            <w:tcW w:type="dxa" w:w="8928"/>
            <w:vAlign w:val="top"/>
          </w:tcPr>
          <w:p>
            <w:pPr>
              <w:spacing w:after="40"/>
            </w:pPr>
            <w:r>
              <w:rPr>
                <w:sz w:val="18"/>
              </w:rPr>
            </w:r>
            <w:r>
              <w:rPr>
                <w:b w:val="0"/>
                <w:sz w:val="18"/>
              </w:rPr>
              <w:t>Mostrar eventos sísmicos en un mapa interactivo.</w:t>
            </w:r>
          </w:p>
        </w:tc>
      </w:tr>
      <w:tr>
        <w:tc>
          <w:tcPr>
            <w:tcW w:type="dxa" w:w="1728"/>
            <w:vAlign w:val="top"/>
          </w:tcPr>
          <w:p>
            <w:pPr>
              <w:spacing w:after="40"/>
            </w:pPr>
            <w:r>
              <w:rPr>
                <w:sz w:val="18"/>
              </w:rPr>
            </w:r>
            <w:r>
              <w:rPr>
                <w:b w:val="0"/>
                <w:sz w:val="18"/>
              </w:rPr>
              <w:t>RF-02</w:t>
            </w:r>
          </w:p>
        </w:tc>
        <w:tc>
          <w:tcPr>
            <w:tcW w:type="dxa" w:w="8928"/>
            <w:vAlign w:val="top"/>
          </w:tcPr>
          <w:p>
            <w:pPr>
              <w:spacing w:after="40"/>
            </w:pPr>
            <w:r>
              <w:rPr>
                <w:sz w:val="18"/>
              </w:rPr>
            </w:r>
            <w:r>
              <w:rPr>
                <w:b w:val="0"/>
                <w:sz w:val="18"/>
              </w:rPr>
              <w:t>Filtrar eventos por magnitud, fecha, fuente, profundidad y región.</w:t>
            </w:r>
          </w:p>
        </w:tc>
      </w:tr>
      <w:tr>
        <w:tc>
          <w:tcPr>
            <w:tcW w:type="dxa" w:w="1728"/>
            <w:vAlign w:val="top"/>
          </w:tcPr>
          <w:p>
            <w:pPr>
              <w:spacing w:after="40"/>
            </w:pPr>
            <w:r>
              <w:rPr>
                <w:sz w:val="18"/>
              </w:rPr>
            </w:r>
            <w:r>
              <w:rPr>
                <w:b w:val="0"/>
                <w:sz w:val="18"/>
              </w:rPr>
              <w:t>RF-03</w:t>
            </w:r>
          </w:p>
        </w:tc>
        <w:tc>
          <w:tcPr>
            <w:tcW w:type="dxa" w:w="8928"/>
            <w:vAlign w:val="top"/>
          </w:tcPr>
          <w:p>
            <w:pPr>
              <w:spacing w:after="40"/>
            </w:pPr>
            <w:r>
              <w:rPr>
                <w:sz w:val="18"/>
              </w:rPr>
            </w:r>
            <w:r>
              <w:rPr>
                <w:b w:val="0"/>
                <w:sz w:val="18"/>
              </w:rPr>
              <w:t>Mostrar detalle completo del evento seleccionado.</w:t>
            </w:r>
          </w:p>
        </w:tc>
      </w:tr>
      <w:tr>
        <w:tc>
          <w:tcPr>
            <w:tcW w:type="dxa" w:w="1728"/>
            <w:vAlign w:val="top"/>
          </w:tcPr>
          <w:p>
            <w:pPr>
              <w:spacing w:after="40"/>
            </w:pPr>
            <w:r>
              <w:rPr>
                <w:sz w:val="18"/>
              </w:rPr>
            </w:r>
            <w:r>
              <w:rPr>
                <w:b w:val="0"/>
                <w:sz w:val="18"/>
              </w:rPr>
              <w:t>RF-04</w:t>
            </w:r>
          </w:p>
        </w:tc>
        <w:tc>
          <w:tcPr>
            <w:tcW w:type="dxa" w:w="8928"/>
            <w:vAlign w:val="top"/>
          </w:tcPr>
          <w:p>
            <w:pPr>
              <w:spacing w:after="40"/>
            </w:pPr>
            <w:r>
              <w:rPr>
                <w:sz w:val="18"/>
              </w:rPr>
            </w:r>
            <w:r>
              <w:rPr>
                <w:b w:val="0"/>
                <w:sz w:val="18"/>
              </w:rPr>
              <w:t>Refrescar datos automáticamente según configuración.</w:t>
            </w:r>
          </w:p>
        </w:tc>
      </w:tr>
      <w:tr>
        <w:tc>
          <w:tcPr>
            <w:tcW w:type="dxa" w:w="1728"/>
            <w:vAlign w:val="top"/>
          </w:tcPr>
          <w:p>
            <w:pPr>
              <w:spacing w:after="40"/>
            </w:pPr>
            <w:r>
              <w:rPr>
                <w:sz w:val="18"/>
              </w:rPr>
            </w:r>
            <w:r>
              <w:rPr>
                <w:b w:val="0"/>
                <w:sz w:val="18"/>
              </w:rPr>
              <w:t>RF-05</w:t>
            </w:r>
          </w:p>
        </w:tc>
        <w:tc>
          <w:tcPr>
            <w:tcW w:type="dxa" w:w="8928"/>
            <w:vAlign w:val="top"/>
          </w:tcPr>
          <w:p>
            <w:pPr>
              <w:spacing w:after="40"/>
            </w:pPr>
            <w:r>
              <w:rPr>
                <w:sz w:val="18"/>
              </w:rPr>
            </w:r>
            <w:r>
              <w:rPr>
                <w:b w:val="0"/>
                <w:sz w:val="18"/>
              </w:rPr>
              <w:t>Mostrar productos de tsunami como capa complementaria cuando existan.</w:t>
            </w:r>
          </w:p>
        </w:tc>
      </w:tr>
      <w:tr>
        <w:tc>
          <w:tcPr>
            <w:tcW w:type="dxa" w:w="1728"/>
            <w:vAlign w:val="top"/>
          </w:tcPr>
          <w:p>
            <w:pPr>
              <w:spacing w:after="40"/>
            </w:pPr>
            <w:r>
              <w:rPr>
                <w:sz w:val="18"/>
              </w:rPr>
            </w:r>
            <w:r>
              <w:rPr>
                <w:b w:val="0"/>
                <w:sz w:val="18"/>
              </w:rPr>
              <w:t>RNF-01</w:t>
            </w:r>
          </w:p>
        </w:tc>
        <w:tc>
          <w:tcPr>
            <w:tcW w:type="dxa" w:w="8928"/>
            <w:vAlign w:val="top"/>
          </w:tcPr>
          <w:p>
            <w:pPr>
              <w:spacing w:after="40"/>
            </w:pPr>
            <w:r>
              <w:rPr>
                <w:sz w:val="18"/>
              </w:rPr>
            </w:r>
            <w:r>
              <w:rPr>
                <w:b w:val="0"/>
                <w:sz w:val="18"/>
              </w:rPr>
              <w:t>Ser usable en escritorio y dispositivos móviles.</w:t>
            </w:r>
          </w:p>
        </w:tc>
      </w:tr>
      <w:tr>
        <w:tc>
          <w:tcPr>
            <w:tcW w:type="dxa" w:w="1728"/>
            <w:vAlign w:val="top"/>
          </w:tcPr>
          <w:p>
            <w:pPr>
              <w:spacing w:after="40"/>
            </w:pPr>
            <w:r>
              <w:rPr>
                <w:sz w:val="18"/>
              </w:rPr>
            </w:r>
            <w:r>
              <w:rPr>
                <w:b w:val="0"/>
                <w:sz w:val="18"/>
              </w:rPr>
              <w:t>RNF-02</w:t>
            </w:r>
          </w:p>
        </w:tc>
        <w:tc>
          <w:tcPr>
            <w:tcW w:type="dxa" w:w="8928"/>
            <w:vAlign w:val="top"/>
          </w:tcPr>
          <w:p>
            <w:pPr>
              <w:spacing w:after="40"/>
            </w:pPr>
            <w:r>
              <w:rPr>
                <w:sz w:val="18"/>
              </w:rPr>
            </w:r>
            <w:r>
              <w:rPr>
                <w:b w:val="0"/>
                <w:sz w:val="18"/>
              </w:rPr>
              <w:t>Mantener trazabilidad de fuente y hora de consulta.</w:t>
            </w:r>
          </w:p>
        </w:tc>
      </w:tr>
      <w:tr>
        <w:tc>
          <w:tcPr>
            <w:tcW w:type="dxa" w:w="1728"/>
            <w:vAlign w:val="top"/>
          </w:tcPr>
          <w:p>
            <w:pPr>
              <w:spacing w:after="40"/>
            </w:pPr>
            <w:r>
              <w:rPr>
                <w:sz w:val="18"/>
              </w:rPr>
            </w:r>
            <w:r>
              <w:rPr>
                <w:b w:val="0"/>
                <w:sz w:val="18"/>
              </w:rPr>
              <w:t>RNF-03</w:t>
            </w:r>
          </w:p>
        </w:tc>
        <w:tc>
          <w:tcPr>
            <w:tcW w:type="dxa" w:w="8928"/>
            <w:vAlign w:val="top"/>
          </w:tcPr>
          <w:p>
            <w:pPr>
              <w:spacing w:after="40"/>
            </w:pPr>
            <w:r>
              <w:rPr>
                <w:sz w:val="18"/>
              </w:rPr>
            </w:r>
            <w:r>
              <w:rPr>
                <w:b w:val="0"/>
                <w:sz w:val="18"/>
              </w:rPr>
              <w:t>Mostrar aviso de que no es alerta oficial ni sistema predictivo.</w:t>
            </w:r>
          </w:p>
        </w:tc>
      </w:tr>
      <w:tr>
        <w:tc>
          <w:tcPr>
            <w:tcW w:type="dxa" w:w="1728"/>
            <w:vAlign w:val="top"/>
          </w:tcPr>
          <w:p>
            <w:pPr>
              <w:spacing w:after="40"/>
            </w:pPr>
            <w:r>
              <w:rPr>
                <w:sz w:val="18"/>
              </w:rPr>
            </w:r>
            <w:r>
              <w:rPr>
                <w:b w:val="0"/>
                <w:sz w:val="18"/>
              </w:rPr>
              <w:t>RNF-04</w:t>
            </w:r>
          </w:p>
        </w:tc>
        <w:tc>
          <w:tcPr>
            <w:tcW w:type="dxa" w:w="8928"/>
            <w:vAlign w:val="top"/>
          </w:tcPr>
          <w:p>
            <w:pPr>
              <w:spacing w:after="40"/>
            </w:pPr>
            <w:r>
              <w:rPr>
                <w:sz w:val="18"/>
              </w:rPr>
            </w:r>
            <w:r>
              <w:rPr>
                <w:b w:val="0"/>
                <w:sz w:val="18"/>
              </w:rPr>
              <w:t>Soportar fallas temporales de fuentes externas sin dejar inutilizable el mapa.</w:t>
            </w:r>
          </w:p>
        </w:tc>
      </w:tr>
    </w:tbl>
    <w:p>
      <w:pPr>
        <w:spacing w:after="120" w:line="259" w:lineRule="auto"/>
      </w:pPr>
    </w:p>
    <w:p>
      <w:pPr>
        <w:pStyle w:val="Heading1"/>
        <w:spacing w:after="120" w:line="259" w:lineRule="auto"/>
      </w:pPr>
      <w:r>
        <w:t>12. Riesgos y mitigaciones</w:t>
      </w:r>
    </w:p>
    <w:tbl>
      <w:tblPr>
        <w:tblStyle w:val="TableGrid"/>
        <w:tblW w:type="auto" w:w="0"/>
        <w:jc w:val="center"/>
        <w:tblLook w:firstColumn="1" w:firstRow="1" w:lastColumn="0" w:lastRow="0" w:noHBand="0" w:noVBand="1" w:val="04A0"/>
      </w:tblPr>
      <w:tblGrid>
        <w:gridCol w:w="3264"/>
        <w:gridCol w:w="3264"/>
        <w:gridCol w:w="3264"/>
      </w:tblGrid>
      <w:tr>
        <w:tc>
          <w:tcPr>
            <w:tcW w:type="dxa" w:w="2880"/>
            <w:shd w:fill="D9EAF7"/>
            <w:vAlign w:val="top"/>
          </w:tcPr>
          <w:p>
            <w:pPr>
              <w:spacing w:after="40"/>
            </w:pPr>
            <w:r>
              <w:rPr>
                <w:sz w:val="18"/>
              </w:rPr>
            </w:r>
            <w:r>
              <w:rPr>
                <w:b/>
                <w:sz w:val="18"/>
              </w:rPr>
              <w:t>Riesgo</w:t>
            </w:r>
          </w:p>
        </w:tc>
        <w:tc>
          <w:tcPr>
            <w:tcW w:type="dxa" w:w="3456"/>
            <w:shd w:fill="D9EAF7"/>
            <w:vAlign w:val="top"/>
          </w:tcPr>
          <w:p>
            <w:pPr>
              <w:spacing w:after="40"/>
            </w:pPr>
            <w:r>
              <w:rPr>
                <w:sz w:val="18"/>
              </w:rPr>
            </w:r>
            <w:r>
              <w:rPr>
                <w:b/>
                <w:sz w:val="18"/>
              </w:rPr>
              <w:t>Impacto</w:t>
            </w:r>
          </w:p>
        </w:tc>
        <w:tc>
          <w:tcPr>
            <w:tcW w:type="dxa" w:w="4320"/>
            <w:shd w:fill="D9EAF7"/>
            <w:vAlign w:val="top"/>
          </w:tcPr>
          <w:p>
            <w:pPr>
              <w:spacing w:after="40"/>
            </w:pPr>
            <w:r>
              <w:rPr>
                <w:sz w:val="18"/>
              </w:rPr>
            </w:r>
            <w:r>
              <w:rPr>
                <w:b/>
                <w:sz w:val="18"/>
              </w:rPr>
              <w:t>Mitigación</w:t>
            </w:r>
          </w:p>
        </w:tc>
      </w:tr>
      <w:tr>
        <w:tc>
          <w:tcPr>
            <w:tcW w:type="dxa" w:w="2880"/>
            <w:vAlign w:val="top"/>
          </w:tcPr>
          <w:p>
            <w:pPr>
              <w:spacing w:after="40"/>
            </w:pPr>
            <w:r>
              <w:rPr>
                <w:sz w:val="18"/>
              </w:rPr>
            </w:r>
            <w:r>
              <w:rPr>
                <w:b w:val="0"/>
                <w:sz w:val="18"/>
              </w:rPr>
              <w:t>Latencia de fuentes</w:t>
            </w:r>
          </w:p>
        </w:tc>
        <w:tc>
          <w:tcPr>
            <w:tcW w:type="dxa" w:w="3456"/>
            <w:vAlign w:val="top"/>
          </w:tcPr>
          <w:p>
            <w:pPr>
              <w:spacing w:after="40"/>
            </w:pPr>
            <w:r>
              <w:rPr>
                <w:sz w:val="18"/>
              </w:rPr>
            </w:r>
            <w:r>
              <w:rPr>
                <w:b w:val="0"/>
                <w:sz w:val="18"/>
              </w:rPr>
              <w:t>Eventos pueden aparecer con retraso.</w:t>
            </w:r>
          </w:p>
        </w:tc>
        <w:tc>
          <w:tcPr>
            <w:tcW w:type="dxa" w:w="4320"/>
            <w:vAlign w:val="top"/>
          </w:tcPr>
          <w:p>
            <w:pPr>
              <w:spacing w:after="40"/>
            </w:pPr>
            <w:r>
              <w:rPr>
                <w:sz w:val="18"/>
              </w:rPr>
            </w:r>
            <w:r>
              <w:rPr>
                <w:b w:val="0"/>
                <w:sz w:val="18"/>
              </w:rPr>
              <w:t>Mostrar última actualización y no prometer tiempo real absoluto.</w:t>
            </w:r>
          </w:p>
        </w:tc>
      </w:tr>
      <w:tr>
        <w:tc>
          <w:tcPr>
            <w:tcW w:type="dxa" w:w="2880"/>
            <w:vAlign w:val="top"/>
          </w:tcPr>
          <w:p>
            <w:pPr>
              <w:spacing w:after="40"/>
            </w:pPr>
            <w:r>
              <w:rPr>
                <w:sz w:val="18"/>
              </w:rPr>
            </w:r>
            <w:r>
              <w:rPr>
                <w:b w:val="0"/>
                <w:sz w:val="18"/>
              </w:rPr>
              <w:t>Diferencias entre fuentes</w:t>
            </w:r>
          </w:p>
        </w:tc>
        <w:tc>
          <w:tcPr>
            <w:tcW w:type="dxa" w:w="3456"/>
            <w:vAlign w:val="top"/>
          </w:tcPr>
          <w:p>
            <w:pPr>
              <w:spacing w:after="40"/>
            </w:pPr>
            <w:r>
              <w:rPr>
                <w:sz w:val="18"/>
              </w:rPr>
            </w:r>
            <w:r>
              <w:rPr>
                <w:b w:val="0"/>
                <w:sz w:val="18"/>
              </w:rPr>
              <w:t>Magnitud o ubicación pueden variar.</w:t>
            </w:r>
          </w:p>
        </w:tc>
        <w:tc>
          <w:tcPr>
            <w:tcW w:type="dxa" w:w="4320"/>
            <w:vAlign w:val="top"/>
          </w:tcPr>
          <w:p>
            <w:pPr>
              <w:spacing w:after="40"/>
            </w:pPr>
            <w:r>
              <w:rPr>
                <w:sz w:val="18"/>
              </w:rPr>
            </w:r>
            <w:r>
              <w:rPr>
                <w:b w:val="0"/>
                <w:sz w:val="18"/>
              </w:rPr>
              <w:t>Conservar fuente original y permitir comparación controlada.</w:t>
            </w:r>
          </w:p>
        </w:tc>
      </w:tr>
      <w:tr>
        <w:tc>
          <w:tcPr>
            <w:tcW w:type="dxa" w:w="2880"/>
            <w:vAlign w:val="top"/>
          </w:tcPr>
          <w:p>
            <w:pPr>
              <w:spacing w:after="40"/>
            </w:pPr>
            <w:r>
              <w:rPr>
                <w:sz w:val="18"/>
              </w:rPr>
            </w:r>
            <w:r>
              <w:rPr>
                <w:b w:val="0"/>
                <w:sz w:val="18"/>
              </w:rPr>
              <w:t>Duplicados</w:t>
            </w:r>
          </w:p>
        </w:tc>
        <w:tc>
          <w:tcPr>
            <w:tcW w:type="dxa" w:w="3456"/>
            <w:vAlign w:val="top"/>
          </w:tcPr>
          <w:p>
            <w:pPr>
              <w:spacing w:after="40"/>
            </w:pPr>
            <w:r>
              <w:rPr>
                <w:sz w:val="18"/>
              </w:rPr>
            </w:r>
            <w:r>
              <w:rPr>
                <w:b w:val="0"/>
                <w:sz w:val="18"/>
              </w:rPr>
              <w:t>El mismo evento puede aparecer varias veces.</w:t>
            </w:r>
          </w:p>
        </w:tc>
        <w:tc>
          <w:tcPr>
            <w:tcW w:type="dxa" w:w="4320"/>
            <w:vAlign w:val="top"/>
          </w:tcPr>
          <w:p>
            <w:pPr>
              <w:spacing w:after="40"/>
            </w:pPr>
            <w:r>
              <w:rPr>
                <w:sz w:val="18"/>
              </w:rPr>
              <w:t>Deduplicar por ventana temporal (≤ 60 s), distancia (&lt; 100 km) y magnitud aproximada (Δmag &lt; 0.5), eligiendo una fuente preferida.</w:t>
            </w:r>
            <w:r>
              <w:rPr>
                <w:b w:val="0"/>
                <w:sz w:val="18"/>
              </w:rPr>
            </w:r>
          </w:p>
        </w:tc>
      </w:tr>
      <w:tr>
        <w:tc>
          <w:tcPr>
            <w:tcW w:type="dxa" w:w="2880"/>
            <w:vAlign w:val="top"/>
          </w:tcPr>
          <w:p>
            <w:pPr>
              <w:spacing w:after="40"/>
            </w:pPr>
            <w:r>
              <w:rPr>
                <w:sz w:val="18"/>
              </w:rPr>
            </w:r>
            <w:r>
              <w:rPr>
                <w:b w:val="0"/>
                <w:sz w:val="18"/>
              </w:rPr>
              <w:t>Sobrecarga visual</w:t>
            </w:r>
          </w:p>
        </w:tc>
        <w:tc>
          <w:tcPr>
            <w:tcW w:type="dxa" w:w="3456"/>
            <w:vAlign w:val="top"/>
          </w:tcPr>
          <w:p>
            <w:pPr>
              <w:spacing w:after="40"/>
            </w:pPr>
            <w:r>
              <w:rPr>
                <w:sz w:val="18"/>
              </w:rPr>
            </w:r>
            <w:r>
              <w:rPr>
                <w:b w:val="0"/>
                <w:sz w:val="18"/>
              </w:rPr>
              <w:t>Demasiados marcadores dificultan la lectura.</w:t>
            </w:r>
          </w:p>
        </w:tc>
        <w:tc>
          <w:tcPr>
            <w:tcW w:type="dxa" w:w="4320"/>
            <w:vAlign w:val="top"/>
          </w:tcPr>
          <w:p>
            <w:pPr>
              <w:spacing w:after="40"/>
            </w:pPr>
            <w:r>
              <w:rPr>
                <w:sz w:val="18"/>
              </w:rPr>
            </w:r>
            <w:r>
              <w:rPr>
                <w:b w:val="0"/>
                <w:sz w:val="18"/>
              </w:rPr>
              <w:t>Aplicar clustering, filtros y límites por zoom.</w:t>
            </w:r>
          </w:p>
        </w:tc>
      </w:tr>
      <w:tr>
        <w:tc>
          <w:tcPr>
            <w:tcW w:type="dxa" w:w="2880"/>
            <w:vAlign w:val="top"/>
          </w:tcPr>
          <w:p>
            <w:pPr>
              <w:spacing w:after="40"/>
            </w:pPr>
            <w:r>
              <w:rPr>
                <w:sz w:val="18"/>
              </w:rPr>
            </w:r>
            <w:r>
              <w:rPr>
                <w:b w:val="0"/>
                <w:sz w:val="18"/>
              </w:rPr>
              <w:t>Interpretación incorrecta</w:t>
            </w:r>
          </w:p>
        </w:tc>
        <w:tc>
          <w:tcPr>
            <w:tcW w:type="dxa" w:w="3456"/>
            <w:vAlign w:val="top"/>
          </w:tcPr>
          <w:p>
            <w:pPr>
              <w:spacing w:after="40"/>
            </w:pPr>
            <w:r>
              <w:rPr>
                <w:sz w:val="18"/>
              </w:rPr>
            </w:r>
            <w:r>
              <w:rPr>
                <w:b w:val="0"/>
                <w:sz w:val="18"/>
              </w:rPr>
              <w:t>Usuarios pueden creer que es una alerta oficial.</w:t>
            </w:r>
          </w:p>
        </w:tc>
        <w:tc>
          <w:tcPr>
            <w:tcW w:type="dxa" w:w="4320"/>
            <w:vAlign w:val="top"/>
          </w:tcPr>
          <w:p>
            <w:pPr>
              <w:spacing w:after="40"/>
            </w:pPr>
            <w:r>
              <w:rPr>
                <w:sz w:val="18"/>
              </w:rPr>
            </w:r>
            <w:r>
              <w:rPr>
                <w:b w:val="0"/>
                <w:sz w:val="18"/>
              </w:rPr>
              <w:t>Usar avisos visibles y enlaces a canales oficiales.</w:t>
            </w:r>
          </w:p>
        </w:tc>
      </w:tr>
      <w:tr>
        <w:tc>
          <w:tcPr>
            <w:tcW w:type="dxa" w:w="3264"/>
          </w:tcPr>
          <w:p>
            <w:r>
              <w:t>Dependencia conceptual de un referente no oficial</w:t>
            </w:r>
          </w:p>
        </w:tc>
        <w:tc>
          <w:tcPr>
            <w:tcW w:type="dxa" w:w="3264"/>
          </w:tcPr>
          <w:p>
            <w:r>
              <w:t>Puede desalinear el proyecto respecto de fuentes verificables o generar expectativas sobre capacidades no controladas.</w:t>
            </w:r>
          </w:p>
        </w:tc>
        <w:tc>
          <w:tcPr>
            <w:tcW w:type="dxa" w:w="3264"/>
          </w:tcPr>
          <w:p>
            <w:r>
              <w:t>Usar GlobalQuake solo como referencia funcional; mantener fuentes oficiales, lógica propia y trazabilidad independiente.</w:t>
            </w:r>
          </w:p>
        </w:tc>
      </w:tr>
    </w:tbl>
    <w:p>
      <w:pPr>
        <w:spacing w:after="120" w:line="259" w:lineRule="auto"/>
      </w:pPr>
    </w:p>
    <w:p>
      <w:pPr>
        <w:pStyle w:val="Heading1"/>
        <w:spacing w:after="120" w:line="259" w:lineRule="auto"/>
      </w:pPr>
      <w:r>
        <w:t>13. Plan de validación</w:t>
      </w:r>
    </w:p>
    <w:tbl>
      <w:tblPr>
        <w:tblStyle w:val="TableGrid"/>
        <w:tblW w:type="auto" w:w="0"/>
        <w:jc w:val="center"/>
        <w:tblLook w:firstColumn="1" w:firstRow="1" w:lastColumn="0" w:lastRow="0" w:noHBand="0" w:noVBand="1" w:val="04A0"/>
      </w:tblPr>
      <w:tblGrid>
        <w:gridCol w:w="4896"/>
        <w:gridCol w:w="4896"/>
      </w:tblGrid>
      <w:tr>
        <w:tc>
          <w:tcPr>
            <w:tcW w:type="dxa" w:w="3024"/>
            <w:shd w:fill="D9EAF7"/>
            <w:vAlign w:val="top"/>
          </w:tcPr>
          <w:p>
            <w:pPr>
              <w:spacing w:after="40"/>
            </w:pPr>
            <w:r>
              <w:rPr>
                <w:sz w:val="18"/>
              </w:rPr>
            </w:r>
            <w:r>
              <w:rPr>
                <w:b/>
                <w:sz w:val="18"/>
              </w:rPr>
              <w:t>Prueba</w:t>
            </w:r>
          </w:p>
        </w:tc>
        <w:tc>
          <w:tcPr>
            <w:tcW w:type="dxa" w:w="7632"/>
            <w:shd w:fill="D9EAF7"/>
            <w:vAlign w:val="top"/>
          </w:tcPr>
          <w:p>
            <w:pPr>
              <w:spacing w:after="40"/>
            </w:pPr>
            <w:r>
              <w:rPr>
                <w:sz w:val="18"/>
              </w:rPr>
            </w:r>
            <w:r>
              <w:rPr>
                <w:b/>
                <w:sz w:val="18"/>
              </w:rPr>
              <w:t>Criterio de aceptación</w:t>
            </w:r>
          </w:p>
        </w:tc>
      </w:tr>
      <w:tr>
        <w:tc>
          <w:tcPr>
            <w:tcW w:type="dxa" w:w="3024"/>
            <w:vAlign w:val="top"/>
          </w:tcPr>
          <w:p>
            <w:pPr>
              <w:spacing w:after="40"/>
            </w:pPr>
            <w:r>
              <w:rPr>
                <w:sz w:val="18"/>
              </w:rPr>
            </w:r>
            <w:r>
              <w:rPr>
                <w:b w:val="0"/>
                <w:sz w:val="18"/>
              </w:rPr>
              <w:t>Carga inicial</w:t>
            </w:r>
          </w:p>
        </w:tc>
        <w:tc>
          <w:tcPr>
            <w:tcW w:type="dxa" w:w="7632"/>
            <w:vAlign w:val="top"/>
          </w:tcPr>
          <w:p>
            <w:pPr>
              <w:spacing w:after="40"/>
            </w:pPr>
            <w:r>
              <w:rPr>
                <w:sz w:val="18"/>
              </w:rPr>
            </w:r>
            <w:r>
              <w:rPr>
                <w:b w:val="0"/>
                <w:sz w:val="18"/>
              </w:rPr>
              <w:t>El mapa muestra eventos recientes con datos completos y fuente visible.</w:t>
            </w:r>
          </w:p>
        </w:tc>
      </w:tr>
      <w:tr>
        <w:tc>
          <w:tcPr>
            <w:tcW w:type="dxa" w:w="3024"/>
            <w:vAlign w:val="top"/>
          </w:tcPr>
          <w:p>
            <w:pPr>
              <w:spacing w:after="40"/>
            </w:pPr>
            <w:r>
              <w:rPr>
                <w:sz w:val="18"/>
              </w:rPr>
            </w:r>
            <w:r>
              <w:rPr>
                <w:b w:val="0"/>
                <w:sz w:val="18"/>
              </w:rPr>
              <w:t>Filtro por magnitud</w:t>
            </w:r>
          </w:p>
        </w:tc>
        <w:tc>
          <w:tcPr>
            <w:tcW w:type="dxa" w:w="7632"/>
            <w:vAlign w:val="top"/>
          </w:tcPr>
          <w:p>
            <w:pPr>
              <w:spacing w:after="40"/>
            </w:pPr>
            <w:r>
              <w:rPr>
                <w:sz w:val="18"/>
              </w:rPr>
            </w:r>
            <w:r>
              <w:rPr>
                <w:b w:val="0"/>
                <w:sz w:val="18"/>
              </w:rPr>
              <w:t>Los marcadores cambian correctamente según el umbral elegido.</w:t>
            </w:r>
          </w:p>
        </w:tc>
      </w:tr>
      <w:tr>
        <w:tc>
          <w:tcPr>
            <w:tcW w:type="dxa" w:w="3024"/>
            <w:vAlign w:val="top"/>
          </w:tcPr>
          <w:p>
            <w:pPr>
              <w:spacing w:after="40"/>
            </w:pPr>
            <w:r>
              <w:rPr>
                <w:sz w:val="18"/>
              </w:rPr>
            </w:r>
            <w:r>
              <w:rPr>
                <w:b w:val="0"/>
                <w:sz w:val="18"/>
              </w:rPr>
              <w:t>Detalle de evento</w:t>
            </w:r>
          </w:p>
        </w:tc>
        <w:tc>
          <w:tcPr>
            <w:tcW w:type="dxa" w:w="7632"/>
            <w:vAlign w:val="top"/>
          </w:tcPr>
          <w:p>
            <w:pPr>
              <w:spacing w:after="40"/>
            </w:pPr>
            <w:r>
              <w:rPr>
                <w:sz w:val="18"/>
              </w:rPr>
            </w:r>
            <w:r>
              <w:rPr>
                <w:b w:val="0"/>
                <w:sz w:val="18"/>
              </w:rPr>
              <w:t>La información coincide con el registro original de la fuente.</w:t>
            </w:r>
          </w:p>
        </w:tc>
      </w:tr>
      <w:tr>
        <w:tc>
          <w:tcPr>
            <w:tcW w:type="dxa" w:w="3024"/>
            <w:vAlign w:val="top"/>
          </w:tcPr>
          <w:p>
            <w:pPr>
              <w:spacing w:after="40"/>
            </w:pPr>
            <w:r>
              <w:rPr>
                <w:sz w:val="18"/>
              </w:rPr>
            </w:r>
            <w:r>
              <w:rPr>
                <w:b w:val="0"/>
                <w:sz w:val="18"/>
              </w:rPr>
              <w:t>Falla de fuente</w:t>
            </w:r>
          </w:p>
        </w:tc>
        <w:tc>
          <w:tcPr>
            <w:tcW w:type="dxa" w:w="7632"/>
            <w:vAlign w:val="top"/>
          </w:tcPr>
          <w:p>
            <w:pPr>
              <w:spacing w:after="40"/>
            </w:pPr>
            <w:r>
              <w:rPr>
                <w:sz w:val="18"/>
              </w:rPr>
            </w:r>
            <w:r>
              <w:rPr>
                <w:b w:val="0"/>
                <w:sz w:val="18"/>
              </w:rPr>
              <w:t>El sistema informa el problema y mantiene datos cacheados si existen.</w:t>
            </w:r>
          </w:p>
        </w:tc>
      </w:tr>
      <w:tr>
        <w:tc>
          <w:tcPr>
            <w:tcW w:type="dxa" w:w="3024"/>
            <w:vAlign w:val="top"/>
          </w:tcPr>
          <w:p>
            <w:pPr>
              <w:spacing w:after="40"/>
            </w:pPr>
            <w:r>
              <w:rPr>
                <w:sz w:val="18"/>
              </w:rPr>
            </w:r>
            <w:r>
              <w:rPr>
                <w:b w:val="0"/>
                <w:sz w:val="18"/>
              </w:rPr>
              <w:t>Capa tsunami</w:t>
            </w:r>
          </w:p>
        </w:tc>
        <w:tc>
          <w:tcPr>
            <w:tcW w:type="dxa" w:w="7632"/>
            <w:vAlign w:val="top"/>
          </w:tcPr>
          <w:p>
            <w:pPr>
              <w:spacing w:after="40"/>
            </w:pPr>
            <w:r>
              <w:rPr>
                <w:sz w:val="18"/>
              </w:rPr>
            </w:r>
            <w:r>
              <w:rPr>
                <w:b w:val="0"/>
                <w:sz w:val="18"/>
              </w:rPr>
              <w:t>Se diferencia visualmente de un evento sísmico y enlaza al boletín oficial.</w:t>
            </w:r>
          </w:p>
        </w:tc>
      </w:tr>
      <w:tr>
        <w:tc>
          <w:tcPr>
            <w:tcW w:type="dxa" w:w="3024"/>
            <w:vAlign w:val="top"/>
          </w:tcPr>
          <w:p>
            <w:pPr>
              <w:spacing w:after="40"/>
            </w:pPr>
            <w:r>
              <w:rPr>
                <w:sz w:val="18"/>
              </w:rPr>
            </w:r>
            <w:r>
              <w:rPr>
                <w:b w:val="0"/>
                <w:sz w:val="18"/>
              </w:rPr>
              <w:t>Rendimiento móvil</w:t>
            </w:r>
          </w:p>
        </w:tc>
        <w:tc>
          <w:tcPr>
            <w:tcW w:type="dxa" w:w="7632"/>
            <w:vAlign w:val="top"/>
          </w:tcPr>
          <w:p>
            <w:pPr>
              <w:spacing w:after="40"/>
            </w:pPr>
            <w:r>
              <w:rPr>
                <w:sz w:val="18"/>
              </w:rPr>
            </w:r>
            <w:r>
              <w:rPr>
                <w:b w:val="0"/>
                <w:sz w:val="18"/>
              </w:rPr>
              <w:t>La navegación básica permanece usable en pantalla pequeña.</w:t>
            </w:r>
          </w:p>
        </w:tc>
      </w:tr>
    </w:tbl>
    <w:p>
      <w:pPr>
        <w:spacing w:after="120" w:line="259" w:lineRule="auto"/>
      </w:pPr>
    </w:p>
    <w:p>
      <w:pPr>
        <w:pStyle w:val="Heading1"/>
        <w:spacing w:after="120" w:line="259" w:lineRule="auto"/>
      </w:pPr>
      <w:r>
        <w:t>14. Hoja de ruta</w:t>
      </w:r>
    </w:p>
    <w:p>
      <w:pPr>
        <w:pStyle w:val="ListNumber"/>
        <w:spacing w:after="120" w:line="259" w:lineRule="auto"/>
      </w:pPr>
      <w:r>
        <w:t>Fase 0: validación de fuentes, licencias, formatos y criterios de uso de referentes funcionales externos.</w:t>
      </w:r>
    </w:p>
    <w:p>
      <w:pPr>
        <w:pStyle w:val="ListNumber"/>
        <w:spacing w:after="120" w:line="259" w:lineRule="auto"/>
      </w:pPr>
      <w:r>
        <w:t>Base funcional completada: globo 3D con CesiumJS, API propia, PostgreSQL/PostGIS, canal en vivo y fuente USGS.</w:t>
      </w:r>
    </w:p>
    <w:p>
      <w:pPr>
        <w:pStyle w:val="ListNumber"/>
        <w:spacing w:after="120" w:line="259" w:lineRule="auto"/>
      </w:pPr>
      <w:r>
        <w:t>Fase 2: backend, base de datos y API propia.</w:t>
      </w:r>
    </w:p>
    <w:p>
      <w:pPr>
        <w:pStyle w:val="ListNumber"/>
        <w:spacing w:after="120" w:line="259" w:lineRule="auto"/>
      </w:pPr>
      <w:r>
        <w:t>Fase 3: worker de ingesta, logs y estado de sincronización.</w:t>
      </w:r>
    </w:p>
    <w:p>
      <w:pPr>
        <w:pStyle w:val="ListNumber"/>
        <w:spacing w:after="120" w:line="259" w:lineRule="auto"/>
      </w:pPr>
      <w:r>
        <w:t>Evolución multifuente completada: EMSC, IGP/CENSIS, FUNVISIS, GEOFON, GeoNet, GDACS y capa NOAA/PTWC/NTWC con deduplicación y trazabilidad.</w:t>
      </w:r>
    </w:p>
    <w:p>
      <w:pPr>
        <w:pStyle w:val="ListNumber"/>
        <w:spacing w:after="120" w:line="259" w:lineRule="auto"/>
      </w:pPr>
      <w:r>
        <w:t>Fase 5: pruebas, documentación operativa y preparación para despliegue futuro.</w:t>
      </w:r>
    </w:p>
    <w:p>
      <w:pPr>
        <w:pStyle w:val="Heading1"/>
        <w:spacing w:after="120" w:line="259" w:lineRule="auto"/>
      </w:pPr>
      <w:r>
        <w:t>15. Referencias</w:t>
      </w:r>
    </w:p>
    <w:p>
      <w:pPr>
        <w:pStyle w:val="ListBullet"/>
        <w:spacing w:after="120" w:line="259" w:lineRule="auto"/>
      </w:pPr>
      <w:r>
        <w:t xml:space="preserve">USGS Earthquake Event Web Service: </w:t>
      </w:r>
      <w:hyperlink r:id="rId11">
        <w:r>
          <w:rPr>
            <w:color w:val="0563C1"/>
            <w:u w:val="single"/>
          </w:rPr>
          <w:t>https://earthquake.usgs.gov/fdsnws/event/1/</w:t>
        </w:r>
      </w:hyperlink>
    </w:p>
    <w:p>
      <w:pPr>
        <w:pStyle w:val="ListBullet"/>
        <w:spacing w:after="120" w:line="259" w:lineRule="auto"/>
      </w:pPr>
      <w:r>
        <w:t xml:space="preserve">USGS GeoJSON Summary Feeds: </w:t>
      </w:r>
      <w:hyperlink r:id="rId12">
        <w:r>
          <w:rPr>
            <w:color w:val="0563C1"/>
            <w:u w:val="single"/>
          </w:rPr>
          <w:t>https://earthquake.usgs.gov/earthquakes/feed/v1.0/geojson.php</w:t>
        </w:r>
      </w:hyperlink>
    </w:p>
    <w:p>
      <w:pPr>
        <w:pStyle w:val="ListBullet"/>
        <w:spacing w:after="120" w:line="259" w:lineRule="auto"/>
      </w:pPr>
      <w:r>
        <w:t xml:space="preserve">European-Mediterranean Seismological Centre: </w:t>
      </w:r>
      <w:hyperlink r:id="rId13">
        <w:r>
          <w:rPr>
            <w:color w:val="0563C1"/>
            <w:u w:val="single"/>
          </w:rPr>
          <w:t>https://www.emsc-csem.org/</w:t>
        </w:r>
      </w:hyperlink>
    </w:p>
    <w:p>
      <w:pPr>
        <w:pStyle w:val="ListBullet"/>
        <w:spacing w:after="120" w:line="259" w:lineRule="auto"/>
      </w:pPr>
      <w:r>
        <w:t xml:space="preserve">GDACS Feed Reference: </w:t>
      </w:r>
      <w:hyperlink r:id="rId14">
        <w:r>
          <w:rPr>
            <w:color w:val="0563C1"/>
            <w:u w:val="single"/>
          </w:rPr>
          <w:t>https://www.gdacs.org/feed_reference.aspx</w:t>
        </w:r>
      </w:hyperlink>
    </w:p>
    <w:p>
      <w:pPr>
        <w:pStyle w:val="ListBullet"/>
        <w:spacing w:after="120" w:line="259" w:lineRule="auto"/>
      </w:pPr>
      <w:r>
        <w:t xml:space="preserve">U.S. Tsunami Warning System: </w:t>
      </w:r>
      <w:hyperlink r:id="rId15">
        <w:r>
          <w:rPr>
            <w:color w:val="0563C1"/>
            <w:u w:val="single"/>
          </w:rPr>
          <w:t>https://www.tsunami.gov/</w:t>
        </w:r>
      </w:hyperlink>
    </w:p>
    <w:p>
      <w:pPr>
        <w:pStyle w:val="ListBullet"/>
        <w:spacing w:after="120" w:line="259" w:lineRule="auto"/>
      </w:pPr>
      <w:r>
        <w:t>CesiumJS: https://cesium.com/platform/cesiumjs/</w:t>
      </w:r>
    </w:p>
    <w:p>
      <w:pPr>
        <w:pStyle w:val="ListBullet"/>
      </w:pPr>
      <w:r>
        <w:t>EMSC Seismic Portal (tiempo real): https://www.seismicportal.eu/realtime.html</w:t>
      </w:r>
    </w:p>
    <w:p>
      <w:pPr>
        <w:pStyle w:val="ListBullet"/>
      </w:pPr>
      <w:r>
        <w:t>PostGIS Documentation: https://postgis.net/documentation/</w:t>
      </w:r>
    </w:p>
    <w:p>
      <w:pPr>
        <w:pStyle w:val="ListBullet"/>
      </w:pPr>
      <w:r>
        <w:t>GlobalQuake - sitio oficial: https://globalquake.net/</w:t>
      </w:r>
    </w:p>
    <w:p>
      <w:pPr>
        <w:pStyle w:val="ListBullet"/>
      </w:pPr>
      <w:r>
        <w:t xml:space="preserve">PostgreSQL Documentation: </w:t>
      </w:r>
      <w:hyperlink r:id="rId17">
        <w:r>
          <w:rPr>
            <w:color w:val="0563C1"/>
            <w:u w:val="single"/>
          </w:rPr>
          <w:t>https://www.postgresql.org/docs/</w:t>
        </w:r>
      </w:hyperlink>
    </w:p>
    <w:p>
      <w:pPr>
        <w:pStyle w:val="ListBullet"/>
      </w:pPr>
      <w:r>
        <w:t>GlobalQuake - descargas: https://globalquake.net/download</w:t>
      </w:r>
    </w:p>
    <w:p>
      <w:pPr>
        <w:pStyle w:val="ListBullet"/>
      </w:pPr>
      <w:r>
        <w:t>GlobalQuake - repositorio público archivado: https://github.com/xspanger3770/GlobalQuake</w:t>
      </w:r>
    </w:p>
    <w:p>
      <w:pPr/>
      <w:r>
        <w:t>Centro Sismologico Nacional IGP/CENSIS: https://ultimosismo.igp.gob.pe/</w:t>
      </w:r>
    </w:p>
    <w:p>
      <w:pPr/>
      <w:r>
        <w:t>Datos abiertos IGP: https://www.igp.gob.pe/servicios/infraestructura-de-datos-espaciales/componentes/datos-abiertos</w:t>
      </w:r>
    </w:p>
    <w:p>
      <w:r>
        <w:br w:type="page"/>
      </w:r>
    </w:p>
    <w:p>
      <w:pPr>
        <w:pStyle w:val="Heading1"/>
      </w:pPr>
      <w:r>
        <w:t>16. Ampliación de fuentes oficiales</w:t>
      </w:r>
    </w:p>
    <w:p>
      <w:r>
        <w:t>La plataforma funcional amplía su cobertura con proveedores oficiales que ofrecen contratos públicos, estables y verificables. La incorporación se realiza mediante adaptadores independientes y conserva un único evento canónico, aunque varias instituciones informen el mismo sismo.</w:t>
      </w:r>
    </w:p>
    <w:p>
      <w:pPr>
        <w:pStyle w:val="Heading2"/>
      </w:pPr>
      <w:r>
        <w:t>16.1 Clasificación y decisión de incorporación</w:t>
      </w:r>
    </w:p>
    <w:tbl>
      <w:tblPr>
        <w:tblStyle w:val="TableGrid"/>
        <w:tblW w:type="auto" w:w="0"/>
        <w:tblLayout w:type="fixed"/>
        <w:tblLook w:firstColumn="1" w:firstRow="1" w:lastColumn="0" w:lastRow="0" w:noHBand="0" w:noVBand="1" w:val="04A0"/>
      </w:tblPr>
      <w:tblGrid>
        <w:gridCol w:w="2448"/>
        <w:gridCol w:w="2448"/>
        <w:gridCol w:w="2448"/>
        <w:gridCol w:w="2448"/>
      </w:tblGrid>
      <w:tr>
        <w:trPr>
          <w:tblHeader w:val="true"/>
        </w:trPr>
        <w:tc>
          <w:tcPr>
            <w:tcW w:type="dxa" w:w="1800"/>
            <w:vAlign w:val="center"/>
            <w:shd w:fill="1F4E78"/>
          </w:tcPr>
          <w:p>
            <w:pPr>
              <w:spacing w:after="0"/>
            </w:pPr>
            <w:r>
              <w:rPr>
                <w:b/>
                <w:color w:val="FFFFFF"/>
                <w:sz w:val="18"/>
              </w:rPr>
              <w:t>Fuente</w:t>
            </w:r>
          </w:p>
        </w:tc>
        <w:tc>
          <w:tcPr>
            <w:tcW w:type="dxa" w:w="2880"/>
            <w:vAlign w:val="center"/>
            <w:shd w:fill="1F4E78"/>
          </w:tcPr>
          <w:p>
            <w:pPr>
              <w:spacing w:after="0"/>
            </w:pPr>
            <w:r>
              <w:rPr>
                <w:b/>
                <w:color w:val="FFFFFF"/>
                <w:sz w:val="18"/>
              </w:rPr>
              <w:t>Aporte</w:t>
            </w:r>
          </w:p>
        </w:tc>
        <w:tc>
          <w:tcPr>
            <w:tcW w:type="dxa" w:w="3240"/>
            <w:vAlign w:val="center"/>
            <w:shd w:fill="1F4E78"/>
          </w:tcPr>
          <w:p>
            <w:pPr>
              <w:spacing w:after="0"/>
            </w:pPr>
            <w:r>
              <w:rPr>
                <w:b/>
                <w:color w:val="FFFFFF"/>
                <w:sz w:val="18"/>
              </w:rPr>
              <w:t>Evaluación</w:t>
            </w:r>
          </w:p>
        </w:tc>
        <w:tc>
          <w:tcPr>
            <w:tcW w:type="dxa" w:w="2592"/>
            <w:vAlign w:val="center"/>
            <w:shd w:fill="1F4E78"/>
          </w:tcPr>
          <w:p>
            <w:pPr>
              <w:spacing w:after="0"/>
            </w:pPr>
            <w:r>
              <w:rPr>
                <w:b/>
                <w:color w:val="FFFFFF"/>
                <w:sz w:val="18"/>
              </w:rPr>
              <w:t>Decisión</w:t>
            </w:r>
          </w:p>
        </w:tc>
      </w:tr>
      <w:tr>
        <w:tc>
          <w:tcPr>
            <w:tcW w:type="dxa" w:w="1800"/>
            <w:vAlign w:val="top"/>
          </w:tcPr>
          <w:p>
            <w:pPr>
              <w:spacing w:after="0"/>
            </w:pPr>
            <w:r>
              <w:rPr>
                <w:sz w:val="17"/>
              </w:rPr>
              <w:t>GEOFON / GFZ</w:t>
            </w:r>
          </w:p>
        </w:tc>
        <w:tc>
          <w:tcPr>
            <w:tcW w:type="dxa" w:w="2880"/>
            <w:vAlign w:val="top"/>
          </w:tcPr>
          <w:p>
            <w:pPr>
              <w:spacing w:after="0"/>
            </w:pPr>
            <w:r>
              <w:rPr>
                <w:sz w:val="17"/>
              </w:rPr>
              <w:t>Catálogo sísmico global FDSN</w:t>
            </w:r>
          </w:p>
        </w:tc>
        <w:tc>
          <w:tcPr>
            <w:tcW w:type="dxa" w:w="3240"/>
            <w:vAlign w:val="top"/>
          </w:tcPr>
          <w:p>
            <w:pPr>
              <w:spacing w:after="0"/>
            </w:pPr>
            <w:r>
              <w:rPr>
                <w:sz w:val="17"/>
              </w:rPr>
              <w:t>Servicio público documentado y operativo</w:t>
            </w:r>
          </w:p>
        </w:tc>
        <w:tc>
          <w:tcPr>
            <w:tcW w:type="dxa" w:w="2592"/>
            <w:vAlign w:val="top"/>
          </w:tcPr>
          <w:p>
            <w:pPr>
              <w:spacing w:after="0"/>
            </w:pPr>
            <w:r>
              <w:rPr>
                <w:sz w:val="17"/>
              </w:rPr>
              <w:t>Integrada</w:t>
            </w:r>
          </w:p>
        </w:tc>
      </w:tr>
      <w:tr>
        <w:tc>
          <w:tcPr>
            <w:tcW w:type="dxa" w:w="1800"/>
            <w:vAlign w:val="top"/>
          </w:tcPr>
          <w:p>
            <w:pPr>
              <w:spacing w:after="0"/>
            </w:pPr>
            <w:r>
              <w:rPr>
                <w:sz w:val="17"/>
              </w:rPr>
              <w:t>GeoNet</w:t>
            </w:r>
          </w:p>
        </w:tc>
        <w:tc>
          <w:tcPr>
            <w:tcW w:type="dxa" w:w="2880"/>
            <w:vAlign w:val="top"/>
          </w:tcPr>
          <w:p>
            <w:pPr>
              <w:spacing w:after="0"/>
            </w:pPr>
            <w:r>
              <w:rPr>
                <w:sz w:val="17"/>
              </w:rPr>
              <w:t>Sismicidad e intensidad de Nueva Zelanda</w:t>
            </w:r>
          </w:p>
        </w:tc>
        <w:tc>
          <w:tcPr>
            <w:tcW w:type="dxa" w:w="3240"/>
            <w:vAlign w:val="top"/>
          </w:tcPr>
          <w:p>
            <w:pPr>
              <w:spacing w:after="0"/>
            </w:pPr>
            <w:r>
              <w:rPr>
                <w:sz w:val="17"/>
              </w:rPr>
              <w:t>API GeoJSON versionada y operativa</w:t>
            </w:r>
          </w:p>
        </w:tc>
        <w:tc>
          <w:tcPr>
            <w:tcW w:type="dxa" w:w="2592"/>
            <w:vAlign w:val="top"/>
          </w:tcPr>
          <w:p>
            <w:pPr>
              <w:spacing w:after="0"/>
            </w:pPr>
            <w:r>
              <w:rPr>
                <w:sz w:val="17"/>
              </w:rPr>
              <w:t>Integrada</w:t>
            </w:r>
          </w:p>
        </w:tc>
      </w:tr>
      <w:tr>
        <w:tc>
          <w:tcPr>
            <w:tcW w:type="dxa" w:w="1800"/>
            <w:vAlign w:val="top"/>
          </w:tcPr>
          <w:p>
            <w:pPr>
              <w:spacing w:after="0"/>
            </w:pPr>
            <w:r>
              <w:rPr>
                <w:sz w:val="17"/>
              </w:rPr>
              <w:t>ISC</w:t>
            </w:r>
          </w:p>
        </w:tc>
        <w:tc>
          <w:tcPr>
            <w:tcW w:type="dxa" w:w="2880"/>
            <w:vAlign w:val="top"/>
          </w:tcPr>
          <w:p>
            <w:pPr>
              <w:spacing w:after="0"/>
            </w:pPr>
            <w:r>
              <w:rPr>
                <w:sz w:val="17"/>
              </w:rPr>
              <w:t>Boletín global revisado e histórico</w:t>
            </w:r>
          </w:p>
        </w:tc>
        <w:tc>
          <w:tcPr>
            <w:tcW w:type="dxa" w:w="3240"/>
            <w:vAlign w:val="top"/>
          </w:tcPr>
          <w:p>
            <w:pPr>
              <w:spacing w:after="0"/>
            </w:pPr>
            <w:r>
              <w:rPr>
                <w:sz w:val="17"/>
              </w:rPr>
              <w:t>La revisión consolidada no es inmediata</w:t>
            </w:r>
          </w:p>
        </w:tc>
        <w:tc>
          <w:tcPr>
            <w:tcW w:type="dxa" w:w="2592"/>
            <w:vAlign w:val="top"/>
          </w:tcPr>
          <w:p>
            <w:pPr>
              <w:spacing w:after="0"/>
            </w:pPr>
            <w:r>
              <w:rPr>
                <w:sz w:val="17"/>
              </w:rPr>
              <w:t>Reconciliación histórica futura</w:t>
            </w:r>
          </w:p>
        </w:tc>
      </w:tr>
      <w:tr>
        <w:tc>
          <w:tcPr>
            <w:tcW w:type="dxa" w:w="1800"/>
            <w:vAlign w:val="top"/>
          </w:tcPr>
          <w:p>
            <w:pPr>
              <w:spacing w:after="0"/>
            </w:pPr>
            <w:r>
              <w:rPr>
                <w:sz w:val="17"/>
              </w:rPr>
              <w:t>DHN/CNAT Perú</w:t>
            </w:r>
          </w:p>
        </w:tc>
        <w:tc>
          <w:tcPr>
            <w:tcW w:type="dxa" w:w="2880"/>
            <w:vAlign w:val="top"/>
          </w:tcPr>
          <w:p>
            <w:pPr>
              <w:spacing w:after="0"/>
            </w:pPr>
            <w:r>
              <w:rPr>
                <w:sz w:val="17"/>
              </w:rPr>
              <w:t>Boletines oficiales de tsunami para el litoral peruano</w:t>
            </w:r>
          </w:p>
        </w:tc>
        <w:tc>
          <w:tcPr>
            <w:tcW w:type="dxa" w:w="3240"/>
            <w:vAlign w:val="top"/>
          </w:tcPr>
          <w:p>
            <w:pPr>
              <w:spacing w:after="0"/>
            </w:pPr>
            <w:r>
              <w:rPr>
                <w:sz w:val="17"/>
              </w:rPr>
              <w:t>No se localizó API pública documentada</w:t>
            </w:r>
          </w:p>
        </w:tc>
        <w:tc>
          <w:tcPr>
            <w:tcW w:type="dxa" w:w="2592"/>
            <w:vAlign w:val="top"/>
          </w:tcPr>
          <w:p>
            <w:pPr>
              <w:spacing w:after="0"/>
            </w:pPr>
            <w:r>
              <w:rPr>
                <w:sz w:val="17"/>
              </w:rPr>
              <w:t>Acceso institucional pendiente</w:t>
            </w:r>
          </w:p>
        </w:tc>
      </w:tr>
      <w:tr>
        <w:tc>
          <w:tcPr>
            <w:tcW w:type="dxa" w:w="1800"/>
            <w:vAlign w:val="top"/>
          </w:tcPr>
          <w:p>
            <w:pPr>
              <w:spacing w:after="0"/>
            </w:pPr>
            <w:r>
              <w:rPr>
                <w:sz w:val="17"/>
              </w:rPr>
              <w:t>SGC Colombia</w:t>
            </w:r>
          </w:p>
        </w:tc>
        <w:tc>
          <w:tcPr>
            <w:tcW w:type="dxa" w:w="2880"/>
            <w:vAlign w:val="top"/>
          </w:tcPr>
          <w:p>
            <w:pPr>
              <w:spacing w:after="0"/>
            </w:pPr>
            <w:r>
              <w:rPr>
                <w:sz w:val="17"/>
              </w:rPr>
              <w:t>Catálogo sísmico nacional</w:t>
            </w:r>
          </w:p>
        </w:tc>
        <w:tc>
          <w:tcPr>
            <w:tcW w:type="dxa" w:w="3240"/>
            <w:vAlign w:val="top"/>
          </w:tcPr>
          <w:p>
            <w:pPr>
              <w:spacing w:after="0"/>
            </w:pPr>
            <w:r>
              <w:rPr>
                <w:sz w:val="17"/>
              </w:rPr>
              <w:t>El ArcGIS público evaluado finaliza en 2020</w:t>
            </w:r>
          </w:p>
        </w:tc>
        <w:tc>
          <w:tcPr>
            <w:tcW w:type="dxa" w:w="2592"/>
            <w:vAlign w:val="top"/>
          </w:tcPr>
          <w:p>
            <w:pPr>
              <w:spacing w:after="0"/>
            </w:pPr>
            <w:r>
              <w:rPr>
                <w:sz w:val="17"/>
              </w:rPr>
              <w:t>Endpoint vigente pendiente</w:t>
            </w:r>
          </w:p>
        </w:tc>
      </w:tr>
      <w:tr>
        <w:tc>
          <w:tcPr>
            <w:tcW w:type="dxa" w:w="1800"/>
            <w:vAlign w:val="top"/>
          </w:tcPr>
          <w:p>
            <w:pPr>
              <w:spacing w:after="0"/>
            </w:pPr>
            <w:r>
              <w:rPr>
                <w:sz w:val="17"/>
              </w:rPr>
              <w:t>CSN Chile</w:t>
            </w:r>
          </w:p>
        </w:tc>
        <w:tc>
          <w:tcPr>
            <w:tcW w:type="dxa" w:w="2880"/>
            <w:vAlign w:val="top"/>
          </w:tcPr>
          <w:p>
            <w:pPr>
              <w:spacing w:after="0"/>
            </w:pPr>
            <w:r>
              <w:rPr>
                <w:sz w:val="17"/>
              </w:rPr>
              <w:t>Red, estaciones y formas de onda</w:t>
            </w:r>
          </w:p>
        </w:tc>
        <w:tc>
          <w:tcPr>
            <w:tcW w:type="dxa" w:w="3240"/>
            <w:vAlign w:val="top"/>
          </w:tcPr>
          <w:p>
            <w:pPr>
              <w:spacing w:after="0"/>
            </w:pPr>
            <w:r>
              <w:rPr>
                <w:sz w:val="17"/>
              </w:rPr>
              <w:t>FDSN público sin servicio Event confirmado</w:t>
            </w:r>
          </w:p>
        </w:tc>
        <w:tc>
          <w:tcPr>
            <w:tcW w:type="dxa" w:w="2592"/>
            <w:vAlign w:val="top"/>
          </w:tcPr>
          <w:p>
            <w:pPr>
              <w:spacing w:after="0"/>
            </w:pPr>
            <w:r>
              <w:rPr>
                <w:sz w:val="17"/>
              </w:rPr>
              <w:t>Endpoint de eventos pendiente</w:t>
            </w:r>
          </w:p>
        </w:tc>
      </w:tr>
    </w:tbl>
    <w:p/>
    <w:p>
      <w:pPr>
        <w:pStyle w:val="Heading2"/>
      </w:pPr>
      <w:r>
        <w:t>16.2 Principios de uso responsable</w:t>
      </w:r>
    </w:p>
    <w:p>
      <w:pPr>
        <w:pStyle w:val="ListBullet"/>
      </w:pPr>
      <w:r>
        <w:t>No realizar extracción automatizada de páginas HTML institucionales.</w:t>
      </w:r>
    </w:p>
    <w:p>
      <w:pPr>
        <w:pStyle w:val="ListBullet"/>
      </w:pPr>
      <w:r>
        <w:t>No interpretar la ausencia de un producto CNAT como ausencia de riesgo de tsunami.</w:t>
      </w:r>
    </w:p>
    <w:p>
      <w:pPr>
        <w:pStyle w:val="ListBullet"/>
      </w:pPr>
      <w:r>
        <w:t>No presentar datos históricos o diferidos como información en tiempo real.</w:t>
      </w:r>
    </w:p>
    <w:p>
      <w:pPr>
        <w:pStyle w:val="ListBullet"/>
      </w:pPr>
      <w:r>
        <w:t>Aislar fallas por proveedor y conservar URL, payload y fecha de ingesta para auditoría.</w:t>
      </w:r>
    </w:p>
    <w:p>
      <w:pPr>
        <w:pStyle w:val="ListBullet"/>
      </w:pPr>
      <w:r>
        <w:t>Mantener la atribución de cada organismo y enlazar su publicación oficial.</w:t>
      </w:r>
    </w:p>
    <w:p>
      <w:pPr>
        <w:pStyle w:val="Heading2"/>
      </w:pPr>
      <w:r>
        <w:t>16.3 Resultado funcional</w:t>
      </w:r>
    </w:p>
    <w:tbl>
      <w:tblPr>
        <w:tblStyle w:val="TableGrid"/>
        <w:tblW w:type="auto" w:w="0"/>
        <w:tblLayout w:type="fixed"/>
        <w:tblLook w:firstColumn="1" w:firstRow="1" w:lastColumn="0" w:lastRow="0" w:noHBand="0" w:noVBand="1" w:val="04A0"/>
      </w:tblPr>
      <w:tblGrid>
        <w:gridCol w:w="4896"/>
        <w:gridCol w:w="4896"/>
      </w:tblGrid>
      <w:tr>
        <w:trPr>
          <w:tblHeader w:val="true"/>
        </w:trPr>
        <w:tc>
          <w:tcPr>
            <w:tcW w:type="dxa" w:w="3168"/>
            <w:vAlign w:val="center"/>
            <w:shd w:fill="1F4E78"/>
          </w:tcPr>
          <w:p>
            <w:pPr>
              <w:spacing w:after="0"/>
            </w:pPr>
            <w:r>
              <w:rPr>
                <w:b/>
                <w:color w:val="FFFFFF"/>
                <w:sz w:val="18"/>
              </w:rPr>
              <w:t>Indicador</w:t>
            </w:r>
          </w:p>
        </w:tc>
        <w:tc>
          <w:tcPr>
            <w:tcW w:type="dxa" w:w="7344"/>
            <w:vAlign w:val="center"/>
            <w:shd w:fill="1F4E78"/>
          </w:tcPr>
          <w:p>
            <w:pPr>
              <w:spacing w:after="0"/>
            </w:pPr>
            <w:r>
              <w:rPr>
                <w:b/>
                <w:color w:val="FFFFFF"/>
                <w:sz w:val="18"/>
              </w:rPr>
              <w:t>Resultado verificado</w:t>
            </w:r>
          </w:p>
        </w:tc>
      </w:tr>
      <w:tr>
        <w:tc>
          <w:tcPr>
            <w:tcW w:type="dxa" w:w="3168"/>
            <w:vAlign w:val="top"/>
          </w:tcPr>
          <w:p>
            <w:pPr>
              <w:spacing w:after="0"/>
            </w:pPr>
            <w:r>
              <w:rPr>
                <w:sz w:val="17"/>
              </w:rPr>
              <w:t>Fuentes configuradas</w:t>
            </w:r>
          </w:p>
        </w:tc>
        <w:tc>
          <w:tcPr>
            <w:tcW w:type="dxa" w:w="7344"/>
            <w:vAlign w:val="top"/>
          </w:tcPr>
          <w:p>
            <w:pPr>
              <w:spacing w:after="0"/>
            </w:pPr>
            <w:r>
              <w:rPr>
                <w:sz w:val="17"/>
              </w:rPr>
              <w:t>Nueve fuentes operativas o auxiliares visibles por API</w:t>
            </w:r>
          </w:p>
        </w:tc>
      </w:tr>
      <w:tr>
        <w:tc>
          <w:tcPr>
            <w:tcW w:type="dxa" w:w="3168"/>
            <w:vAlign w:val="top"/>
          </w:tcPr>
          <w:p>
            <w:pPr>
              <w:spacing w:after="0"/>
            </w:pPr>
            <w:r>
              <w:rPr>
                <w:sz w:val="17"/>
              </w:rPr>
              <w:t>GEOFON</w:t>
            </w:r>
          </w:p>
        </w:tc>
        <w:tc>
          <w:tcPr>
            <w:tcW w:type="dxa" w:w="7344"/>
            <w:vAlign w:val="top"/>
          </w:tcPr>
          <w:p>
            <w:pPr>
              <w:spacing w:after="0"/>
            </w:pPr>
            <w:r>
              <w:rPr>
                <w:sz w:val="17"/>
              </w:rPr>
              <w:t>62 referencias; 58 asociaciones y 4 eventos nuevos en la primera corrida</w:t>
            </w:r>
          </w:p>
        </w:tc>
      </w:tr>
      <w:tr>
        <w:tc>
          <w:tcPr>
            <w:tcW w:type="dxa" w:w="3168"/>
            <w:vAlign w:val="top"/>
          </w:tcPr>
          <w:p>
            <w:pPr>
              <w:spacing w:after="0"/>
            </w:pPr>
            <w:r>
              <w:rPr>
                <w:sz w:val="17"/>
              </w:rPr>
              <w:t>GeoNet</w:t>
            </w:r>
          </w:p>
        </w:tc>
        <w:tc>
          <w:tcPr>
            <w:tcW w:type="dxa" w:w="7344"/>
            <w:vAlign w:val="top"/>
          </w:tcPr>
          <w:p>
            <w:pPr>
              <w:spacing w:after="0"/>
            </w:pPr>
            <w:r>
              <w:rPr>
                <w:sz w:val="17"/>
              </w:rPr>
              <w:t>26 referencias; 6 asociaciones y 20 eventos nuevos en la primera corrida</w:t>
            </w:r>
          </w:p>
        </w:tc>
      </w:tr>
      <w:tr>
        <w:tc>
          <w:tcPr>
            <w:tcW w:type="dxa" w:w="3168"/>
            <w:vAlign w:val="top"/>
          </w:tcPr>
          <w:p>
            <w:pPr>
              <w:spacing w:after="0"/>
            </w:pPr>
            <w:r>
              <w:rPr>
                <w:sz w:val="17"/>
              </w:rPr>
              <w:t>Unicidad</w:t>
            </w:r>
          </w:p>
        </w:tc>
        <w:tc>
          <w:tcPr>
            <w:tcW w:type="dxa" w:w="7344"/>
            <w:vAlign w:val="top"/>
          </w:tcPr>
          <w:p>
            <w:pPr>
              <w:spacing w:after="0"/>
            </w:pPr>
            <w:r>
              <w:rPr>
                <w:sz w:val="17"/>
              </w:rPr>
              <w:t>Cero duplicados por fuente e identificador</w:t>
            </w:r>
          </w:p>
        </w:tc>
      </w:tr>
      <w:tr>
        <w:tc>
          <w:tcPr>
            <w:tcW w:type="dxa" w:w="3168"/>
            <w:vAlign w:val="top"/>
          </w:tcPr>
          <w:p>
            <w:pPr>
              <w:spacing w:after="0"/>
            </w:pPr>
            <w:r>
              <w:rPr>
                <w:sz w:val="17"/>
              </w:rPr>
              <w:t>Verificación automatizada</w:t>
            </w:r>
          </w:p>
        </w:tc>
        <w:tc>
          <w:tcPr>
            <w:tcW w:type="dxa" w:w="7344"/>
            <w:vAlign w:val="top"/>
          </w:tcPr>
          <w:p>
            <w:pPr>
              <w:spacing w:after="0"/>
            </w:pPr>
            <w:r>
              <w:rPr>
                <w:sz w:val="17"/>
              </w:rPr>
              <w:t>10 pruebas correctas, typecheck correcto y build correcto</w:t>
            </w:r>
          </w:p>
        </w:tc>
      </w:tr>
    </w:tbl>
    <w:p/>
    <w:p>
      <w:r>
        <w:t>Los conteos son una evidencia de la ejecución del 30 de junio de 2026 y variarán con nuevas ingestas. La especificación aplicable es SDD-004 y la evidencia detallada se conserva en VALIDATION-004.</w:t>
      </w:r>
    </w:p>
    <w:p>
      <w:pPr>
        <w:pStyle w:val="Heading1"/>
      </w:pPr>
      <w:r>
        <w:t>17. Referencias complementarias</w:t>
      </w:r>
    </w:p>
    <w:p>
      <w:pPr>
        <w:pStyle w:val="ListBullet"/>
      </w:pPr>
      <w:r>
        <w:rPr>
          <w:b/>
        </w:rPr>
        <w:t xml:space="preserve">GEOFON FDSN Event: </w:t>
      </w:r>
      <w:r>
        <w:t>https://geofon.gfz.de/fdsnws/event/1/</w:t>
      </w:r>
    </w:p>
    <w:p>
      <w:pPr>
        <w:pStyle w:val="ListBullet"/>
      </w:pPr>
      <w:r>
        <w:rPr>
          <w:b/>
        </w:rPr>
        <w:t xml:space="preserve">GeoNet API: </w:t>
      </w:r>
      <w:r>
        <w:t>https://api.geonet.org.nz/</w:t>
      </w:r>
    </w:p>
    <w:p>
      <w:pPr>
        <w:pStyle w:val="ListBullet"/>
      </w:pPr>
      <w:r>
        <w:rPr>
          <w:b/>
        </w:rPr>
        <w:t xml:space="preserve">International Seismological Centre: </w:t>
      </w:r>
      <w:r>
        <w:t>https://www.isc.ac.uk/iscbulletin/</w:t>
      </w:r>
    </w:p>
    <w:p>
      <w:pPr>
        <w:pStyle w:val="ListBullet"/>
      </w:pPr>
      <w:r>
        <w:rPr>
          <w:b/>
        </w:rPr>
        <w:t xml:space="preserve">DHN - Centro Nacional de Alerta de Tsunamis: </w:t>
      </w:r>
      <w:r>
        <w:t>https://www.dhn.mil.pe/cnat/</w:t>
      </w:r>
    </w:p>
    <w:p>
      <w:pPr>
        <w:pStyle w:val="ListBullet"/>
      </w:pPr>
      <w:r>
        <w:rPr>
          <w:b/>
        </w:rPr>
        <w:t xml:space="preserve">Servicio Geológico Colombiano - Sismos: </w:t>
      </w:r>
      <w:r>
        <w:t>https://www.sgc.gov.co/Sismos/</w:t>
      </w:r>
    </w:p>
    <w:p>
      <w:pPr>
        <w:pStyle w:val="ListBullet"/>
      </w:pPr>
      <w:r>
        <w:rPr>
          <w:b/>
        </w:rPr>
        <w:t xml:space="preserve">Centro Sismológico Nacional de Chile: </w:t>
      </w:r>
      <w:r>
        <w:t>https://www.csn.uchile.cl/</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Documento de sustentación - Etapa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Informe de Alcance y Diseño Funcional - Plataforma de Visualización Sísmica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360"/>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earthquake.usgs.gov/fdsnws/event/1/" TargetMode="External"/><Relationship Id="rId12" Type="http://schemas.openxmlformats.org/officeDocument/2006/relationships/hyperlink" Target="https://earthquake.usgs.gov/earthquakes/feed/v1.0/geojson.php" TargetMode="External"/><Relationship Id="rId13" Type="http://schemas.openxmlformats.org/officeDocument/2006/relationships/hyperlink" Target="https://www.emsc-csem.org/" TargetMode="External"/><Relationship Id="rId14" Type="http://schemas.openxmlformats.org/officeDocument/2006/relationships/hyperlink" Target="https://www.gdacs.org/feed_reference.aspx" TargetMode="External"/><Relationship Id="rId15" Type="http://schemas.openxmlformats.org/officeDocument/2006/relationships/hyperlink" Target="https://www.tsunami.gov/" TargetMode="External"/><Relationship Id="rId16" Type="http://schemas.openxmlformats.org/officeDocument/2006/relationships/hyperlink" Target="https://leafletjs.com/" TargetMode="External"/><Relationship Id="rId17" Type="http://schemas.openxmlformats.org/officeDocument/2006/relationships/hyperlink" Target="https://www.postgresql.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Alcance y Diseño Funcional</dc:title>
  <dc:subject>Plataforma de Visualización Sísmica</dc:subject>
  <dc:creator>python-docx</dc:creator>
  <cp:keywords>sismología, PostGIS, CesiumJS, GEOFON, GeoNet, fuentes oficiales</cp:keywords>
  <dc:description>generated by python-docx</dc:description>
  <cp:lastModifiedBy/>
  <cp:revision>3</cp:revision>
  <dcterms:created xsi:type="dcterms:W3CDTF">2013-12-23T23:15:00Z</dcterms:created>
  <dcterms:modified xsi:type="dcterms:W3CDTF">2026-06-30T13:14:29Z</dcterms:modified>
  <cp:category/>
</cp:coreProperties>
</file>