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4C5DE" w14:textId="755BE899" w:rsidR="00F81B6E" w:rsidRPr="00BB2F65" w:rsidRDefault="00547346" w:rsidP="00BB2F65">
      <w:pPr>
        <w:jc w:val="center"/>
        <w:rPr>
          <w:b/>
          <w:bCs/>
          <w:sz w:val="32"/>
          <w:szCs w:val="28"/>
        </w:rPr>
      </w:pPr>
      <w:r w:rsidRPr="00BB2F65">
        <w:rPr>
          <w:b/>
          <w:bCs/>
          <w:sz w:val="32"/>
          <w:szCs w:val="28"/>
        </w:rPr>
        <w:t>Software Engineering Project: Review-1 Report</w:t>
      </w:r>
    </w:p>
    <w:p w14:paraId="2E7829F4" w14:textId="6D726C92" w:rsidR="00E45CDB" w:rsidRPr="0054118F" w:rsidRDefault="00E45CDB" w:rsidP="00E45CDB">
      <w:pPr>
        <w:keepNext/>
        <w:rPr>
          <w:b/>
          <w:bCs/>
        </w:rPr>
      </w:pPr>
      <w:r w:rsidRPr="0054118F">
        <w:rPr>
          <w:b/>
          <w:bCs/>
        </w:rPr>
        <w:t>1. Project &amp; Team Information</w:t>
      </w:r>
    </w:p>
    <w:p w14:paraId="52EE4DAE" w14:textId="77777777" w:rsidR="00E45CDB" w:rsidRPr="0054118F" w:rsidRDefault="00E45CDB" w:rsidP="00E45CDB">
      <w:pPr>
        <w:rPr>
          <w:b/>
          <w:bCs/>
        </w:rPr>
      </w:pPr>
      <w:r>
        <w:rPr>
          <w:rFonts w:ascii="Times New Roman" w:hAnsi="Times New Roman"/>
          <w:b/>
          <w:sz w:val="24"/>
        </w:rPr>
        <w:t>Project Title:</w:t>
      </w:r>
      <w:r>
        <w:rPr>
          <w:rFonts w:ascii="Times New Roman" w:hAnsi="Times New Roman"/>
          <w:b w:val="0"/>
          <w:sz w:val="24"/>
        </w:rPr>
        <w:t xml:space="preserve"> NutriTwin - An Explainable Personalized Nutrition Digital Twin with Multi-Objective RDA Optimization and Dietary Simulation</w:t>
      </w:r>
    </w:p>
    <w:p w14:paraId="1CC5E7BA" w14:textId="77777777" w:rsidR="0054118F" w:rsidRDefault="00E45CDB" w:rsidP="00E45CDB">
      <w:r>
        <w:rPr>
          <w:rFonts w:ascii="Times New Roman" w:hAnsi="Times New Roman"/>
          <w:b/>
          <w:sz w:val="24"/>
        </w:rPr>
        <w:t>Team Information:</w:t>
      </w:r>
      <w:r>
        <w:rPr>
          <w:rFonts w:ascii="Times New Roman" w:hAnsi="Times New Roman"/>
          <w:b w:val="0"/>
          <w:sz w:val="24"/>
        </w:rPr>
        <w:t xml:space="preserve"> K. Sarthak - RegNo: 24BDS1121</w:t>
      </w:r>
    </w:p>
    <w:p w14:paraId="40C9D613" w14:textId="00E643DB" w:rsidR="00E45CDB" w:rsidRDefault="00E45CDB" w:rsidP="00E45CDB">
      <w:r>
        <w:rPr>
          <w:rFonts w:ascii="Times New Roman" w:hAnsi="Times New Roman"/>
          <w:b w:val="0"/>
          <w:sz w:val="24"/>
        </w:rPr>
        <w:t>Solo project. Responsibilities: architecture, nutrition informatics, data engineering, optimization, backend development, security review, testing, and documentation.</w:t>
      </w:r>
    </w:p>
    <w:p w14:paraId="607038E0" w14:textId="4CA97E42" w:rsidR="00547346" w:rsidRDefault="00E45CDB" w:rsidP="00E45CDB">
      <w:r>
        <w:rPr>
          <w:rFonts w:ascii="Times New Roman" w:hAnsi="Times New Roman"/>
          <w:b/>
          <w:sz w:val="24"/>
        </w:rPr>
        <w:t>Repository Link:</w:t>
      </w:r>
      <w:r>
        <w:rPr>
          <w:rFonts w:ascii="Times New Roman" w:hAnsi="Times New Roman"/>
          <w:b w:val="0"/>
          <w:sz w:val="24"/>
        </w:rPr>
        <w:t xml:space="preserve"> https://github.com/Kan-sar/NutriTwin (private; reviewer access must be granted)</w:t>
      </w:r>
    </w:p>
    <w:p w14:paraId="5B03A5EA" w14:textId="77777777" w:rsidR="000200E7" w:rsidRPr="0054118F" w:rsidRDefault="000200E7" w:rsidP="000200E7">
      <w:pPr>
        <w:keepNext/>
        <w:rPr>
          <w:b/>
          <w:bCs/>
        </w:rPr>
      </w:pPr>
      <w:r w:rsidRPr="0054118F">
        <w:rPr>
          <w:b/>
          <w:bCs/>
        </w:rPr>
        <w:t>2. Project Overview</w:t>
      </w:r>
    </w:p>
    <w:p w14:paraId="079A5284" w14:textId="77777777" w:rsidR="0054118F" w:rsidRDefault="000200E7" w:rsidP="000200E7">
      <w:r>
        <w:rPr>
          <w:rFonts w:ascii="Times New Roman" w:hAnsi="Times New Roman"/>
          <w:b/>
          <w:sz w:val="24"/>
        </w:rPr>
        <w:t>Problem Statement:</w:t>
      </w:r>
    </w:p>
    <w:p w14:paraId="5C6EA970" w14:textId="6579AACC" w:rsidR="000200E7" w:rsidRDefault="000200E7" w:rsidP="000200E7">
      <w:r>
        <w:rPr>
          <w:rFonts w:ascii="Times New Roman" w:hAnsi="Times New Roman"/>
          <w:b w:val="0"/>
          <w:sz w:val="24"/>
        </w:rPr>
        <w:t>Conventional food trackers often summarize logged intake without preserving scientific source versions, separating consumed intake from estimated effective intake, or explaining how persistent intake gaps influence recommendations. Indian users additionally require targets governed by ICMR-NIN references rather than undocumented international defaults. NutriTwin addresses the engineering problem of maintaining a reproducible longitudinal nutrition state while avoiding diagnostic, clinical, or biologically overstated claims.</w:t>
      </w:r>
    </w:p>
    <w:p w14:paraId="5F55E24F" w14:textId="77777777" w:rsidR="0054118F" w:rsidRDefault="000200E7" w:rsidP="000200E7">
      <w:r>
        <w:rPr>
          <w:rFonts w:ascii="Times New Roman" w:hAnsi="Times New Roman"/>
          <w:b/>
          <w:sz w:val="24"/>
        </w:rPr>
        <w:t>Proposed Solution:</w:t>
      </w:r>
    </w:p>
    <w:p w14:paraId="19344E92" w14:textId="0DAD76E7" w:rsidR="000200E7" w:rsidRDefault="0054118F" w:rsidP="000200E7">
      <w:r>
        <w:rPr>
          <w:rFonts w:ascii="Times New Roman" w:hAnsi="Times New Roman"/>
          <w:b w:val="0"/>
          <w:sz w:val="24"/>
        </w:rPr>
        <w:t>NutriTwin is a non-clinical modular-monolith prototype that converts manual ingredient-level meal logs into immutable target snapshots, consumed and separately estimated-effective nutrient traces, daily and rolling coverage, transparent persistent intake-gap indications, and constraint-aware ranked meal recommendations. The implemented workflow operates without an LLM and without Neo4j enrichment. Synthetic demo values are used only for software validation while lawful ICMR-NIN/IFCT import remains pending.</w:t>
      </w:r>
    </w:p>
    <w:p w14:paraId="0DDF3C20" w14:textId="717E6596" w:rsidR="00C6233D" w:rsidRPr="0064593F" w:rsidRDefault="00C6233D" w:rsidP="00C6233D">
      <w:pPr>
        <w:keepNext/>
        <w:rPr>
          <w:b/>
          <w:bCs/>
        </w:rPr>
      </w:pPr>
      <w:r w:rsidRPr="0064593F">
        <w:rPr>
          <w:b/>
          <w:bCs/>
        </w:rPr>
        <w:t>3.</w:t>
      </w:r>
      <w:r w:rsidR="00530A2C">
        <w:rPr>
          <w:b/>
          <w:bCs/>
        </w:rPr>
        <w:t xml:space="preserve"> Review of</w:t>
      </w:r>
      <w:r w:rsidRPr="0064593F">
        <w:rPr>
          <w:b/>
          <w:bCs/>
        </w:rPr>
        <w:t xml:space="preserve"> Related Works</w:t>
      </w:r>
    </w:p>
    <w:p w14:paraId="032AFB5A" w14:textId="2C558CAF" w:rsidR="00C6233D" w:rsidRDefault="00C6233D" w:rsidP="00C6233D">
      <w:r>
        <w:rPr>
          <w:rFonts w:ascii="Times New Roman" w:hAnsi="Times New Roman"/>
          <w:b/>
          <w:sz w:val="24"/>
        </w:rPr>
        <w:t>Existing Solutions:</w:t>
      </w:r>
      <w:r>
        <w:rPr>
          <w:rFonts w:ascii="Times New Roman" w:hAnsi="Times New Roman"/>
          <w:b w:val="0"/>
          <w:sz w:val="24"/>
        </w:rPr>
        <w:t xml:space="preserve"> The comparison covers two deployed nutrition products and three peer-reviewed personalized-nutrition or digital-twin works.</w:t>
      </w:r>
    </w:p>
    <w:p>
      <w:pPr>
        <w:pStyle w:val="ListParagraph"/>
        <w:numPr>
          <w:ilvl w:val="0"/>
          <w:numId w:val="1"/>
        </w:numPr>
        <w:rPr>
          <w:b/>
          <w:bCs/>
          <w:lang w:eastAsia="en-IN"/>
        </w:rPr>
      </w:pPr>
      <w:r>
        <w:rPr>
          <w:rFonts w:ascii="Times New Roman" w:hAnsi="Times New Roman"/>
          <w:b w:val="0"/>
          <w:bCs/>
          <w:sz w:val="24"/>
          <w:lang w:eastAsia="en-IN"/>
        </w:rPr>
        <w:t>Cronometer provides detailed nutrient tracking and food logging, but does not expose NutriTwin's versioned Indian target trace, calculation-inactive evidence boundary, or stored recommendation factor contributions (https://cronometer.com/features/; accessed 30 August 2026).</w:t>
      </w:r>
    </w:p>
    <w:p>
      <w:pPr>
        <w:pStyle w:val="ListParagraph"/>
        <w:numPr>
          <w:ilvl w:val="0"/>
          <w:numId w:val="1"/>
        </w:numPr>
        <w:rPr>
          <w:b/>
          <w:bCs/>
          <w:lang w:eastAsia="en-IN"/>
        </w:rPr>
      </w:pPr>
      <w:r>
        <w:rPr>
          <w:rFonts w:ascii="Times New Roman" w:hAnsi="Times New Roman"/>
          <w:b w:val="0"/>
          <w:bCs/>
          <w:sz w:val="24"/>
          <w:lang w:eastAsia="en-IN"/>
        </w:rPr>
        <w:t>HealthifyMe provides Indian diet tracking and coaching, but its public product surface does not provide the deterministic scientific provenance and reproducible calculation trace required for this prototype (https://www.healthifyme.com/; accessed 30 August 2026).</w:t>
      </w:r>
    </w:p>
    <w:p>
      <w:pPr>
        <w:pStyle w:val="ListParagraph"/>
        <w:numPr>
          <w:ilvl w:val="0"/>
          <w:numId w:val="1"/>
        </w:numPr>
        <w:rPr>
          <w:b/>
          <w:bCs/>
          <w:lang w:eastAsia="en-IN"/>
        </w:rPr>
      </w:pPr>
      <w:r>
        <w:rPr>
          <w:rFonts w:ascii="Times New Roman" w:hAnsi="Times New Roman"/>
          <w:b w:val="0"/>
          <w:bCs/>
          <w:sz w:val="24"/>
          <w:lang w:eastAsia="en-IN"/>
        </w:rPr>
        <w:t>The Food4Me randomized trial demonstrated Internet-delivered personalized nutrition at scale, supporting the value of personalization while leaving a separate need for implementation-level traceability (Livingstone et al., AJCN 2016, doi:10.3945/ajcn.115.129049).</w:t>
      </w:r>
    </w:p>
    <w:p>
      <w:pPr>
        <w:pStyle w:val="ListParagraph"/>
        <w:numPr>
          <w:ilvl w:val="0"/>
          <w:numId w:val="1"/>
        </w:numPr>
        <w:rPr>
          <w:b/>
          <w:bCs/>
          <w:lang w:eastAsia="en-IN"/>
        </w:rPr>
      </w:pPr>
      <w:r>
        <w:rPr>
          <w:rFonts w:ascii="Times New Roman" w:hAnsi="Times New Roman"/>
          <w:b w:val="0"/>
          <w:bCs/>
          <w:sz w:val="24"/>
          <w:lang w:eastAsia="en-IN"/>
        </w:rPr>
        <w:t>The eNutri work describes strategies for online personalized nutrition advice and supports explainable dietary guidance as a software-design concern (Franco et al., Proceedings of the Nutrition Society 2019, doi:10.1017/S0029665118002707).</w:t>
      </w:r>
    </w:p>
    <w:p>
      <w:pPr>
        <w:pStyle w:val="ListParagraph"/>
        <w:numPr>
          <w:ilvl w:val="0"/>
          <w:numId w:val="1"/>
        </w:numPr>
        <w:rPr>
          <w:b/>
          <w:bCs/>
          <w:lang w:eastAsia="en-IN"/>
        </w:rPr>
      </w:pPr>
      <w:r>
        <w:rPr>
          <w:rFonts w:ascii="Times New Roman" w:hAnsi="Times New Roman"/>
          <w:b w:val="0"/>
          <w:bCs/>
          <w:sz w:val="24"/>
          <w:lang w:eastAsia="en-IN"/>
        </w:rPr>
        <w:t>The Virtual Digital Twins concept motivates digital-twin thinking in precision nutrition, while NutriTwin deliberately narrows the current build to deterministic, non-clinical intake-state computation (Gkouskou et al., Advances in Nutrition 2020, doi:10.1093/advances/nmaa089).</w:t>
      </w:r>
    </w:p>
    <w:p w14:paraId="51E3FFFB" w14:textId="5257DD15" w:rsidR="000200E7" w:rsidRDefault="00C6233D" w:rsidP="00C6233D">
      <w:r>
        <w:rPr>
          <w:rFonts w:ascii="Times New Roman" w:hAnsi="Times New Roman"/>
          <w:b/>
          <w:sz w:val="24"/>
        </w:rPr>
        <w:t>Gap Analysis:</w:t>
      </w:r>
      <w:r>
        <w:rPr>
          <w:rFonts w:ascii="Times New Roman" w:hAnsi="Times New Roman"/>
          <w:b w:val="0"/>
          <w:sz w:val="24"/>
        </w:rPr>
        <w:t xml:space="preserve"> Existing products and literature establish the value of nutrient tracking and personalization, but do not jointly provide an India-governed, source-versioned, non-clinical digital twin with consumed/effective separation, multi-window memory, deterministic risk contributions, hard-constraint recommendation traces, and an offline LLM-independent explanation path. ICMR-NIN RDA/EAR 2020 and IFCT 2017 remain the required authorities; their tables are not redistributed because lawful electronic reuse has not been established.</w:t>
      </w:r>
    </w:p>
    <w:p w14:paraId="2FEE50EA" w14:textId="77777777" w:rsidR="00A3556B" w:rsidRPr="00763F82" w:rsidRDefault="00A3556B" w:rsidP="00A3556B">
      <w:pPr>
        <w:keepNext/>
        <w:rPr>
          <w:b/>
          <w:bCs/>
        </w:rPr>
      </w:pPr>
      <w:r w:rsidRPr="00763F82">
        <w:rPr>
          <w:b/>
          <w:bCs/>
        </w:rPr>
        <w:t>4. Novelty &amp; Value Proposition</w:t>
      </w:r>
    </w:p>
    <w:p w14:paraId="30707668" w14:textId="35B2A770" w:rsidR="00C6233D" w:rsidRDefault="00A3556B" w:rsidP="00A3556B">
      <w:r>
        <w:rPr>
          <w:rFonts w:ascii="Times New Roman" w:hAnsi="Times New Roman"/>
          <w:b w:val="0"/>
          <w:sz w:val="24"/>
        </w:rPr>
        <w:t>NutriTwin combines five elements in one reproducible academic prototype: immutable personalized target snapshots; strict separation between logged and estimated-effective intake; daily, rolling 7-day, and rolling 30-day nutrition memory; a versioned deterministic persistent intake-gap indication with factor contributions; and hard-constraint-aware recommendations whose normalized objectives, weights, rejection reasons, and explanation are stored. The nutrition-chemistry layer adds traceable ChEBI and FoodOn mappings while explicitly preventing qualitative evidence from changing calculations. The system is educational and non-diagnostic.</w:t>
      </w:r>
    </w:p>
    <w:p w14:paraId="22A51DE6" w14:textId="24A928E8" w:rsidR="00452222" w:rsidRPr="00763F82" w:rsidRDefault="00452222" w:rsidP="00452222">
      <w:pPr>
        <w:keepNext/>
        <w:rPr>
          <w:b/>
          <w:bCs/>
        </w:rPr>
      </w:pPr>
      <w:r w:rsidRPr="00763F82">
        <w:rPr>
          <w:b/>
          <w:bCs/>
        </w:rPr>
        <w:t xml:space="preserve">5. Technical Specifications </w:t>
      </w:r>
    </w:p>
    <w:p w14:paraId="10B40F8C" w14:textId="77777777" w:rsidR="00280786" w:rsidRDefault="00452222" w:rsidP="00452222">
      <w:r>
        <w:rPr>
          <w:rFonts w:ascii="Times New Roman" w:hAnsi="Times New Roman"/>
          <w:b/>
          <w:sz w:val="24"/>
        </w:rPr>
        <w:t>Tech Stack:</w:t>
      </w:r>
    </w:p>
    <w:p w14:paraId="3D3FB34C" w14:textId="40C640E3" w:rsidR="00452222" w:rsidRDefault="00452222" w:rsidP="00452222">
      <w:r>
        <w:rPr>
          <w:rFonts w:ascii="Times New Roman" w:hAnsi="Times New Roman"/>
          <w:b w:val="0"/>
          <w:sz w:val="24"/>
        </w:rPr>
        <w:t>Python 3.12+; FastAPI; Pydantic v2; SQLAlchemy 2; Alembic; PostgreSQL 16; Redis; Celery; Neo4j 5 as an optional boundary; Google OR-Tools CP-SAT; Pytest; Hypothesis; Ruff; Mypy; Docker Compose; GitHub Actions; and Playwright for browser evidence. RDKit 2026.3.5 (BSD-3-Clause) validates structures in the optional data pipeline; ChEBI and FoodOn records are used under CC BY 4.0. No copied medical repository code is treated as scientific authority.</w:t>
      </w:r>
    </w:p>
    <w:p w14:paraId="360B9261" w14:textId="015D4031" w:rsidR="00EE5782" w:rsidRDefault="00452222" w:rsidP="00452222">
      <w:r>
        <w:rPr>
          <w:rFonts w:ascii="Times New Roman" w:hAnsi="Times New Roman"/>
          <w:b/>
          <w:sz w:val="24"/>
        </w:rPr>
        <w:t>System Architecture:</w:t>
      </w:r>
      <w:r>
        <w:rPr>
          <w:rFonts w:ascii="Times New Roman" w:hAnsi="Times New Roman"/>
          <w:b w:val="0"/>
          <w:sz w:val="24"/>
        </w:rPr>
        <w:t xml:space="preserve"> The backend is a modular FastAPI monolith. Pure deterministic domain packages implement target, intake, effective-estimate, coverage, risk, ranking, and bounded CP-SAT logic. PostgreSQL is the authoritative historical store; Redis/Celery supports idempotent work; Neo4j and LLM adapters remain optional and cannot block the core workflow. Flutter remains the primary planned client.</w:t>
      </w:r>
    </w:p>
    <w:p>
      <w:pPr>
        <w:jc w:val="center"/>
      </w:pPr>
      <w:r>
        <w:drawing>
          <wp:inline xmlns:a="http://schemas.openxmlformats.org/drawingml/2006/main" xmlns:pic="http://schemas.openxmlformats.org/drawingml/2006/picture">
            <wp:extent cx="5577840" cy="3585754"/>
            <wp:docPr id="1" name="Picture 1" title="Figure 1. NutriTwin modular-monolith architecture and optional service boundaries." descr="High-level NutriTwin architecture showing the planned Flutter client, FastAPI modular monolith, pure deterministic domain logic, PostgreSQL, Redis and Celery, and optional Neo4j and LLM boundaries."/>
            <wp:cNvGraphicFramePr>
              <a:graphicFrameLocks noChangeAspect="1"/>
            </wp:cNvGraphicFramePr>
            <a:graphic>
              <a:graphicData uri="http://schemas.openxmlformats.org/drawingml/2006/picture">
                <pic:pic>
                  <pic:nvPicPr>
                    <pic:cNvPr id="0" name="architecture.png"/>
                    <pic:cNvPicPr/>
                  </pic:nvPicPr>
                  <pic:blipFill>
                    <a:blip r:embed="rId7"/>
                    <a:stretch>
                      <a:fillRect/>
                    </a:stretch>
                  </pic:blipFill>
                  <pic:spPr>
                    <a:xfrm>
                      <a:off x="0" y="0"/>
                      <a:ext cx="5577840" cy="3585754"/>
                    </a:xfrm>
                    <a:prstGeom prst="rect"/>
                  </pic:spPr>
                </pic:pic>
              </a:graphicData>
            </a:graphic>
          </wp:inline>
        </w:drawing>
      </w:r>
    </w:p>
    <w:p>
      <w:pPr>
        <w:keepNext w:val="0"/>
        <w:jc w:val="center"/>
      </w:pPr>
      <w:r>
        <w:rPr>
          <w:rFonts w:ascii="Times New Roman" w:hAnsi="Times New Roman"/>
          <w:b w:val="0"/>
          <w:i/>
          <w:sz w:val="20"/>
        </w:rPr>
        <w:t>Figure 1. NutriTwin modular-monolith architecture and optional service boundaries.</w:t>
      </w:r>
    </w:p>
    <w:p w14:paraId="05E6C9A8" w14:textId="77777777" w:rsidR="00B04D4F" w:rsidRPr="007B4B5A" w:rsidRDefault="001D27BA" w:rsidP="00B04D4F">
      <w:pPr>
        <w:keepNext/>
        <w:rPr>
          <w:b/>
          <w:bCs/>
        </w:rPr>
      </w:pPr>
      <w:r w:rsidRPr="007B4B5A">
        <w:rPr>
          <w:b/>
          <w:bCs/>
        </w:rPr>
        <w:lastRenderedPageBreak/>
        <w:t xml:space="preserve">6. </w:t>
      </w:r>
      <w:r w:rsidR="00B04D4F" w:rsidRPr="007B4B5A">
        <w:rPr>
          <w:b/>
          <w:bCs/>
        </w:rPr>
        <w:t>Current Progress &amp; Implementation</w:t>
      </w:r>
    </w:p>
    <w:p w14:paraId="1533E173" w14:textId="77777777" w:rsidR="00B04D4F" w:rsidRDefault="00B04D4F" w:rsidP="00B04D4F">
      <w:r>
        <w:rPr>
          <w:rFonts w:ascii="Times New Roman" w:hAnsi="Times New Roman"/>
          <w:b/>
          <w:sz w:val="24"/>
        </w:rPr>
        <w:t>Completed Modules:</w:t>
      </w:r>
      <w:r>
        <w:rPr>
          <w:rFonts w:ascii="Times New Roman" w:hAnsi="Times New Roman"/>
          <w:b w:val="0"/>
          <w:sz w:val="24"/>
        </w:rPr>
        <w:t xml:space="preserve"> The following functions are implemented and locally verified.</w:t>
      </w:r>
    </w:p>
    <w:p>
      <w:pPr>
        <w:pStyle w:val="ListParagraph"/>
        <w:numPr>
          <w:ilvl w:val="0"/>
          <w:numId w:val="1"/>
        </w:numPr>
        <w:rPr>
          <w:b/>
          <w:bCs/>
          <w:lang w:eastAsia="en-IN"/>
        </w:rPr>
      </w:pPr>
      <w:r>
        <w:rPr>
          <w:rFonts w:ascii="Times New Roman" w:hAnsi="Times New Roman"/>
          <w:b w:val="0"/>
          <w:bCs/>
          <w:sz w:val="24"/>
          <w:lang w:eastAsia="en-IN"/>
        </w:rPr>
        <w:t>Student, Adult, and Admin authentication; consent; Argon2 password hashing; short-lived JWT access; rotating and revocable refresh sessions; logout; RBAC; and audit events.</w:t>
      </w:r>
    </w:p>
    <w:p>
      <w:pPr>
        <w:pStyle w:val="ListParagraph"/>
        <w:numPr>
          <w:ilvl w:val="0"/>
          <w:numId w:val="1"/>
        </w:numPr>
        <w:rPr>
          <w:b/>
          <w:bCs/>
          <w:lang w:eastAsia="en-IN"/>
        </w:rPr>
      </w:pPr>
      <w:r>
        <w:rPr>
          <w:rFonts w:ascii="Times New Roman" w:hAnsi="Times New Roman"/>
          <w:b w:val="0"/>
          <w:bCs/>
          <w:sz w:val="24"/>
          <w:lang w:eastAsia="en-IN"/>
        </w:rPr>
        <w:t>Versioned profile and target snapshots, curated food search, ingredient-level meal create/list/edit/soft-delete, and historical target immutability.</w:t>
      </w:r>
    </w:p>
    <w:p>
      <w:pPr>
        <w:pStyle w:val="ListParagraph"/>
        <w:numPr>
          <w:ilvl w:val="0"/>
          <w:numId w:val="1"/>
        </w:numPr>
        <w:rPr>
          <w:b/>
          <w:bCs/>
          <w:lang w:eastAsia="en-IN"/>
        </w:rPr>
      </w:pPr>
      <w:r>
        <w:rPr>
          <w:rFonts w:ascii="Times New Roman" w:hAnsi="Times New Roman"/>
          <w:b w:val="0"/>
          <w:bCs/>
          <w:sz w:val="24"/>
          <w:lang w:eastAsia="en-IN"/>
        </w:rPr>
        <w:t>Separate consumed and estimated-effective totals, explicit identity-estimate baseline, daily/7-day/30-day coverage, deterministic risk trace, and non-diagnostic wording.</w:t>
      </w:r>
    </w:p>
    <w:p>
      <w:pPr>
        <w:pStyle w:val="ListParagraph"/>
        <w:numPr>
          <w:ilvl w:val="0"/>
          <w:numId w:val="1"/>
        </w:numPr>
        <w:rPr>
          <w:b/>
          <w:bCs/>
          <w:lang w:eastAsia="en-IN"/>
        </w:rPr>
      </w:pPr>
      <w:r>
        <w:rPr>
          <w:rFonts w:ascii="Times New Roman" w:hAnsi="Times New Roman"/>
          <w:b w:val="0"/>
          <w:bCs/>
          <w:sz w:val="24"/>
          <w:lang w:eastAsia="en-IN"/>
        </w:rPr>
        <w:t>Hard-constraint-aware weighted recommendation ranking with normalized objectives, rejection reasons, deterministic explanations, and bounded CP-SAT domain tests.</w:t>
      </w:r>
    </w:p>
    <w:p>
      <w:pPr>
        <w:pStyle w:val="ListParagraph"/>
        <w:numPr>
          <w:ilvl w:val="0"/>
          <w:numId w:val="1"/>
        </w:numPr>
        <w:rPr>
          <w:b/>
          <w:bCs/>
          <w:lang w:eastAsia="en-IN"/>
        </w:rPr>
      </w:pPr>
      <w:r>
        <w:rPr>
          <w:rFonts w:ascii="Times New Roman" w:hAnsi="Times New Roman"/>
          <w:b w:val="0"/>
          <w:bCs/>
          <w:sz w:val="24"/>
          <w:lang w:eastAsia="en-IN"/>
        </w:rPr>
        <w:t>Admin read-only ChEBI substances, FoodOn mappings, and qualitative interaction evidence with provenance and calculation effect disabled.</w:t>
      </w:r>
    </w:p>
    <w:p>
      <w:pPr>
        <w:pStyle w:val="ListParagraph"/>
        <w:numPr>
          <w:ilvl w:val="0"/>
          <w:numId w:val="1"/>
        </w:numPr>
        <w:rPr>
          <w:b/>
          <w:bCs/>
          <w:lang w:eastAsia="en-IN"/>
        </w:rPr>
      </w:pPr>
      <w:r>
        <w:rPr>
          <w:rFonts w:ascii="Times New Roman" w:hAnsi="Times New Roman"/>
          <w:b w:val="0"/>
          <w:bCs/>
          <w:sz w:val="24"/>
          <w:lang w:eastAsia="en-IN"/>
        </w:rPr>
        <w:t>PostgreSQL/Redis/Neo4j/API/Celery Docker Compose stack, three Alembic migrations, idempotent seed/recompute behavior, and CI/security checks.</w:t>
      </w:r>
    </w:p>
    <w:p w14:paraId="3A544AC0" w14:textId="523A1277" w:rsidR="00B04D4F" w:rsidRDefault="00B04D4F" w:rsidP="00B04D4F">
      <w:r>
        <w:rPr>
          <w:rFonts w:ascii="Times New Roman" w:hAnsi="Times New Roman"/>
          <w:b/>
          <w:sz w:val="24"/>
        </w:rPr>
        <w:t>Screenshots:</w:t>
      </w:r>
      <w:r>
        <w:rPr>
          <w:rFonts w:ascii="Times New Roman" w:hAnsi="Times New Roman"/>
          <w:b w:val="0"/>
          <w:sz w:val="24"/>
        </w:rPr>
        <w:t xml:space="preserve"> The following working-state evidence uses local demo data only. Figures 3, 7, and 8 are direct captures of actual native PowerShell windows; no terminal output is browser-rendered or mocked.</w:t>
      </w:r>
    </w:p>
    <w:p>
      <w:pPr>
        <w:spacing w:after="0"/>
      </w:pPr>
      <w:r>
        <w:br w:type="page"/>
      </w:r>
    </w:p>
    <w:p>
      <w:pPr>
        <w:jc w:val="center"/>
      </w:pPr>
      <w:r>
        <w:drawing>
          <wp:inline xmlns:a="http://schemas.openxmlformats.org/drawingml/2006/main" xmlns:pic="http://schemas.openxmlformats.org/drawingml/2006/picture">
            <wp:extent cx="5577840" cy="7243445"/>
            <wp:docPr id="2" name="Picture 2" title="Figure 2. Live FastAPI Swagger interface and implemented endpoint groups." descr="Live Swagger UI showing implemented authentication, consent, profile, food, meal, twin, recommendation, and Admin endpoint groups."/>
            <wp:cNvGraphicFramePr>
              <a:graphicFrameLocks noChangeAspect="1"/>
            </wp:cNvGraphicFramePr>
            <a:graphic>
              <a:graphicData uri="http://schemas.openxmlformats.org/drawingml/2006/picture">
                <pic:pic>
                  <pic:nvPicPr>
                    <pic:cNvPr id="0" name="01-api-interface.png"/>
                    <pic:cNvPicPr/>
                  </pic:nvPicPr>
                  <pic:blipFill>
                    <a:blip r:embed="rId8"/>
                    <a:stretch>
                      <a:fillRect/>
                    </a:stretch>
                  </pic:blipFill>
                  <pic:spPr>
                    <a:xfrm>
                      <a:off x="0" y="0"/>
                      <a:ext cx="5577840" cy="7243445"/>
                    </a:xfrm>
                    <a:prstGeom prst="rect"/>
                  </pic:spPr>
                </pic:pic>
              </a:graphicData>
            </a:graphic>
          </wp:inline>
        </w:drawing>
      </w:r>
    </w:p>
    <w:p>
      <w:pPr>
        <w:keepNext w:val="0"/>
        <w:jc w:val="center"/>
      </w:pPr>
      <w:r>
        <w:rPr>
          <w:rFonts w:ascii="Times New Roman" w:hAnsi="Times New Roman"/>
          <w:b w:val="0"/>
          <w:i/>
          <w:sz w:val="20"/>
        </w:rPr>
        <w:t>Figure 2. Live FastAPI Swagger interface and implemented endpoint groups.</w:t>
      </w:r>
    </w:p>
    <w:p>
      <w:pPr>
        <w:spacing w:after="0"/>
      </w:pPr>
      <w:r>
        <w:br w:type="page"/>
      </w:r>
    </w:p>
    <w:p>
      <w:pPr>
        <w:jc w:val="center"/>
      </w:pPr>
      <w:r>
        <w:drawing>
          <wp:inline xmlns:a="http://schemas.openxmlformats.org/drawingml/2006/main" xmlns:pic="http://schemas.openxmlformats.org/drawingml/2006/picture">
            <wp:extent cx="5577840" cy="2846287"/>
            <wp:docPr id="3" name="Picture 3" title="Figure 3. Actual PowerShell readiness and authenticated demo verification." descr="Native Windows PowerShell window showing a successful API readiness response and the passing authenticated demo workflow."/>
            <wp:cNvGraphicFramePr>
              <a:graphicFrameLocks noChangeAspect="1"/>
            </wp:cNvGraphicFramePr>
            <a:graphic>
              <a:graphicData uri="http://schemas.openxmlformats.org/drawingml/2006/picture">
                <pic:pic>
                  <pic:nvPicPr>
                    <pic:cNvPr id="0" name="02-health-workflow.png"/>
                    <pic:cNvPicPr/>
                  </pic:nvPicPr>
                  <pic:blipFill>
                    <a:blip r:embed="rId9"/>
                    <a:stretch>
                      <a:fillRect/>
                    </a:stretch>
                  </pic:blipFill>
                  <pic:spPr>
                    <a:xfrm>
                      <a:off x="0" y="0"/>
                      <a:ext cx="5577840" cy="2846287"/>
                    </a:xfrm>
                    <a:prstGeom prst="rect"/>
                  </pic:spPr>
                </pic:pic>
              </a:graphicData>
            </a:graphic>
          </wp:inline>
        </w:drawing>
      </w:r>
    </w:p>
    <w:p>
      <w:pPr>
        <w:keepNext w:val="0"/>
        <w:jc w:val="center"/>
      </w:pPr>
      <w:r>
        <w:rPr>
          <w:rFonts w:ascii="Times New Roman" w:hAnsi="Times New Roman"/>
          <w:b w:val="0"/>
          <w:i/>
          <w:sz w:val="20"/>
        </w:rPr>
        <w:t>Figure 3. Actual PowerShell readiness and authenticated demo verification.</w:t>
      </w:r>
    </w:p>
    <w:p>
      <w:pPr>
        <w:spacing w:after="0"/>
      </w:pPr>
      <w:r>
        <w:br w:type="page"/>
      </w:r>
    </w:p>
    <w:p>
      <w:pPr>
        <w:jc w:val="center"/>
      </w:pPr>
      <w:r>
        <w:drawing>
          <wp:inline xmlns:a="http://schemas.openxmlformats.org/drawingml/2006/main" xmlns:pic="http://schemas.openxmlformats.org/drawingml/2006/picture">
            <wp:extent cx="5577840" cy="4572000"/>
            <wp:docPr id="4" name="Picture 4" title="Figure 4a. Nutrition twin trace: target, daily, and rolling consumed values." descr="Live nutrition twin response showing target values and daily, seven-day, and thirty-day consumed values."/>
            <wp:cNvGraphicFramePr>
              <a:graphicFrameLocks noChangeAspect="1"/>
            </wp:cNvGraphicFramePr>
            <a:graphic>
              <a:graphicData uri="http://schemas.openxmlformats.org/drawingml/2006/picture">
                <pic:pic>
                  <pic:nvPicPr>
                    <pic:cNvPr id="0" name="03-nutrition-twin.png"/>
                    <pic:cNvPicPr/>
                  </pic:nvPicPr>
                  <pic:blipFill>
                    <a:blip r:embed="rId10"/>
                    <a:srcRect t="0" b="50000" l="0" r="0"/>
                    <a:stretch>
                      <a:fillRect/>
                    </a:stretch>
                  </pic:blipFill>
                  <pic:spPr>
                    <a:xfrm>
                      <a:off x="0" y="0"/>
                      <a:ext cx="5577840" cy="4572000"/>
                    </a:xfrm>
                    <a:prstGeom prst="rect"/>
                  </pic:spPr>
                </pic:pic>
              </a:graphicData>
            </a:graphic>
          </wp:inline>
        </w:drawing>
      </w:r>
    </w:p>
    <w:p>
      <w:pPr>
        <w:keepNext w:val="0"/>
        <w:jc w:val="center"/>
      </w:pPr>
      <w:r>
        <w:rPr>
          <w:rFonts w:ascii="Times New Roman" w:hAnsi="Times New Roman"/>
          <w:b w:val="0"/>
          <w:i/>
          <w:sz w:val="20"/>
        </w:rPr>
        <w:t>Figure 4a. Nutrition twin trace: target, daily, and rolling consumed values.</w:t>
      </w:r>
    </w:p>
    <w:p>
      <w:pPr>
        <w:spacing w:after="0"/>
      </w:pPr>
      <w:r>
        <w:br w:type="page"/>
      </w:r>
    </w:p>
    <w:p>
      <w:pPr>
        <w:jc w:val="center"/>
      </w:pPr>
      <w:r>
        <w:drawing>
          <wp:inline xmlns:a="http://schemas.openxmlformats.org/drawingml/2006/main" xmlns:pic="http://schemas.openxmlformats.org/drawingml/2006/picture">
            <wp:extent cx="5577840" cy="4572000"/>
            <wp:docPr id="5" name="Picture 5" title="Figure 4b. Nutrition twin trace: estimated-effective values, risk wording, and disclaimer." descr="Live nutrition twin response showing estimated-effective values, deterministic intake-gap risk wording, and the medical disclaimer."/>
            <wp:cNvGraphicFramePr>
              <a:graphicFrameLocks noChangeAspect="1"/>
            </wp:cNvGraphicFramePr>
            <a:graphic>
              <a:graphicData uri="http://schemas.openxmlformats.org/drawingml/2006/picture">
                <pic:pic>
                  <pic:nvPicPr>
                    <pic:cNvPr id="0" name="03-nutrition-twin.png"/>
                    <pic:cNvPicPr/>
                  </pic:nvPicPr>
                  <pic:blipFill>
                    <a:blip r:embed="rId10"/>
                    <a:srcRect t="50000" b="0" l="0" r="0"/>
                    <a:stretch>
                      <a:fillRect/>
                    </a:stretch>
                  </pic:blipFill>
                  <pic:spPr>
                    <a:xfrm>
                      <a:off x="0" y="0"/>
                      <a:ext cx="5577840" cy="4572000"/>
                    </a:xfrm>
                    <a:prstGeom prst="rect"/>
                  </pic:spPr>
                </pic:pic>
              </a:graphicData>
            </a:graphic>
          </wp:inline>
        </w:drawing>
      </w:r>
    </w:p>
    <w:p>
      <w:pPr>
        <w:keepNext w:val="0"/>
        <w:jc w:val="center"/>
      </w:pPr>
      <w:r>
        <w:rPr>
          <w:rFonts w:ascii="Times New Roman" w:hAnsi="Times New Roman"/>
          <w:b w:val="0"/>
          <w:i/>
          <w:sz w:val="20"/>
        </w:rPr>
        <w:t>Figure 4b. Nutrition twin trace: estimated-effective values, risk wording, and disclaimer.</w:t>
      </w:r>
    </w:p>
    <w:p>
      <w:pPr>
        <w:spacing w:after="0"/>
      </w:pPr>
      <w:r>
        <w:br w:type="page"/>
      </w:r>
    </w:p>
    <w:p>
      <w:pPr>
        <w:jc w:val="center"/>
      </w:pPr>
      <w:r>
        <w:drawing>
          <wp:inline xmlns:a="http://schemas.openxmlformats.org/drawingml/2006/main" xmlns:pic="http://schemas.openxmlformats.org/drawingml/2006/picture">
            <wp:extent cx="5577840" cy="4222115"/>
            <wp:docPr id="6" name="Picture 6" title="Figure 5. Deterministic recommendation constraints, scores, rejection, and explanation." descr="Live recommendation trace showing accepted constraints, a rejected allergen candidate, objective scores, weights, and deterministic explanation."/>
            <wp:cNvGraphicFramePr>
              <a:graphicFrameLocks noChangeAspect="1"/>
            </wp:cNvGraphicFramePr>
            <a:graphic>
              <a:graphicData uri="http://schemas.openxmlformats.org/drawingml/2006/picture">
                <pic:pic>
                  <pic:nvPicPr>
                    <pic:cNvPr id="0" name="04-recommendation-trace.png"/>
                    <pic:cNvPicPr/>
                  </pic:nvPicPr>
                  <pic:blipFill>
                    <a:blip r:embed="rId11"/>
                    <a:stretch>
                      <a:fillRect/>
                    </a:stretch>
                  </pic:blipFill>
                  <pic:spPr>
                    <a:xfrm>
                      <a:off x="0" y="0"/>
                      <a:ext cx="5577840" cy="4222115"/>
                    </a:xfrm>
                    <a:prstGeom prst="rect"/>
                  </pic:spPr>
                </pic:pic>
              </a:graphicData>
            </a:graphic>
          </wp:inline>
        </w:drawing>
      </w:r>
    </w:p>
    <w:p>
      <w:pPr>
        <w:keepNext w:val="0"/>
        <w:jc w:val="center"/>
      </w:pPr>
      <w:r>
        <w:rPr>
          <w:rFonts w:ascii="Times New Roman" w:hAnsi="Times New Roman"/>
          <w:b w:val="0"/>
          <w:i/>
          <w:sz w:val="20"/>
        </w:rPr>
        <w:t>Figure 5. Deterministic recommendation constraints, scores, rejection, and explanation.</w:t>
      </w:r>
    </w:p>
    <w:p>
      <w:pPr>
        <w:spacing w:after="0"/>
      </w:pPr>
      <w:r>
        <w:br w:type="page"/>
      </w:r>
    </w:p>
    <w:p>
      <w:pPr>
        <w:jc w:val="center"/>
      </w:pPr>
      <w:r>
        <w:drawing>
          <wp:inline xmlns:a="http://schemas.openxmlformats.org/drawingml/2006/main" xmlns:pic="http://schemas.openxmlformats.org/drawingml/2006/picture">
            <wp:extent cx="5577840" cy="4572000"/>
            <wp:docPr id="7" name="Picture 7" title="Figure 6a. ChEBI substances and FoodOn mapping provenance." descr="Live Admin response showing ChEBI substances, FoodOn mappings, source versions, and review status."/>
            <wp:cNvGraphicFramePr>
              <a:graphicFrameLocks noChangeAspect="1"/>
            </wp:cNvGraphicFramePr>
            <a:graphic>
              <a:graphicData uri="http://schemas.openxmlformats.org/drawingml/2006/picture">
                <pic:pic>
                  <pic:nvPicPr>
                    <pic:cNvPr id="0" name="05-chemistry-evidence.png"/>
                    <pic:cNvPicPr/>
                  </pic:nvPicPr>
                  <pic:blipFill>
                    <a:blip r:embed="rId12"/>
                    <a:srcRect t="0" b="50000" l="0" r="0"/>
                    <a:stretch>
                      <a:fillRect/>
                    </a:stretch>
                  </pic:blipFill>
                  <pic:spPr>
                    <a:xfrm>
                      <a:off x="0" y="0"/>
                      <a:ext cx="5577840" cy="4572000"/>
                    </a:xfrm>
                    <a:prstGeom prst="rect"/>
                  </pic:spPr>
                </pic:pic>
              </a:graphicData>
            </a:graphic>
          </wp:inline>
        </w:drawing>
      </w:r>
    </w:p>
    <w:p>
      <w:pPr>
        <w:keepNext w:val="0"/>
        <w:jc w:val="center"/>
      </w:pPr>
      <w:r>
        <w:rPr>
          <w:rFonts w:ascii="Times New Roman" w:hAnsi="Times New Roman"/>
          <w:b w:val="0"/>
          <w:i/>
          <w:sz w:val="20"/>
        </w:rPr>
        <w:t>Figure 6a. ChEBI substances and FoodOn mapping provenance.</w:t>
      </w:r>
    </w:p>
    <w:p>
      <w:pPr>
        <w:spacing w:after="0"/>
      </w:pPr>
      <w:r>
        <w:br w:type="page"/>
      </w:r>
    </w:p>
    <w:p>
      <w:pPr>
        <w:jc w:val="center"/>
      </w:pPr>
      <w:r>
        <w:drawing>
          <wp:inline xmlns:a="http://schemas.openxmlformats.org/drawingml/2006/main" xmlns:pic="http://schemas.openxmlformats.org/drawingml/2006/picture">
            <wp:extent cx="5577840" cy="4572000"/>
            <wp:docPr id="8" name="Picture 8" title="Figure 6b. Qualitative evidence with calculation effect disabled." descr="Live Admin evidence response showing citation provenance, review status, and calculation effect set to false."/>
            <wp:cNvGraphicFramePr>
              <a:graphicFrameLocks noChangeAspect="1"/>
            </wp:cNvGraphicFramePr>
            <a:graphic>
              <a:graphicData uri="http://schemas.openxmlformats.org/drawingml/2006/picture">
                <pic:pic>
                  <pic:nvPicPr>
                    <pic:cNvPr id="0" name="05-chemistry-evidence.png"/>
                    <pic:cNvPicPr/>
                  </pic:nvPicPr>
                  <pic:blipFill>
                    <a:blip r:embed="rId12"/>
                    <a:srcRect t="50000" b="0" l="0" r="0"/>
                    <a:stretch>
                      <a:fillRect/>
                    </a:stretch>
                  </pic:blipFill>
                  <pic:spPr>
                    <a:xfrm>
                      <a:off x="0" y="0"/>
                      <a:ext cx="5577840" cy="4572000"/>
                    </a:xfrm>
                    <a:prstGeom prst="rect"/>
                  </pic:spPr>
                </pic:pic>
              </a:graphicData>
            </a:graphic>
          </wp:inline>
        </w:drawing>
      </w:r>
    </w:p>
    <w:p>
      <w:pPr>
        <w:keepNext w:val="0"/>
        <w:jc w:val="center"/>
      </w:pPr>
      <w:r>
        <w:rPr>
          <w:rFonts w:ascii="Times New Roman" w:hAnsi="Times New Roman"/>
          <w:b w:val="0"/>
          <w:i/>
          <w:sz w:val="20"/>
        </w:rPr>
        <w:t>Figure 6b. Qualitative evidence with calculation effect disabled.</w:t>
      </w:r>
    </w:p>
    <w:p>
      <w:pPr>
        <w:spacing w:after="0"/>
      </w:pPr>
      <w:r>
        <w:br w:type="page"/>
      </w:r>
    </w:p>
    <w:p>
      <w:pPr>
        <w:jc w:val="center"/>
      </w:pPr>
      <w:r>
        <w:drawing>
          <wp:inline xmlns:a="http://schemas.openxmlformats.org/drawingml/2006/main" xmlns:pic="http://schemas.openxmlformats.org/drawingml/2006/picture">
            <wp:extent cx="5577840" cy="1515209"/>
            <wp:docPr id="9" name="Picture 9" title="Figure 7. Actual PowerShell pytest and coverage result." descr="Native Windows PowerShell window showing 40 passing tests and 83.35 percent branch-aware coverage."/>
            <wp:cNvGraphicFramePr>
              <a:graphicFrameLocks noChangeAspect="1"/>
            </wp:cNvGraphicFramePr>
            <a:graphic>
              <a:graphicData uri="http://schemas.openxmlformats.org/drawingml/2006/picture">
                <pic:pic>
                  <pic:nvPicPr>
                    <pic:cNvPr id="0" name="06-automated-tests.png"/>
                    <pic:cNvPicPr/>
                  </pic:nvPicPr>
                  <pic:blipFill>
                    <a:blip r:embed="rId13"/>
                    <a:stretch>
                      <a:fillRect/>
                    </a:stretch>
                  </pic:blipFill>
                  <pic:spPr>
                    <a:xfrm>
                      <a:off x="0" y="0"/>
                      <a:ext cx="5577840" cy="1515209"/>
                    </a:xfrm>
                    <a:prstGeom prst="rect"/>
                  </pic:spPr>
                </pic:pic>
              </a:graphicData>
            </a:graphic>
          </wp:inline>
        </w:drawing>
      </w:r>
    </w:p>
    <w:p>
      <w:pPr>
        <w:keepNext w:val="0"/>
        <w:jc w:val="center"/>
      </w:pPr>
      <w:r>
        <w:rPr>
          <w:rFonts w:ascii="Times New Roman" w:hAnsi="Times New Roman"/>
          <w:b w:val="0"/>
          <w:i/>
          <w:sz w:val="20"/>
        </w:rPr>
        <w:t>Figure 7. Actual PowerShell pytest and coverage result.</w:t>
      </w:r>
    </w:p>
    <w:p>
      <w:pPr>
        <w:spacing w:after="0"/>
      </w:pPr>
      <w:r>
        <w:br w:type="page"/>
      </w:r>
    </w:p>
    <w:p>
      <w:pPr>
        <w:jc w:val="center"/>
      </w:pPr>
      <w:r>
        <w:drawing>
          <wp:inline xmlns:a="http://schemas.openxmlformats.org/drawingml/2006/main" xmlns:pic="http://schemas.openxmlformats.org/drawingml/2006/picture">
            <wp:extent cx="5577840" cy="3039730"/>
            <wp:docPr id="10" name="Picture 10" title="Figure 8. Actual PowerShell PostgreSQL row counts and public provenance records." descr="Native Windows PowerShell window showing live PostgreSQL aggregate row counts and public ChEBI provenance records through Docker Compose."/>
            <wp:cNvGraphicFramePr>
              <a:graphicFrameLocks noChangeAspect="1"/>
            </wp:cNvGraphicFramePr>
            <a:graphic>
              <a:graphicData uri="http://schemas.openxmlformats.org/drawingml/2006/picture">
                <pic:pic>
                  <pic:nvPicPr>
                    <pic:cNvPr id="0" name="07-database-state.png"/>
                    <pic:cNvPicPr/>
                  </pic:nvPicPr>
                  <pic:blipFill>
                    <a:blip r:embed="rId14"/>
                    <a:stretch>
                      <a:fillRect/>
                    </a:stretch>
                  </pic:blipFill>
                  <pic:spPr>
                    <a:xfrm>
                      <a:off x="0" y="0"/>
                      <a:ext cx="5577840" cy="3039730"/>
                    </a:xfrm>
                    <a:prstGeom prst="rect"/>
                  </pic:spPr>
                </pic:pic>
              </a:graphicData>
            </a:graphic>
          </wp:inline>
        </w:drawing>
      </w:r>
    </w:p>
    <w:p>
      <w:pPr>
        <w:keepNext w:val="0"/>
        <w:jc w:val="center"/>
      </w:pPr>
      <w:r>
        <w:rPr>
          <w:rFonts w:ascii="Times New Roman" w:hAnsi="Times New Roman"/>
          <w:b w:val="0"/>
          <w:i/>
          <w:sz w:val="20"/>
        </w:rPr>
        <w:t>Figure 8. Actual PowerShell PostgreSQL row counts and public provenance records.</w:t>
      </w:r>
    </w:p>
    <w:p w14:paraId="64D47935" w14:textId="178C233D" w:rsidR="00B04D4F" w:rsidRPr="007B4B5A" w:rsidRDefault="00B04D4F" w:rsidP="00B04D4F">
      <w:pPr>
        <w:keepNext/>
        <w:rPr>
          <w:b/>
          <w:bCs/>
        </w:rPr>
      </w:pPr>
      <w:r w:rsidRPr="007B4B5A">
        <w:rPr>
          <w:b/>
          <w:bCs/>
        </w:rPr>
        <w:t xml:space="preserve">7. </w:t>
      </w:r>
      <w:r w:rsidR="00744F18">
        <w:rPr>
          <w:b/>
          <w:bCs/>
        </w:rPr>
        <w:t>Challenge</w:t>
      </w:r>
      <w:r w:rsidRPr="007B4B5A">
        <w:rPr>
          <w:b/>
          <w:bCs/>
        </w:rPr>
        <w:t xml:space="preserve">s &amp; Next Steps </w:t>
      </w:r>
    </w:p>
    <w:p w14:paraId="5ADBFCDE" w14:textId="77777777" w:rsidR="00B04D4F" w:rsidRDefault="00B04D4F" w:rsidP="00B04D4F">
      <w:r>
        <w:rPr>
          <w:rFonts w:ascii="Times New Roman" w:hAnsi="Times New Roman"/>
          <w:b/>
          <w:sz w:val="24"/>
        </w:rPr>
        <w:t>Challenges Faced:</w:t>
      </w:r>
      <w:r>
        <w:rPr>
          <w:rFonts w:ascii="Times New Roman" w:hAnsi="Times New Roman"/>
          <w:b w:val="0"/>
          <w:sz w:val="24"/>
        </w:rPr>
        <w:t xml:space="preserve"> Authoritative ICMR-NIN/IFCT tables cannot be bundled until lawful machine-readable access and redistribution terms are resolved. Quantitative absorption modifiers remain inactive because reviewed qualitative evidence does not justify universal factors. Docker Desktop initially failed on stale AF_UNIX runtime sockets; the directories were preserved under recovery names and clean runtime sockets were recreated without a factory reset or data deletion. Flutter is not installed on the current host.</w:t>
      </w:r>
    </w:p>
    <w:p w14:paraId="181C0372" w14:textId="5BB0BFD6" w:rsidR="00B04D4F" w:rsidRDefault="00B04D4F" w:rsidP="00B04D4F">
      <w:r>
        <w:rPr>
          <w:rFonts w:ascii="Times New Roman" w:hAnsi="Times New Roman"/>
          <w:b/>
          <w:sz w:val="24"/>
        </w:rPr>
        <w:t>Pending Deliverables:</w:t>
      </w:r>
      <w:r>
        <w:rPr>
          <w:rFonts w:ascii="Times New Roman" w:hAnsi="Times New Roman"/>
          <w:b w:val="0"/>
          <w:sz w:val="24"/>
        </w:rPr>
        <w:t xml:space="preserve"> Lawful authoritative Indian data imports and expert-verified golden cases; reviewed quantitative absorption rules; materialized scheduled nutrition memory; persisted/API CP-SAT construction; pantry, grocery, substitutions, prices, shopping lists, and deterministic what-if simulation; full Neo4j evidence graph and Admin approval workflow; anonymized research exports; and the Flutter client. OCR, barcode, vision, external prices, LLM rephrasing, Next.js, Kubernetes, deployment, medication, diagnosis, and treatment functions remain unsupported or deferred.</w:t>
      </w:r>
    </w:p>
    <w:p w14:paraId="292C7867" w14:textId="3BBD6A4B" w:rsidR="001D27BA" w:rsidRDefault="00B04D4F" w:rsidP="00B04D4F">
      <w:pPr>
        <w:pBdr>
          <w:bottom w:val="single" w:sz="6" w:space="1" w:color="auto"/>
        </w:pBdr>
      </w:pPr>
      <w:r>
        <w:rPr>
          <w:rFonts w:ascii="Times New Roman" w:hAnsi="Times New Roman"/>
          <w:b/>
          <w:sz w:val="24"/>
        </w:rPr>
        <w:t>Timeline to Completion:</w:t>
      </w:r>
      <w:r>
        <w:rPr>
          <w:rFonts w:ascii="Times New Roman" w:hAnsi="Times New Roman"/>
          <w:b w:val="0"/>
          <w:sz w:val="24"/>
        </w:rPr>
        <w:t xml:space="preserve"> Weeks 1-3: lawful Indian data imports and reviewed golden cases. Weeks 4-6: evidence-governed absorption rules and scheduled Celery summaries. Weeks 7-10: persisted CP-SAT, pantry/grocery optimization, and deterministic simulation. Weeks 11-13: Neo4j/Admin workflows and anonymized export fixtures. Weeks 14-16: Flutter manual workflow, accessibility, end-to-end tests, hardening, and final reproducibility review.</w:t>
      </w:r>
    </w:p>
    <w:sectPr w:rsidR="007E19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90152"/>
    <w:multiLevelType w:val="hybridMultilevel"/>
    <w:tmpl w:val="A2FE7A2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62018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IwNDc1MDU0tTQ1NTFS0lEKTi0uzszPAykwrgUAkk5fjSwAAAA="/>
  </w:docVars>
  <w:rsids>
    <w:rsidRoot w:val="00A66885"/>
    <w:rsid w:val="00006485"/>
    <w:rsid w:val="000200E7"/>
    <w:rsid w:val="0017334E"/>
    <w:rsid w:val="001C5816"/>
    <w:rsid w:val="001D27BA"/>
    <w:rsid w:val="00280786"/>
    <w:rsid w:val="00360DF3"/>
    <w:rsid w:val="0042410E"/>
    <w:rsid w:val="00432657"/>
    <w:rsid w:val="00434529"/>
    <w:rsid w:val="00452222"/>
    <w:rsid w:val="00481A06"/>
    <w:rsid w:val="00482AE9"/>
    <w:rsid w:val="004900C6"/>
    <w:rsid w:val="00490457"/>
    <w:rsid w:val="00530A2C"/>
    <w:rsid w:val="0054118F"/>
    <w:rsid w:val="00543D81"/>
    <w:rsid w:val="00544949"/>
    <w:rsid w:val="00547346"/>
    <w:rsid w:val="00566519"/>
    <w:rsid w:val="005B590F"/>
    <w:rsid w:val="005C366B"/>
    <w:rsid w:val="00606EDD"/>
    <w:rsid w:val="0064593F"/>
    <w:rsid w:val="0066380A"/>
    <w:rsid w:val="006F604B"/>
    <w:rsid w:val="00704C28"/>
    <w:rsid w:val="00744F18"/>
    <w:rsid w:val="00763F82"/>
    <w:rsid w:val="007B4B5A"/>
    <w:rsid w:val="007E1944"/>
    <w:rsid w:val="0080245C"/>
    <w:rsid w:val="00822F38"/>
    <w:rsid w:val="00846E61"/>
    <w:rsid w:val="00847DBF"/>
    <w:rsid w:val="00922F3E"/>
    <w:rsid w:val="00953254"/>
    <w:rsid w:val="00A3556B"/>
    <w:rsid w:val="00A60E3C"/>
    <w:rsid w:val="00A66885"/>
    <w:rsid w:val="00A910AD"/>
    <w:rsid w:val="00B04D4F"/>
    <w:rsid w:val="00B12020"/>
    <w:rsid w:val="00B456A2"/>
    <w:rsid w:val="00BB2A4B"/>
    <w:rsid w:val="00BB2F65"/>
    <w:rsid w:val="00BD1A9D"/>
    <w:rsid w:val="00BF184A"/>
    <w:rsid w:val="00C27AAA"/>
    <w:rsid w:val="00C6233D"/>
    <w:rsid w:val="00CC0599"/>
    <w:rsid w:val="00CD2D1F"/>
    <w:rsid w:val="00CE0570"/>
    <w:rsid w:val="00DC08FF"/>
    <w:rsid w:val="00E224C0"/>
    <w:rsid w:val="00E45CDB"/>
    <w:rsid w:val="00E51EC8"/>
    <w:rsid w:val="00EE5782"/>
    <w:rsid w:val="00F06C68"/>
    <w:rsid w:val="00F5251D"/>
    <w:rsid w:val="00F81B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9B79"/>
  <w15:chartTrackingRefBased/>
  <w15:docId w15:val="{D8F1886A-EC60-48B7-9A28-DABCFF5CF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599"/>
    <w:pPr>
      <w:spacing w:line="360" w:lineRule="auto"/>
      <w:jc w:val="both"/>
    </w:pPr>
    <w:rPr>
      <w:rFonts w:ascii="Times New Roman" w:hAnsi="Times New Roman"/>
      <w:kern w:val="0"/>
      <w:sz w:val="24"/>
      <w14:ligatures w14:val="none"/>
    </w:rPr>
  </w:style>
  <w:style w:type="paragraph" w:styleId="Heading1">
    <w:name w:val="heading 1"/>
    <w:basedOn w:val="Normal"/>
    <w:next w:val="Normal"/>
    <w:link w:val="Heading1Char"/>
    <w:uiPriority w:val="9"/>
    <w:qFormat/>
    <w:rsid w:val="00A668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6688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8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8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6688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6688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6688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6688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85"/>
    <w:rPr>
      <w:rFonts w:asciiTheme="majorHAnsi" w:eastAsiaTheme="majorEastAsia" w:hAnsiTheme="majorHAnsi" w:cstheme="majorBidi"/>
      <w:color w:val="2F5496"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A66885"/>
    <w:rPr>
      <w:rFonts w:asciiTheme="majorHAnsi" w:eastAsiaTheme="majorEastAsia" w:hAnsiTheme="majorHAnsi" w:cstheme="majorBidi"/>
      <w:color w:val="2F5496" w:themeColor="accent1" w:themeShade="BF"/>
      <w:kern w:val="0"/>
      <w:sz w:val="32"/>
      <w:szCs w:val="32"/>
      <w14:ligatures w14:val="none"/>
    </w:rPr>
  </w:style>
  <w:style w:type="character" w:customStyle="1" w:styleId="Heading3Char">
    <w:name w:val="Heading 3 Char"/>
    <w:basedOn w:val="DefaultParagraphFont"/>
    <w:link w:val="Heading3"/>
    <w:uiPriority w:val="9"/>
    <w:rsid w:val="00A66885"/>
    <w:rPr>
      <w:rFonts w:eastAsiaTheme="majorEastAsia" w:cstheme="majorBidi"/>
      <w:color w:val="2F5496"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A66885"/>
    <w:rPr>
      <w:rFonts w:eastAsiaTheme="majorEastAsia" w:cstheme="majorBidi"/>
      <w:i/>
      <w:iCs/>
      <w:color w:val="2F5496" w:themeColor="accent1" w:themeShade="BF"/>
      <w:kern w:val="0"/>
      <w:sz w:val="24"/>
      <w14:ligatures w14:val="none"/>
    </w:rPr>
  </w:style>
  <w:style w:type="character" w:customStyle="1" w:styleId="Heading5Char">
    <w:name w:val="Heading 5 Char"/>
    <w:basedOn w:val="DefaultParagraphFont"/>
    <w:link w:val="Heading5"/>
    <w:uiPriority w:val="9"/>
    <w:semiHidden/>
    <w:rsid w:val="00A66885"/>
    <w:rPr>
      <w:rFonts w:eastAsiaTheme="majorEastAsia" w:cstheme="majorBidi"/>
      <w:color w:val="2F5496" w:themeColor="accent1" w:themeShade="BF"/>
      <w:kern w:val="0"/>
      <w:sz w:val="24"/>
      <w14:ligatures w14:val="none"/>
    </w:rPr>
  </w:style>
  <w:style w:type="character" w:customStyle="1" w:styleId="Heading6Char">
    <w:name w:val="Heading 6 Char"/>
    <w:basedOn w:val="DefaultParagraphFont"/>
    <w:link w:val="Heading6"/>
    <w:uiPriority w:val="9"/>
    <w:semiHidden/>
    <w:rsid w:val="00A66885"/>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A66885"/>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A66885"/>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A66885"/>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A66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85"/>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A6688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85"/>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A6688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85"/>
    <w:rPr>
      <w:rFonts w:ascii="Times New Roman" w:hAnsi="Times New Roman"/>
      <w:i/>
      <w:iCs/>
      <w:color w:val="404040" w:themeColor="text1" w:themeTint="BF"/>
      <w:kern w:val="0"/>
      <w:sz w:val="24"/>
      <w14:ligatures w14:val="none"/>
    </w:rPr>
  </w:style>
  <w:style w:type="paragraph" w:styleId="ListParagraph">
    <w:name w:val="List Paragraph"/>
    <w:basedOn w:val="Normal"/>
    <w:uiPriority w:val="34"/>
    <w:qFormat/>
    <w:rsid w:val="00A66885"/>
    <w:pPr>
      <w:ind w:left="720"/>
      <w:contextualSpacing/>
    </w:pPr>
  </w:style>
  <w:style w:type="character" w:styleId="IntenseEmphasis">
    <w:name w:val="Intense Emphasis"/>
    <w:basedOn w:val="DefaultParagraphFont"/>
    <w:uiPriority w:val="21"/>
    <w:qFormat/>
    <w:rsid w:val="00A66885"/>
    <w:rPr>
      <w:i/>
      <w:iCs/>
      <w:color w:val="2F5496" w:themeColor="accent1" w:themeShade="BF"/>
    </w:rPr>
  </w:style>
  <w:style w:type="paragraph" w:styleId="IntenseQuote">
    <w:name w:val="Intense Quote"/>
    <w:basedOn w:val="Normal"/>
    <w:next w:val="Normal"/>
    <w:link w:val="IntenseQuoteChar"/>
    <w:uiPriority w:val="30"/>
    <w:qFormat/>
    <w:rsid w:val="00A668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85"/>
    <w:rPr>
      <w:rFonts w:ascii="Times New Roman" w:hAnsi="Times New Roman"/>
      <w:i/>
      <w:iCs/>
      <w:color w:val="2F5496" w:themeColor="accent1" w:themeShade="BF"/>
      <w:kern w:val="0"/>
      <w:sz w:val="24"/>
      <w14:ligatures w14:val="none"/>
    </w:rPr>
  </w:style>
  <w:style w:type="character" w:styleId="IntenseReference">
    <w:name w:val="Intense Reference"/>
    <w:basedOn w:val="DefaultParagraphFont"/>
    <w:uiPriority w:val="32"/>
    <w:qFormat/>
    <w:rsid w:val="00A66885"/>
    <w:rPr>
      <w:b/>
      <w:bCs/>
      <w:smallCaps/>
      <w:color w:val="2F5496" w:themeColor="accent1" w:themeShade="BF"/>
      <w:spacing w:val="5"/>
    </w:rPr>
  </w:style>
  <w:style w:type="character" w:styleId="Strong">
    <w:name w:val="Strong"/>
    <w:basedOn w:val="DefaultParagraphFont"/>
    <w:uiPriority w:val="22"/>
    <w:qFormat/>
    <w:rsid w:val="00BF184A"/>
    <w:rPr>
      <w:b/>
      <w:bCs/>
    </w:rPr>
  </w:style>
  <w:style w:type="table" w:styleId="TableGrid">
    <w:name w:val="Table Grid"/>
    <w:basedOn w:val="TableNormal"/>
    <w:uiPriority w:val="39"/>
    <w:rsid w:val="00BF1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2223</TotalTime>
  <Pages>2</Pages>
  <Words>307</Words>
  <Characters>1750</Characters>
  <Application>Microsoft Office Word</Application>
  <DocSecurity>0</DocSecurity>
  <Lines>14</Lines>
  <Paragraphs>4</Paragraphs>
  <ScaleCrop>false</ScaleCrop>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NutriTwin - Software Engineering Project Report</dc:title>
  <dc:subject>Verified current implementation</dc:subject>
  <dc:creator>K. Sarthak</dc:creator>
  <cp:keywords/>
  <dc:description>Built from the supplied institutional report template.</dc:description>
  <cp:lastModifiedBy>Softya Sebastian</cp:lastModifiedBy>
  <cp:revision>51</cp:revision>
  <dcterms:created xsi:type="dcterms:W3CDTF">2026-08-24T03:58:00Z</dcterms:created>
  <dcterms:modified xsi:type="dcterms:W3CDTF">2026-08-26T11:49:00Z</dcterms:modified>
</cp:coreProperties>
</file>