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4C5DE" w14:textId="755BE899" w:rsidR="00F81B6E" w:rsidRPr="00BB2F65" w:rsidRDefault="00547346" w:rsidP="00BB2F65">
      <w:pPr>
        <w:keepNext/>
        <w:widowControl/>
        <w:jc w:val="center"/>
        <w:rPr>
          <w:b/>
          <w:bCs/>
          <w:sz w:val="32"/>
          <w:szCs w:val="28"/>
        </w:rPr>
      </w:pPr>
      <w:r>
        <w:rPr>
          <w:rFonts w:ascii="Times New Roman" w:hAnsi="Times New Roman"/>
          <w:b/>
          <w:sz w:val="32"/>
        </w:rPr>
        <w:t>Software Engineering Project: Review-1 Report</w:t>
      </w:r>
    </w:p>
    <w:p>
      <w:pPr>
        <w:keepNext/>
        <w:widowControl/>
        <w:jc w:val="center"/>
      </w:pPr>
      <w:r>
        <w:rPr>
          <w:rFonts w:ascii="Times New Roman" w:hAnsi="Times New Roman"/>
          <w:b/>
          <w:sz w:val="28"/>
        </w:rPr>
        <w:t>NutriTwin - Consolidated Verified 30% Implementation</w:t>
      </w:r>
    </w:p>
    <w:p>
      <w:pPr>
        <w:widowControl/>
        <w:jc w:val="center"/>
      </w:pPr>
      <w:r>
        <w:rPr>
          <w:rFonts w:ascii="Times New Roman" w:hAnsi="Times New Roman"/>
          <w:i/>
          <w:sz w:val="21"/>
        </w:rPr>
        <w:t>Scope boundary: this report documents only the verified foundation and backend vertical slice assessed as the first 30% of the planned project. It does not claim completion of the full platform.</w:t>
      </w:r>
    </w:p>
    <w:p w14:paraId="2E7829F4" w14:textId="6D726C92" w:rsidR="00E45CDB" w:rsidRPr="0054118F" w:rsidRDefault="00E45CDB" w:rsidP="00E45CDB">
      <w:pPr>
        <w:keepNext/>
        <w:widowControl/>
        <w:jc w:val="left"/>
        <w:rPr>
          <w:b/>
          <w:bCs/>
        </w:rPr>
      </w:pPr>
      <w:r>
        <w:rPr>
          <w:rFonts w:ascii="Times New Roman" w:hAnsi="Times New Roman"/>
          <w:b/>
          <w:sz w:val="24"/>
        </w:rPr>
        <w:t>1. Project &amp; Team Information</w:t>
      </w:r>
    </w:p>
    <w:p w14:paraId="52EE4DAE" w14:textId="77777777" w:rsidR="00E45CDB" w:rsidRPr="0054118F" w:rsidRDefault="00E45CDB" w:rsidP="00E45CDB">
      <w:pPr>
        <w:widowControl/>
        <w:jc w:val="left"/>
        <w:rPr>
          <w:b/>
          <w:bCs/>
        </w:rPr>
      </w:pPr>
      <w:r>
        <w:rPr>
          <w:rFonts w:ascii="Times New Roman" w:hAnsi="Times New Roman"/>
          <w:b/>
          <w:sz w:val="24"/>
        </w:rPr>
        <w:t xml:space="preserve">Project Title: </w:t>
      </w:r>
      <w:r>
        <w:rPr>
          <w:rFonts w:ascii="Times New Roman" w:hAnsi="Times New Roman"/>
          <w:b w:val="0"/>
          <w:sz w:val="24"/>
        </w:rPr>
        <w:t>NutriTwin - An Explainable Personalized Nutrition Digital Twin with Multi-Objective RDA Optimization and Dietary Simulation</w:t>
      </w:r>
    </w:p>
    <w:p w14:paraId="1CC5E7BA" w14:textId="77777777" w:rsidR="0054118F" w:rsidRDefault="00E45CDB" w:rsidP="00E45CDB">
      <w:pPr>
        <w:widowControl/>
        <w:jc w:val="left"/>
      </w:pPr>
      <w:r>
        <w:rPr>
          <w:rFonts w:ascii="Times New Roman" w:hAnsi="Times New Roman"/>
          <w:b/>
          <w:sz w:val="24"/>
        </w:rPr>
        <w:t>Team Information</w:t>
      </w:r>
      <w:r>
        <w:rPr>
          <w:rFonts w:ascii="Times New Roman" w:hAnsi="Times New Roman"/>
          <w:b w:val="0"/>
          <w:sz w:val="24"/>
        </w:rPr>
        <w:t>:</w:t>
      </w:r>
    </w:p>
    <w:p w14:paraId="40C9D613" w14:textId="00E643DB" w:rsidR="00E45CDB" w:rsidRDefault="00E45CDB" w:rsidP="00E45CDB">
      <w:pPr>
        <w:widowControl/>
        <w:jc w:val="left"/>
      </w:pPr>
      <w:r>
        <w:rPr>
          <w:rFonts w:ascii="Times New Roman" w:hAnsi="Times New Roman"/>
          <w:b/>
          <w:sz w:val="24"/>
        </w:rPr>
        <w:t xml:space="preserve">Student Name: </w:t>
      </w:r>
      <w:r>
        <w:rPr>
          <w:rFonts w:ascii="Times New Roman" w:hAnsi="Times New Roman"/>
          <w:b w:val="0"/>
          <w:sz w:val="24"/>
        </w:rPr>
        <w:t>[ENTER STUDENT NAME]</w:t>
      </w:r>
      <w:r>
        <w:rPr>
          <w:rFonts w:ascii="Times New Roman" w:hAnsi="Times New Roman"/>
          <w:b/>
          <w:sz w:val="24"/>
        </w:rPr>
        <w:t xml:space="preserve">    Roll Number: </w:t>
      </w:r>
      <w:r>
        <w:rPr>
          <w:rFonts w:ascii="Times New Roman" w:hAnsi="Times New Roman"/>
          <w:b w:val="0"/>
          <w:sz w:val="24"/>
        </w:rPr>
        <w:t>[ENTER ROLL NUMBER]</w:t>
      </w:r>
    </w:p>
    <w:p>
      <w:pPr>
        <w:widowControl/>
        <w:jc w:val="left"/>
      </w:pPr>
      <w:r>
        <w:rPr>
          <w:rFonts w:ascii="Times New Roman" w:hAnsi="Times New Roman"/>
          <w:b/>
          <w:sz w:val="24"/>
        </w:rPr>
        <w:t xml:space="preserve">Team/Role: </w:t>
      </w:r>
      <w:r>
        <w:rPr>
          <w:rFonts w:ascii="Times New Roman" w:hAnsi="Times New Roman"/>
          <w:b w:val="0"/>
          <w:sz w:val="24"/>
        </w:rPr>
        <w:t>Individual student project (confirm if different); architecture, nutrition informatics, data engineering, optimization, backend development, testing, security review, and documentation.</w:t>
      </w:r>
    </w:p>
    <w:p>
      <w:pPr>
        <w:widowControl/>
        <w:jc w:val="left"/>
      </w:pPr>
      <w:r>
        <w:rPr>
          <w:rFonts w:ascii="Times New Roman" w:hAnsi="Times New Roman"/>
          <w:b/>
          <w:sz w:val="24"/>
        </w:rPr>
        <w:t xml:space="preserve">Review Milestone: </w:t>
      </w:r>
      <w:r>
        <w:rPr>
          <w:rFonts w:ascii="Times New Roman" w:hAnsi="Times New Roman"/>
          <w:b w:val="0"/>
          <w:sz w:val="24"/>
        </w:rPr>
        <w:t>Review-1 - verified 30% implementation boundary.</w:t>
      </w:r>
    </w:p>
    <w:p w14:paraId="607038E0" w14:textId="4CA97E42" w:rsidR="00547346" w:rsidRDefault="00E45CDB" w:rsidP="00E45CDB">
      <w:pPr>
        <w:widowControl/>
        <w:jc w:val="left"/>
      </w:pPr>
      <w:r>
        <w:rPr>
          <w:rFonts w:ascii="Times New Roman" w:hAnsi="Times New Roman"/>
          <w:b/>
          <w:sz w:val="24"/>
        </w:rPr>
        <w:t xml:space="preserve">Repository Link: </w:t>
      </w:r>
      <w:r>
        <w:rPr>
          <w:rFonts w:ascii="Times New Roman" w:hAnsi="Times New Roman"/>
          <w:b w:val="0"/>
          <w:sz w:val="24"/>
        </w:rPr>
        <w:t>https://github.com/Kan-sar/NutriTwin (private; reviewer access must be granted)</w:t>
      </w:r>
    </w:p>
    <w:p w14:paraId="5B03A5EA" w14:textId="77777777" w:rsidR="000200E7" w:rsidRPr="0054118F" w:rsidRDefault="000200E7" w:rsidP="000200E7">
      <w:pPr>
        <w:keepNext/>
        <w:widowControl/>
        <w:jc w:val="left"/>
        <w:rPr>
          <w:b/>
          <w:bCs/>
        </w:rPr>
      </w:pPr>
      <w:r>
        <w:rPr>
          <w:rFonts w:ascii="Times New Roman" w:hAnsi="Times New Roman"/>
          <w:b/>
          <w:sz w:val="24"/>
        </w:rPr>
        <w:t>2. Project Overview</w:t>
      </w:r>
    </w:p>
    <w:p w14:paraId="079A5284" w14:textId="77777777" w:rsidR="0054118F" w:rsidRDefault="000200E7" w:rsidP="000200E7">
      <w:pPr>
        <w:widowControl/>
        <w:jc w:val="left"/>
      </w:pPr>
      <w:r>
        <w:rPr>
          <w:rFonts w:ascii="Times New Roman" w:hAnsi="Times New Roman"/>
          <w:b/>
          <w:sz w:val="24"/>
        </w:rPr>
        <w:t>Problem Statement</w:t>
      </w:r>
      <w:r>
        <w:rPr>
          <w:rFonts w:ascii="Times New Roman" w:hAnsi="Times New Roman"/>
          <w:b w:val="0"/>
          <w:sz w:val="24"/>
        </w:rPr>
        <w:t>:</w:t>
      </w:r>
    </w:p>
    <w:p w14:paraId="5C6EA970" w14:textId="6579AACC" w:rsidR="000200E7" w:rsidRDefault="000200E7" w:rsidP="000200E7">
      <w:pPr>
        <w:widowControl/>
        <w:jc w:val="left"/>
      </w:pPr>
      <w:r>
        <w:rPr>
          <w:rFonts w:ascii="Times New Roman" w:hAnsi="Times New Roman"/>
          <w:b w:val="0"/>
          <w:sz w:val="24"/>
        </w:rPr>
        <w:t>Conventional calorie trackers often summarize logged food without preserving scientific source versions, separating consumed intake from estimated effective intake, or explaining how persistent nutrient gaps lead to recommendations. Indian users additionally need targets governed by ICMR-NIN references rather than silently substituted international defaults. The engineering problem is to maintain a reproducible longitudinal nutrition state while avoiding diagnostic, clinical, or biologically overstated claims.</w:t>
      </w:r>
    </w:p>
    <w:p>
      <w:pPr>
        <w:widowControl/>
        <w:jc w:val="left"/>
      </w:pPr>
      <w:r>
        <w:rPr>
          <w:rFonts w:ascii="Times New Roman" w:hAnsi="Times New Roman"/>
          <w:b/>
          <w:sz w:val="24"/>
        </w:rPr>
        <w:t xml:space="preserve">Core Objective: </w:t>
      </w:r>
      <w:r>
        <w:rPr>
          <w:rFonts w:ascii="Times New Roman" w:hAnsi="Times New Roman"/>
          <w:b w:val="0"/>
          <w:sz w:val="24"/>
        </w:rPr>
        <w:t>Build a non-clinical, research-grade prototype that converts manual ingredient-level meal logs into versioned targets, consumed/effective nutrient traces, daily and rolling coverage, transparent intake-gap indications, and constraint-aware meal recommendations.</w:t>
      </w:r>
    </w:p>
    <w:p w14:paraId="5F55E24F" w14:textId="77777777" w:rsidR="0054118F" w:rsidRDefault="000200E7" w:rsidP="000200E7">
      <w:pPr>
        <w:widowControl/>
        <w:jc w:val="left"/>
      </w:pPr>
      <w:r>
        <w:rPr>
          <w:rFonts w:ascii="Times New Roman" w:hAnsi="Times New Roman"/>
          <w:b/>
          <w:sz w:val="24"/>
        </w:rPr>
        <w:t>Proposed Solution</w:t>
      </w:r>
      <w:r>
        <w:rPr>
          <w:rFonts w:ascii="Times New Roman" w:hAnsi="Times New Roman"/>
          <w:b w:val="0"/>
          <w:sz w:val="24"/>
        </w:rPr>
        <w:t>:</w:t>
      </w:r>
    </w:p>
    <w:p w14:paraId="19344E92" w14:textId="0DAD76E7" w:rsidR="000200E7" w:rsidRDefault="0054118F" w:rsidP="000200E7">
      <w:pPr>
        <w:widowControl/>
        <w:jc w:val="left"/>
      </w:pPr>
      <w:r>
        <w:rPr>
          <w:rFonts w:ascii="Times New Roman" w:hAnsi="Times New Roman"/>
          <w:b w:val="0"/>
          <w:sz w:val="24"/>
        </w:rPr>
        <w:t>NutriTwin is a modular FastAPI application with pure deterministic nutrition and optimization logic. PostgreSQL is the intended authoritative history store, while Redis/Celery and Neo4j are optional supporting services. The implemented Review-1 slice lets a Student or Adult authenticate, consent, create a profile, obtain a provisional synthetic target snapshot, search curated foods, log ingredient-level meals, view daily/7-day/30-day twin states, inspect a deterministic risk trace, and receive ranked explanations. The complete workflow operates without an LLM.</w:t>
      </w:r>
    </w:p>
    <w:p>
      <w:pPr>
        <w:widowControl/>
        <w:jc w:val="left"/>
      </w:pPr>
      <w:r>
        <w:rPr>
          <w:rFonts w:ascii="Times New Roman" w:hAnsi="Times New Roman"/>
          <w:b/>
          <w:sz w:val="24"/>
        </w:rPr>
        <w:t xml:space="preserve">Safety Boundary: </w:t>
      </w:r>
      <w:r>
        <w:rPr>
          <w:rFonts w:ascii="Times New Roman" w:hAnsi="Times New Roman"/>
          <w:b w:val="0"/>
          <w:sz w:val="24"/>
        </w:rPr>
        <w:t>The prototype does not diagnose deficiency or disease, measure biological absorption, prescribe supplements, or recommend medication changes. Real Indian reference values are not yet bundled because lawful redistribution and expert verification remain unresolved.</w:t>
      </w:r>
    </w:p>
    <w:p w14:paraId="0DDF3C20" w14:textId="717E6596" w:rsidR="00C6233D" w:rsidRPr="0064593F" w:rsidRDefault="00C6233D" w:rsidP="00C6233D">
      <w:pPr>
        <w:keepNext/>
        <w:widowControl/>
        <w:jc w:val="left"/>
        <w:rPr>
          <w:b/>
          <w:bCs/>
        </w:rPr>
      </w:pPr>
      <w:r>
        <w:rPr>
          <w:rFonts w:ascii="Times New Roman" w:hAnsi="Times New Roman"/>
          <w:b/>
          <w:sz w:val="24"/>
        </w:rPr>
        <w:t>3. Review of Related Works</w:t>
      </w:r>
    </w:p>
    <w:p w14:paraId="032AFB5A" w14:textId="2C558CAF" w:rsidR="00C6233D" w:rsidRDefault="00C6233D" w:rsidP="00C6233D">
      <w:pPr>
        <w:widowControl/>
        <w:jc w:val="left"/>
      </w:pPr>
      <w:r>
        <w:rPr>
          <w:rFonts w:ascii="Times New Roman" w:hAnsi="Times New Roman"/>
          <w:b/>
          <w:sz w:val="24"/>
        </w:rPr>
        <w:t>Existing Solutions and Research</w:t>
      </w:r>
      <w:r>
        <w:rPr>
          <w:rFonts w:ascii="Times New Roman" w:hAnsi="Times New Roman"/>
          <w:b w:val="0"/>
          <w:sz w:val="24"/>
        </w:rPr>
        <w:t>: five representative works were reviewed against the project objective.</w:t>
      </w:r>
    </w:p>
    <w:tbl>
      <w:tblPr>
        <w:tblStyle w:val="TableGrid"/>
        <w:tblW w:type="dxa" w:w="9026"/>
        <w:jc w:val="left"/>
        <w:tblLayout w:type="fixed"/>
        <w:tblLook w:firstColumn="1" w:firstRow="1" w:lastColumn="0" w:lastRow="0" w:noHBand="0" w:noVBand="1" w:val="04A0"/>
        <w:tblInd w:type="dxa" w:w="120"/>
      </w:tblPr>
      <w:tblGrid>
        <w:gridCol w:w="1625"/>
        <w:gridCol w:w="3340"/>
        <w:gridCol w:w="4061"/>
      </w:tblGrid>
      <w:tr>
        <w:trPr>
          <w:tblHeader w:val="true"/>
        </w:trPr>
        <w:tc>
          <w:tcPr>
            <w:tcW w:type="dxa" w:w="1625"/>
            <w:tcMar>
              <w:top w:w="80" w:type="dxa"/>
              <w:bottom w:w="80" w:type="dxa"/>
              <w:start w:w="120" w:type="dxa"/>
              <w:end w:w="120" w:type="dxa"/>
            </w:tcMar>
            <w:vAlign w:val="center"/>
            <w:shd w:fill="D9E1F2"/>
          </w:tcPr>
          <w:p>
            <w:pPr>
              <w:spacing w:after="0" w:line="252" w:lineRule="auto"/>
              <w:jc w:val="left"/>
            </w:pPr>
            <w:r>
              <w:rPr>
                <w:rFonts w:ascii="Times New Roman" w:hAnsi="Times New Roman"/>
                <w:b/>
                <w:sz w:val="19"/>
              </w:rPr>
              <w:t>Related work</w:t>
            </w:r>
          </w:p>
        </w:tc>
        <w:tc>
          <w:tcPr>
            <w:tcW w:type="dxa" w:w="3340"/>
            <w:tcMar>
              <w:top w:w="80" w:type="dxa"/>
              <w:bottom w:w="80" w:type="dxa"/>
              <w:start w:w="120" w:type="dxa"/>
              <w:end w:w="120" w:type="dxa"/>
            </w:tcMar>
            <w:vAlign w:val="center"/>
            <w:shd w:fill="D9E1F2"/>
          </w:tcPr>
          <w:p>
            <w:pPr>
              <w:spacing w:after="0" w:line="252" w:lineRule="auto"/>
              <w:jc w:val="left"/>
            </w:pPr>
            <w:r>
              <w:rPr>
                <w:rFonts w:ascii="Times New Roman" w:hAnsi="Times New Roman"/>
                <w:b/>
                <w:sz w:val="19"/>
              </w:rPr>
              <w:t>Relevant contribution</w:t>
            </w:r>
          </w:p>
        </w:tc>
        <w:tc>
          <w:tcPr>
            <w:tcW w:type="dxa" w:w="4061"/>
            <w:tcMar>
              <w:top w:w="80" w:type="dxa"/>
              <w:bottom w:w="80" w:type="dxa"/>
              <w:start w:w="120" w:type="dxa"/>
              <w:end w:w="120" w:type="dxa"/>
            </w:tcMar>
            <w:vAlign w:val="center"/>
            <w:shd w:fill="D9E1F2"/>
          </w:tcPr>
          <w:p>
            <w:pPr>
              <w:spacing w:after="0" w:line="252" w:lineRule="auto"/>
              <w:jc w:val="left"/>
            </w:pPr>
            <w:r>
              <w:rPr>
                <w:rFonts w:ascii="Times New Roman" w:hAnsi="Times New Roman"/>
                <w:b/>
                <w:sz w:val="19"/>
              </w:rPr>
              <w:t>Gap addressed by NutriTwin</w:t>
            </w:r>
          </w:p>
        </w:tc>
      </w:tr>
      <w:tr>
        <w:trPr/>
        <w:tc>
          <w:tcPr>
            <w:tcW w:type="dxa" w:w="1625"/>
            <w:tcMar>
              <w:top w:w="80" w:type="dxa"/>
              <w:bottom w:w="80" w:type="dxa"/>
              <w:start w:w="120" w:type="dxa"/>
              <w:end w:w="120" w:type="dxa"/>
            </w:tcMar>
            <w:vAlign w:val="center"/>
          </w:tcPr>
          <w:p>
            <w:pPr>
              <w:spacing w:after="0" w:line="252" w:lineRule="auto"/>
              <w:jc w:val="left"/>
            </w:pPr>
            <w:r>
              <w:rPr>
                <w:rFonts w:ascii="Times New Roman" w:hAnsi="Times New Roman"/>
                <w:sz w:val="19"/>
              </w:rPr>
              <w:t>Cronometer</w:t>
            </w:r>
          </w:p>
        </w:tc>
        <w:tc>
          <w:tcPr>
            <w:tcW w:type="dxa" w:w="3340"/>
            <w:tcMar>
              <w:top w:w="80" w:type="dxa"/>
              <w:bottom w:w="80" w:type="dxa"/>
              <w:start w:w="120" w:type="dxa"/>
              <w:end w:w="120" w:type="dxa"/>
            </w:tcMar>
            <w:vAlign w:val="center"/>
          </w:tcPr>
          <w:p>
            <w:pPr>
              <w:spacing w:after="0" w:line="252" w:lineRule="auto"/>
              <w:jc w:val="left"/>
            </w:pPr>
            <w:r>
              <w:rPr>
                <w:rFonts w:ascii="Times New Roman" w:hAnsi="Times New Roman"/>
                <w:sz w:val="19"/>
              </w:rPr>
              <w:t>Food, recipe, barcode, device, and detailed nutrient tracking; its public feature page advertises tracking up to 84 nutrients.</w:t>
            </w:r>
          </w:p>
        </w:tc>
        <w:tc>
          <w:tcPr>
            <w:tcW w:type="dxa" w:w="4061"/>
            <w:tcMar>
              <w:top w:w="80" w:type="dxa"/>
              <w:bottom w:w="80" w:type="dxa"/>
              <w:start w:w="120" w:type="dxa"/>
              <w:end w:w="120" w:type="dxa"/>
            </w:tcMar>
            <w:vAlign w:val="center"/>
          </w:tcPr>
          <w:p>
            <w:pPr>
              <w:spacing w:after="0" w:line="252" w:lineRule="auto"/>
              <w:jc w:val="left"/>
            </w:pPr>
            <w:r>
              <w:rPr>
                <w:rFonts w:ascii="Times New Roman" w:hAnsi="Times New Roman"/>
                <w:sz w:val="19"/>
              </w:rPr>
              <w:t>NutriTwin makes versioned scientific provenance, deterministic calculation traces, Indian-reference governance, and consumed/effective separation explicit research requirements.</w:t>
            </w:r>
          </w:p>
        </w:tc>
      </w:tr>
      <w:tr>
        <w:trPr/>
        <w:tc>
          <w:tcPr>
            <w:tcW w:type="dxa" w:w="1625"/>
            <w:tcMar>
              <w:top w:w="80" w:type="dxa"/>
              <w:bottom w:w="80" w:type="dxa"/>
              <w:start w:w="120" w:type="dxa"/>
              <w:end w:w="120" w:type="dxa"/>
            </w:tcMar>
            <w:vAlign w:val="center"/>
          </w:tcPr>
          <w:p>
            <w:pPr>
              <w:spacing w:after="0" w:line="252" w:lineRule="auto"/>
              <w:jc w:val="left"/>
            </w:pPr>
            <w:r>
              <w:rPr>
                <w:rFonts w:ascii="Times New Roman" w:hAnsi="Times New Roman"/>
                <w:sz w:val="19"/>
              </w:rPr>
              <w:t>HealthifyMe</w:t>
            </w:r>
          </w:p>
        </w:tc>
        <w:tc>
          <w:tcPr>
            <w:tcW w:type="dxa" w:w="3340"/>
            <w:tcMar>
              <w:top w:w="80" w:type="dxa"/>
              <w:bottom w:w="80" w:type="dxa"/>
              <w:start w:w="120" w:type="dxa"/>
              <w:end w:w="120" w:type="dxa"/>
            </w:tcMar>
            <w:vAlign w:val="center"/>
          </w:tcPr>
          <w:p>
            <w:pPr>
              <w:spacing w:after="0" w:line="252" w:lineRule="auto"/>
              <w:jc w:val="left"/>
            </w:pPr>
            <w:r>
              <w:rPr>
                <w:rFonts w:ascii="Times New Roman" w:hAnsi="Times New Roman"/>
                <w:sz w:val="19"/>
              </w:rPr>
              <w:t>Public features include meal logging, macro checks, meal-photo input, personalized plans, coaching, body metrics, and timeline/history.</w:t>
            </w:r>
          </w:p>
        </w:tc>
        <w:tc>
          <w:tcPr>
            <w:tcW w:type="dxa" w:w="4061"/>
            <w:tcMar>
              <w:top w:w="80" w:type="dxa"/>
              <w:bottom w:w="80" w:type="dxa"/>
              <w:start w:w="120" w:type="dxa"/>
              <w:end w:w="120" w:type="dxa"/>
            </w:tcMar>
            <w:vAlign w:val="center"/>
          </w:tcPr>
          <w:p>
            <w:pPr>
              <w:spacing w:after="0" w:line="252" w:lineRule="auto"/>
              <w:jc w:val="left"/>
            </w:pPr>
            <w:r>
              <w:rPr>
                <w:rFonts w:ascii="Times New Roman" w:hAnsi="Times New Roman"/>
                <w:sz w:val="19"/>
              </w:rPr>
              <w:t>NutriTwin narrows the Review-1 core to reproducible manual logging and explainable non-clinical computations; optional photo recognition and coaching are deliberately deferred.</w:t>
            </w:r>
          </w:p>
        </w:tc>
      </w:tr>
      <w:tr>
        <w:trPr/>
        <w:tc>
          <w:tcPr>
            <w:tcW w:type="dxa" w:w="1625"/>
            <w:tcMar>
              <w:top w:w="80" w:type="dxa"/>
              <w:bottom w:w="80" w:type="dxa"/>
              <w:start w:w="120" w:type="dxa"/>
              <w:end w:w="120" w:type="dxa"/>
            </w:tcMar>
            <w:vAlign w:val="center"/>
          </w:tcPr>
          <w:p>
            <w:pPr>
              <w:spacing w:after="0" w:line="252" w:lineRule="auto"/>
              <w:jc w:val="left"/>
            </w:pPr>
            <w:r>
              <w:rPr>
                <w:rFonts w:ascii="Times New Roman" w:hAnsi="Times New Roman"/>
                <w:sz w:val="19"/>
              </w:rPr>
              <w:t>Food4Me RCT</w:t>
            </w:r>
          </w:p>
        </w:tc>
        <w:tc>
          <w:tcPr>
            <w:tcW w:type="dxa" w:w="3340"/>
            <w:tcMar>
              <w:top w:w="80" w:type="dxa"/>
              <w:bottom w:w="80" w:type="dxa"/>
              <w:start w:w="120" w:type="dxa"/>
              <w:end w:w="120" w:type="dxa"/>
            </w:tcMar>
            <w:vAlign w:val="center"/>
          </w:tcPr>
          <w:p>
            <w:pPr>
              <w:spacing w:after="0" w:line="252" w:lineRule="auto"/>
              <w:jc w:val="left"/>
            </w:pPr>
            <w:r>
              <w:rPr>
                <w:rFonts w:ascii="Times New Roman" w:hAnsi="Times New Roman"/>
                <w:sz w:val="19"/>
              </w:rPr>
              <w:t>A six-month, 1,607-participant European randomized trial evaluated Internet-delivered personalized nutrition and found modest improvements in dietary behavior.</w:t>
            </w:r>
          </w:p>
        </w:tc>
        <w:tc>
          <w:tcPr>
            <w:tcW w:type="dxa" w:w="4061"/>
            <w:tcMar>
              <w:top w:w="80" w:type="dxa"/>
              <w:bottom w:w="80" w:type="dxa"/>
              <w:start w:w="120" w:type="dxa"/>
              <w:end w:w="120" w:type="dxa"/>
            </w:tcMar>
            <w:vAlign w:val="center"/>
          </w:tcPr>
          <w:p>
            <w:pPr>
              <w:spacing w:after="0" w:line="252" w:lineRule="auto"/>
              <w:jc w:val="left"/>
            </w:pPr>
            <w:r>
              <w:rPr>
                <w:rFonts w:ascii="Times New Roman" w:hAnsi="Times New Roman"/>
                <w:sz w:val="19"/>
              </w:rPr>
              <w:t>The evidence supports personalization, but the study is European and intervention-focused rather than an Indian RDA/EAR-governed, ingredient-level longitudinal software twin.</w:t>
            </w:r>
          </w:p>
        </w:tc>
      </w:tr>
      <w:tr>
        <w:trPr/>
        <w:tc>
          <w:tcPr>
            <w:tcW w:type="dxa" w:w="1625"/>
            <w:tcMar>
              <w:top w:w="80" w:type="dxa"/>
              <w:bottom w:w="80" w:type="dxa"/>
              <w:start w:w="120" w:type="dxa"/>
              <w:end w:w="120" w:type="dxa"/>
            </w:tcMar>
            <w:vAlign w:val="center"/>
          </w:tcPr>
          <w:p>
            <w:pPr>
              <w:spacing w:after="0" w:line="252" w:lineRule="auto"/>
              <w:jc w:val="left"/>
            </w:pPr>
            <w:r>
              <w:rPr>
                <w:rFonts w:ascii="Times New Roman" w:hAnsi="Times New Roman"/>
                <w:sz w:val="19"/>
              </w:rPr>
              <w:t>eNutri</w:t>
            </w:r>
          </w:p>
        </w:tc>
        <w:tc>
          <w:tcPr>
            <w:tcW w:type="dxa" w:w="3340"/>
            <w:tcMar>
              <w:top w:w="80" w:type="dxa"/>
              <w:bottom w:w="80" w:type="dxa"/>
              <w:start w:w="120" w:type="dxa"/>
              <w:end w:w="120" w:type="dxa"/>
            </w:tcMar>
            <w:vAlign w:val="center"/>
          </w:tcPr>
          <w:p>
            <w:pPr>
              <w:spacing w:after="0" w:line="252" w:lineRule="auto"/>
              <w:jc w:val="left"/>
            </w:pPr>
            <w:r>
              <w:rPr>
                <w:rFonts w:ascii="Times New Roman" w:hAnsi="Times New Roman"/>
                <w:sz w:val="19"/>
              </w:rPr>
              <w:t>A web system uses a validated graphical food-frequency questionnaire to provide automated personalized food-based advice; its design/source were reported as openly available.</w:t>
            </w:r>
          </w:p>
        </w:tc>
        <w:tc>
          <w:tcPr>
            <w:tcW w:type="dxa" w:w="4061"/>
            <w:tcMar>
              <w:top w:w="80" w:type="dxa"/>
              <w:bottom w:w="80" w:type="dxa"/>
              <w:start w:w="120" w:type="dxa"/>
              <w:end w:w="120" w:type="dxa"/>
            </w:tcMar>
            <w:vAlign w:val="center"/>
          </w:tcPr>
          <w:p>
            <w:pPr>
              <w:spacing w:after="0" w:line="252" w:lineRule="auto"/>
              <w:jc w:val="left"/>
            </w:pPr>
            <w:r>
              <w:rPr>
                <w:rFonts w:ascii="Times New Roman" w:hAnsi="Times New Roman"/>
                <w:sz w:val="19"/>
              </w:rPr>
              <w:t>NutriTwin focuses on daily manual ingredient events, immutable snapshots, rolling memory, explicit hard constraints, and reproducible optimizer traces rather than FFQ-only feedback.</w:t>
            </w:r>
          </w:p>
        </w:tc>
      </w:tr>
      <w:tr>
        <w:trPr/>
        <w:tc>
          <w:tcPr>
            <w:tcW w:type="dxa" w:w="1625"/>
            <w:tcMar>
              <w:top w:w="80" w:type="dxa"/>
              <w:bottom w:w="80" w:type="dxa"/>
              <w:start w:w="120" w:type="dxa"/>
              <w:end w:w="120" w:type="dxa"/>
            </w:tcMar>
            <w:vAlign w:val="center"/>
          </w:tcPr>
          <w:p>
            <w:pPr>
              <w:spacing w:after="0" w:line="252" w:lineRule="auto"/>
              <w:jc w:val="left"/>
            </w:pPr>
            <w:r>
              <w:rPr>
                <w:rFonts w:ascii="Times New Roman" w:hAnsi="Times New Roman"/>
                <w:sz w:val="19"/>
              </w:rPr>
              <w:t>Virtual Digital Twins in Precision Nutrition</w:t>
            </w:r>
          </w:p>
        </w:tc>
        <w:tc>
          <w:tcPr>
            <w:tcW w:type="dxa" w:w="3340"/>
            <w:tcMar>
              <w:top w:w="80" w:type="dxa"/>
              <w:bottom w:w="80" w:type="dxa"/>
              <w:start w:w="120" w:type="dxa"/>
              <w:end w:w="120" w:type="dxa"/>
            </w:tcMar>
            <w:vAlign w:val="center"/>
          </w:tcPr>
          <w:p>
            <w:pPr>
              <w:spacing w:after="0" w:line="252" w:lineRule="auto"/>
              <w:jc w:val="left"/>
            </w:pPr>
            <w:r>
              <w:rPr>
                <w:rFonts w:ascii="Times New Roman" w:hAnsi="Times New Roman"/>
                <w:sz w:val="19"/>
              </w:rPr>
              <w:t>The 2020 concept combines longitudinal genetic, metabolic, microbial, clinical, and behavioral data for individualized simulation.</w:t>
            </w:r>
          </w:p>
        </w:tc>
        <w:tc>
          <w:tcPr>
            <w:tcW w:type="dxa" w:w="4061"/>
            <w:tcMar>
              <w:top w:w="80" w:type="dxa"/>
              <w:bottom w:w="80" w:type="dxa"/>
              <w:start w:w="120" w:type="dxa"/>
              <w:end w:w="120" w:type="dxa"/>
            </w:tcMar>
            <w:vAlign w:val="center"/>
          </w:tcPr>
          <w:p>
            <w:pPr>
              <w:spacing w:after="0" w:line="252" w:lineRule="auto"/>
              <w:jc w:val="left"/>
            </w:pPr>
            <w:r>
              <w:rPr>
                <w:rFonts w:ascii="Times New Roman" w:hAnsi="Times New Roman"/>
                <w:sz w:val="19"/>
              </w:rPr>
              <w:t>NutriTwin adopts the longitudinal twin idea but intentionally begins with a bounded, deterministic, low-data, non-clinical model suitable for a single-student prototype.</w:t>
            </w:r>
          </w:p>
        </w:tc>
      </w:tr>
    </w:tbl>
    <w:p w14:paraId="51E3FFFB" w14:textId="5257DD15" w:rsidR="000200E7" w:rsidRDefault="00C6233D" w:rsidP="00C6233D">
      <w:pPr>
        <w:widowControl/>
        <w:jc w:val="left"/>
      </w:pPr>
      <w:r>
        <w:rPr>
          <w:rFonts w:ascii="Times New Roman" w:hAnsi="Times New Roman"/>
          <w:b/>
          <w:sz w:val="24"/>
        </w:rPr>
        <w:t xml:space="preserve">Gap Analysis: </w:t>
      </w:r>
      <w:r>
        <w:rPr>
          <w:rFonts w:ascii="Times New Roman" w:hAnsi="Times New Roman"/>
          <w:b w:val="0"/>
          <w:sz w:val="24"/>
        </w:rPr>
        <w:t>Existing products prioritize logging, coaching, broad health metrics, or convenience features, while research systems often assume European cohorts, FFQs, high-dimensional biomarkers, or clinical objectives. NutriTwin's distinct contribution is the combination of Indian reference-data governance, immutable calculation history, separate consumed and estimated-effective states, daily/7-day/30-day nutritional memory, transparent risk wording, hard-constraint-aware scoring, deterministic OR-Tools optimization, and explanations assembled from stored decision traces. At 30%, only the deterministic backend subset is claimed; scientific and client completeness remain future work.</w:t>
      </w:r>
    </w:p>
    <w:p w14:paraId="2FEE50EA" w14:textId="77777777" w:rsidR="00A3556B" w:rsidRPr="00763F82" w:rsidRDefault="00A3556B" w:rsidP="00A3556B">
      <w:pPr>
        <w:keepNext/>
        <w:widowControl/>
        <w:jc w:val="left"/>
        <w:rPr>
          <w:b/>
          <w:bCs/>
        </w:rPr>
      </w:pPr>
      <w:r>
        <w:rPr>
          <w:rFonts w:ascii="Times New Roman" w:hAnsi="Times New Roman"/>
          <w:b/>
          <w:sz w:val="24"/>
        </w:rPr>
        <w:t>4. Novelty &amp; Value Proposition</w:t>
      </w:r>
    </w:p>
    <w:p w14:paraId="30707668" w14:textId="35B2A770" w:rsidR="00C6233D" w:rsidRDefault="00A3556B" w:rsidP="00A3556B">
      <w:pPr>
        <w:widowControl/>
        <w:jc w:val="left"/>
      </w:pPr>
      <w:r>
        <w:rPr>
          <w:rFonts w:ascii="Times New Roman" w:hAnsi="Times New Roman"/>
          <w:b w:val="0"/>
          <w:sz w:val="24"/>
        </w:rPr>
        <w:t>NutriTwin is designed as an explainable nutrition-computation system rather than a black-box diet chatbot. Its novelty is architectural and methodological: (1) logged consumption and estimated effective intake are separate traceable values; (2) target and rule versions are effective-dated and historical snapshots are immutable; (3) missing composition values remain missing, never silently zero; (4) persistent intake-gap indications use a transparent versioned formula and explicitly avoid deficiency diagnosis; (5) allergies and dietary restrictions are hard constraints that cannot be traded for a higher soft score; (6) OR-Tools construction is bounded and deterministic; and (7) an LLM, if ever added, can only rephrase already computed facts. This creates a reproducible academic base for later expert validation without making the system depend on opaque generative output.</w:t>
      </w:r>
    </w:p>
    <w:p w14:paraId="22A51DE6" w14:textId="24A928E8" w:rsidR="00452222" w:rsidRPr="00763F82" w:rsidRDefault="00452222" w:rsidP="00452222">
      <w:pPr>
        <w:keepNext/>
        <w:widowControl/>
        <w:jc w:val="left"/>
        <w:rPr>
          <w:b/>
          <w:bCs/>
        </w:rPr>
      </w:pPr>
      <w:r>
        <w:rPr>
          <w:rFonts w:ascii="Times New Roman" w:hAnsi="Times New Roman"/>
          <w:b/>
          <w:sz w:val="24"/>
        </w:rPr>
        <w:t>5. Technical Specifications</w:t>
      </w:r>
    </w:p>
    <w:p w14:paraId="10B40F8C" w14:textId="77777777" w:rsidR="00280786" w:rsidRDefault="00452222" w:rsidP="00452222">
      <w:pPr>
        <w:widowControl/>
        <w:jc w:val="left"/>
      </w:pPr>
      <w:r>
        <w:rPr>
          <w:rFonts w:ascii="Times New Roman" w:hAnsi="Times New Roman"/>
          <w:b/>
          <w:sz w:val="24"/>
        </w:rPr>
        <w:t>Tech Stack</w:t>
      </w:r>
      <w:r>
        <w:rPr>
          <w:rFonts w:ascii="Times New Roman" w:hAnsi="Times New Roman"/>
          <w:b w:val="0"/>
          <w:sz w:val="24"/>
        </w:rPr>
        <w:t>:</w:t>
      </w:r>
    </w:p>
    <w:p w14:paraId="3D3FB34C" w14:textId="40C640E3" w:rsidR="00452222" w:rsidRDefault="00452222" w:rsidP="00452222">
      <w:pPr>
        <w:widowControl/>
        <w:jc w:val="left"/>
      </w:pPr>
      <w:r>
        <w:rPr>
          <w:rFonts w:ascii="Times New Roman" w:hAnsi="Times New Roman"/>
          <w:b w:val="0"/>
          <w:sz w:val="24"/>
        </w:rPr>
        <w:t>Python 3.12-3.14; FastAPI 0.141.1; Pydantic 2.13.5; SQLAlchemy 2.0.52; Alembic 1.19.1; PostgreSQL 16.15; Redis 7.4.10; Celery 5.6.3; Neo4j 5.26.30; Google OR-Tools 9.15.6755; Argon2 password hashing; JWT access tokens and hashed rotating refresh sessions; Pytest 9.1.1; Hypothesis; Ruff; strict mypy; pip-audit; detect-secrets; Docker Compose; GitHub Actions. Flutter is the primary planned client but is not implemented at this milestone.</w:t>
      </w:r>
    </w:p>
    <w:p w14:paraId="360B9261" w14:textId="015D4031" w:rsidR="00EE5782" w:rsidRDefault="00452222" w:rsidP="00452222">
      <w:pPr>
        <w:widowControl/>
        <w:jc w:val="left"/>
      </w:pPr>
      <w:r>
        <w:rPr>
          <w:rFonts w:ascii="Times New Roman" w:hAnsi="Times New Roman"/>
          <w:b/>
          <w:sz w:val="24"/>
        </w:rPr>
        <w:t xml:space="preserve">System Architecture: </w:t>
      </w:r>
      <w:r>
        <w:rPr>
          <w:rFonts w:ascii="Times New Roman" w:hAnsi="Times New Roman"/>
          <w:b w:val="0"/>
          <w:sz w:val="24"/>
        </w:rPr>
        <w:t>A reliable modular monolith keeps pure domain calculations independent from HTTP, ORM, workers, clients, and optional integrations. PostgreSQL owns transactional/history data. On-demand summaries provide current consistency; an idempotent Celery job is available for later scheduled materialization. Neo4j and an LLM are non-critical adapters and cannot change core results.</w:t>
      </w:r>
    </w:p>
    <w:p>
      <w:pPr>
        <w:keepNext/>
        <w:widowControl/>
        <w:jc w:val="center"/>
      </w:pPr>
      <w:r>
        <w:rPr>
          <w:rFonts w:ascii="Times New Roman" w:hAnsi="Times New Roman"/>
        </w:rPr>
        <w:drawing>
          <wp:inline xmlns:a="http://schemas.openxmlformats.org/drawingml/2006/main" xmlns:pic="http://schemas.openxmlformats.org/drawingml/2006/picture">
            <wp:extent cx="5486400" cy="3703320"/>
            <wp:docPr id="1" name="Picture 1" descr="High-level NutriTwin modular-monolith architecture showing deferred Flutter client, implemented FastAPI and deterministic domain layers, authoritative PostgreSQL, and optional Redis/Celery, Neo4j, and LLM components." title="High-level NutriTwin modular-monolith architecture showing deferred Flutter client, implemented FastAPI and deterministic domain layers, authoritative PostgreSQL, and optional Redis/Celery, Neo4j, and LLM components."/>
            <wp:cNvGraphicFramePr>
              <a:graphicFrameLocks noChangeAspect="1"/>
            </wp:cNvGraphicFramePr>
            <a:graphic>
              <a:graphicData uri="http://schemas.openxmlformats.org/drawingml/2006/picture">
                <pic:pic>
                  <pic:nvPicPr>
                    <pic:cNvPr id="0" name="nutritwin-architecture.png"/>
                    <pic:cNvPicPr/>
                  </pic:nvPicPr>
                  <pic:blipFill>
                    <a:blip r:embed="rId7"/>
                    <a:stretch>
                      <a:fillRect/>
                    </a:stretch>
                  </pic:blipFill>
                  <pic:spPr>
                    <a:xfrm>
                      <a:off x="0" y="0"/>
                      <a:ext cx="5486400" cy="3703320"/>
                    </a:xfrm>
                    <a:prstGeom prst="rect"/>
                  </pic:spPr>
                </pic:pic>
              </a:graphicData>
            </a:graphic>
          </wp:inline>
        </w:drawing>
      </w:r>
    </w:p>
    <w:p>
      <w:pPr>
        <w:widowControl/>
        <w:jc w:val="center"/>
      </w:pPr>
      <w:r>
        <w:rPr>
          <w:rFonts w:ascii="Times New Roman" w:hAnsi="Times New Roman"/>
          <w:i/>
          <w:sz w:val="20"/>
        </w:rPr>
        <w:t>Figure 1. High-level architecture at the verified 30% implementation milestone.</w:t>
      </w:r>
    </w:p>
    <w:p w14:paraId="05E6C9A8" w14:textId="77777777" w:rsidR="00B04D4F" w:rsidRPr="007B4B5A" w:rsidRDefault="001D27BA" w:rsidP="00B04D4F">
      <w:pPr>
        <w:keepNext/>
        <w:widowControl/>
        <w:jc w:val="left"/>
        <w:rPr>
          <w:b/>
          <w:bCs/>
        </w:rPr>
      </w:pPr>
      <w:r>
        <w:rPr>
          <w:rFonts w:ascii="Times New Roman" w:hAnsi="Times New Roman"/>
          <w:b/>
          <w:sz w:val="24"/>
        </w:rPr>
        <w:t>6. Current Progress &amp; Implementation</w:t>
      </w:r>
    </w:p>
    <w:p w14:paraId="1533E173" w14:textId="77777777" w:rsidR="00B04D4F" w:rsidRDefault="00B04D4F" w:rsidP="00B04D4F">
      <w:pPr>
        <w:widowControl/>
        <w:jc w:val="left"/>
      </w:pPr>
      <w:r>
        <w:rPr>
          <w:rFonts w:ascii="Times New Roman" w:hAnsi="Times New Roman"/>
          <w:b/>
          <w:sz w:val="24"/>
        </w:rPr>
        <w:t>Implementation Boundary</w:t>
      </w:r>
      <w:r>
        <w:rPr>
          <w:rFonts w:ascii="Times New Roman" w:hAnsi="Times New Roman"/>
          <w:b w:val="0"/>
          <w:sz w:val="24"/>
        </w:rPr>
        <w:t>: The project is reported as 30% complete for Review-1. This percentage is a project-plan milestone, not code coverage. It represents a tested backend foundation and one manual end-to-end slice; it excludes the majority of scientific data, client, optimization workflow, graph, pantry, grocery, simulation, and research-support scope.</w:t>
      </w:r>
    </w:p>
    <w:p>
      <w:pPr>
        <w:pStyle w:val="ListParagraph"/>
        <w:widowControl/>
        <w:numPr>
          <w:ilvl w:val="0"/>
          <w:numId w:val="1"/>
        </w:numPr>
      </w:pPr>
      <w:r>
        <w:rPr>
          <w:rFonts w:ascii="Times New Roman" w:hAnsi="Times New Roman"/>
          <w:sz w:val="24"/>
        </w:rPr>
        <w:t>Access foundation: Student, Adult, and Admin roles; Argon2 password hashing; short-lived JWT access tokens; rotating/revocable hashed refresh sessions; backend RBAC; consent and audit records.</w:t>
      </w:r>
    </w:p>
    <w:p>
      <w:pPr>
        <w:pStyle w:val="ListParagraph"/>
        <w:widowControl/>
        <w:numPr>
          <w:ilvl w:val="0"/>
          <w:numId w:val="1"/>
        </w:numPr>
      </w:pPr>
      <w:r>
        <w:rPr>
          <w:rFonts w:ascii="Times New Roman" w:hAnsi="Times New Roman"/>
          <w:sz w:val="24"/>
        </w:rPr>
        <w:t>Reference/profile foundation: data-source and nutrient registries; versioned target rules; immutable target snapshots; provisional/synthetic flags; complete calculation traces.</w:t>
      </w:r>
    </w:p>
    <w:p>
      <w:pPr>
        <w:pStyle w:val="ListParagraph"/>
        <w:widowControl/>
        <w:numPr>
          <w:ilvl w:val="0"/>
          <w:numId w:val="1"/>
        </w:numPr>
      </w:pPr>
      <w:r>
        <w:rPr>
          <w:rFonts w:ascii="Times New Roman" w:hAnsi="Times New Roman"/>
          <w:sz w:val="24"/>
        </w:rPr>
        <w:t>Manual nutrition workflow: food search; ingredient-level meal create/list/edit/soft-delete; revision-aware recomputation requests.</w:t>
      </w:r>
    </w:p>
    <w:p>
      <w:pPr>
        <w:pStyle w:val="ListParagraph"/>
        <w:widowControl/>
        <w:numPr>
          <w:ilvl w:val="0"/>
          <w:numId w:val="1"/>
        </w:numPr>
      </w:pPr>
      <w:r>
        <w:rPr>
          <w:rFonts w:ascii="Times New Roman" w:hAnsi="Times New Roman"/>
          <w:sz w:val="24"/>
        </w:rPr>
        <w:t>Twin computation: consumed and estimated-effective totals kept distinct; identity estimate when no approved quantitative absorption rule exists; daily, rolling 7-day, and rolling 30-day coverage with completeness metadata.</w:t>
      </w:r>
    </w:p>
    <w:p>
      <w:pPr>
        <w:pStyle w:val="ListParagraph"/>
        <w:widowControl/>
        <w:numPr>
          <w:ilvl w:val="0"/>
          <w:numId w:val="1"/>
        </w:numPr>
      </w:pPr>
      <w:r>
        <w:rPr>
          <w:rFonts w:ascii="Times New Roman" w:hAnsi="Times New Roman"/>
          <w:sz w:val="24"/>
        </w:rPr>
        <w:t>Decision support: deterministic persistent intake-gap risk trace; hard-constraint-aware weighted meal ranking; deterministic explanations; tested bounded OR-Tools CP-SAT constructor in the pure domain package.</w:t>
      </w:r>
    </w:p>
    <w:p>
      <w:pPr>
        <w:pStyle w:val="ListParagraph"/>
        <w:widowControl/>
        <w:numPr>
          <w:ilvl w:val="0"/>
          <w:numId w:val="1"/>
        </w:numPr>
      </w:pPr>
      <w:r>
        <w:rPr>
          <w:rFonts w:ascii="Times New Roman" w:hAnsi="Times New Roman"/>
          <w:sz w:val="24"/>
        </w:rPr>
        <w:t>Reproducibility: two Alembic revisions, idempotent synthetic seeding, seven synthetic foods/four nutrients, Docker Compose, pinned dependencies, CI workflow, Makefile/direct Windows commands, and an automated no-LLM demo.</w:t>
      </w:r>
    </w:p>
    <w:p>
      <w:pPr>
        <w:pStyle w:val="ListParagraph"/>
        <w:widowControl/>
        <w:numPr>
          <w:ilvl w:val="0"/>
          <w:numId w:val="1"/>
        </w:numPr>
      </w:pPr>
      <w:r>
        <w:rPr>
          <w:rFonts w:ascii="Times New Roman" w:hAnsi="Times New Roman"/>
          <w:sz w:val="24"/>
        </w:rPr>
        <w:t>Documentation/governance: architecture, algorithms, data dictionary, source register, traceability matrix, threat model, ADRs, validation report, and demo walkthrough.</w:t>
      </w:r>
    </w:p>
    <w:p>
      <w:pPr>
        <w:widowControl/>
        <w:jc w:val="left"/>
      </w:pPr>
      <w:r>
        <w:rPr>
          <w:rFonts w:ascii="Times New Roman" w:hAnsi="Times New Roman"/>
          <w:b/>
          <w:sz w:val="24"/>
        </w:rPr>
        <w:t xml:space="preserve">Implemented API Surface: </w:t>
      </w:r>
      <w:r>
        <w:rPr>
          <w:rFonts w:ascii="Times New Roman" w:hAnsi="Times New Roman"/>
          <w:b w:val="0"/>
          <w:sz w:val="24"/>
        </w:rPr>
        <w:t>17 OpenAPI paths covering health/readiness, auth, current user, consent, profile, target, foods, meal CRUD, twin summary, recommendations, and Admin reference/audit inspection.</w:t>
      </w:r>
    </w:p>
    <w:p>
      <w:pPr>
        <w:widowControl/>
        <w:jc w:val="left"/>
      </w:pPr>
      <w:r>
        <w:rPr>
          <w:rFonts w:ascii="Times New Roman" w:hAnsi="Times New Roman"/>
          <w:b/>
          <w:sz w:val="24"/>
        </w:rPr>
        <w:t xml:space="preserve">Explicitly Not Claimed: </w:t>
      </w:r>
      <w:r>
        <w:rPr>
          <w:rFonts w:ascii="Times New Roman" w:hAnsi="Times New Roman"/>
          <w:b w:val="0"/>
          <w:sz w:val="24"/>
        </w:rPr>
        <w:t>Flutter UI; licensed ICMR-NIN/IFCT rows; scientific golden cases; active quantitative absorption rules; live PostgreSQL/Redis/Neo4j validation; Admin authoring/approval; persisted summary tables; CP-SAT API construction; pantry/grocery; what-if simulation; graph authoring; research export; OCR/vision/barcode; external prices; LLM adapter; Next.js; Kubernetes; deployment.</w:t>
      </w:r>
    </w:p>
    <w:p w14:paraId="3A544AC0" w14:textId="523A1277" w:rsidR="00B04D4F" w:rsidRDefault="00B04D4F" w:rsidP="00B04D4F">
      <w:pPr>
        <w:widowControl/>
        <w:jc w:val="left"/>
      </w:pPr>
      <w:r>
        <w:rPr>
          <w:rFonts w:ascii="Times New Roman" w:hAnsi="Times New Roman"/>
          <w:b/>
          <w:sz w:val="24"/>
        </w:rPr>
        <w:t>Verified Execution Evidence</w:t>
      </w:r>
      <w:r>
        <w:rPr>
          <w:rFonts w:ascii="Times New Roman" w:hAnsi="Times New Roman"/>
          <w:b w:val="0"/>
          <w:sz w:val="24"/>
        </w:rPr>
        <w:t>: The figures below reproduce the final command results and local API run recorded in docs/VALIDATION_REPORT.md.</w:t>
      </w:r>
    </w:p>
    <w:p>
      <w:pPr>
        <w:keepNext/>
        <w:widowControl/>
        <w:jc w:val="center"/>
      </w:pPr>
      <w:r>
        <w:rPr>
          <w:rFonts w:ascii="Times New Roman" w:hAnsi="Times New Roman"/>
        </w:rPr>
        <w:drawing>
          <wp:inline xmlns:a="http://schemas.openxmlformats.org/drawingml/2006/main" xmlns:pic="http://schemas.openxmlformats.org/drawingml/2006/picture">
            <wp:extent cx="5532120" cy="2192103"/>
            <wp:docPr id="2" name="Picture 2" descr="Terminal-style evidence showing 31 passing tests, 83.22 percent coverage, passing lint, typing, data, migration, dependency, and secret checks." title="Terminal-style evidence showing 31 passing tests, 83.22 percent coverage, passing lint, typing, data, migration, dependency, and secret checks."/>
            <wp:cNvGraphicFramePr>
              <a:graphicFrameLocks noChangeAspect="1"/>
            </wp:cNvGraphicFramePr>
            <a:graphic>
              <a:graphicData uri="http://schemas.openxmlformats.org/drawingml/2006/picture">
                <pic:pic>
                  <pic:nvPicPr>
                    <pic:cNvPr id="0" name="nutritwin-validation.png"/>
                    <pic:cNvPicPr/>
                  </pic:nvPicPr>
                  <pic:blipFill>
                    <a:blip r:embed="rId8"/>
                    <a:stretch>
                      <a:fillRect/>
                    </a:stretch>
                  </pic:blipFill>
                  <pic:spPr>
                    <a:xfrm>
                      <a:off x="0" y="0"/>
                      <a:ext cx="5532120" cy="2192103"/>
                    </a:xfrm>
                    <a:prstGeom prst="rect"/>
                  </pic:spPr>
                </pic:pic>
              </a:graphicData>
            </a:graphic>
          </wp:inline>
        </w:drawing>
      </w:r>
    </w:p>
    <w:p>
      <w:pPr>
        <w:widowControl/>
        <w:jc w:val="center"/>
      </w:pPr>
      <w:r>
        <w:rPr>
          <w:rFonts w:ascii="Times New Roman" w:hAnsi="Times New Roman"/>
          <w:i/>
          <w:sz w:val="20"/>
        </w:rPr>
        <w:t>Figure 2. Final automated verification gate.</w:t>
      </w:r>
    </w:p>
    <w:p>
      <w:pPr>
        <w:keepNext/>
        <w:widowControl/>
        <w:jc w:val="center"/>
      </w:pPr>
      <w:r>
        <w:rPr>
          <w:rFonts w:ascii="Times New Roman" w:hAnsi="Times New Roman"/>
        </w:rPr>
        <w:drawing>
          <wp:inline xmlns:a="http://schemas.openxmlformats.org/drawingml/2006/main" xmlns:pic="http://schemas.openxmlformats.org/drawingml/2006/picture">
            <wp:extent cx="5532120" cy="1991563"/>
            <wp:docPr id="3" name="Picture 3" descr="Terminal-style evidence showing successful health and readiness responses, 17 OpenAPI paths, Student nutrition demo, no LLM use, Admin inspection, and clean server shutdown." title="Terminal-style evidence showing successful health and readiness responses, 17 OpenAPI paths, Student nutrition demo, no LLM use, Admin inspection, and clean server shutdown."/>
            <wp:cNvGraphicFramePr>
              <a:graphicFrameLocks noChangeAspect="1"/>
            </wp:cNvGraphicFramePr>
            <a:graphic>
              <a:graphicData uri="http://schemas.openxmlformats.org/drawingml/2006/picture">
                <pic:pic>
                  <pic:nvPicPr>
                    <pic:cNvPr id="0" name="nutritwin-api-demo.png"/>
                    <pic:cNvPicPr/>
                  </pic:nvPicPr>
                  <pic:blipFill>
                    <a:blip r:embed="rId9"/>
                    <a:stretch>
                      <a:fillRect/>
                    </a:stretch>
                  </pic:blipFill>
                  <pic:spPr>
                    <a:xfrm>
                      <a:off x="0" y="0"/>
                      <a:ext cx="5532120" cy="1991563"/>
                    </a:xfrm>
                    <a:prstGeom prst="rect"/>
                  </pic:spPr>
                </pic:pic>
              </a:graphicData>
            </a:graphic>
          </wp:inline>
        </w:drawing>
      </w:r>
    </w:p>
    <w:p>
      <w:pPr>
        <w:widowControl/>
        <w:jc w:val="center"/>
      </w:pPr>
      <w:r>
        <w:rPr>
          <w:rFonts w:ascii="Times New Roman" w:hAnsi="Times New Roman"/>
          <w:i/>
          <w:sz w:val="20"/>
        </w:rPr>
        <w:t>Figure 3. Live local API evaluation and complete Student/Admin demonstration.</w:t>
      </w:r>
    </w:p>
    <w:p w14:paraId="64D47935" w14:textId="178C233D" w:rsidR="00B04D4F" w:rsidRPr="007B4B5A" w:rsidRDefault="00B04D4F" w:rsidP="00B04D4F">
      <w:pPr>
        <w:keepNext/>
        <w:widowControl/>
        <w:jc w:val="left"/>
        <w:rPr>
          <w:b/>
          <w:bCs/>
        </w:rPr>
      </w:pPr>
      <w:r>
        <w:rPr>
          <w:rFonts w:ascii="Times New Roman" w:hAnsi="Times New Roman"/>
          <w:b/>
          <w:sz w:val="24"/>
        </w:rPr>
        <w:t>7. Challenges &amp; Next Steps</w:t>
      </w:r>
    </w:p>
    <w:p w14:paraId="5ADBFCDE" w14:textId="77777777" w:rsidR="00B04D4F" w:rsidRDefault="00B04D4F" w:rsidP="00B04D4F">
      <w:pPr>
        <w:widowControl/>
        <w:jc w:val="left"/>
      </w:pPr>
      <w:r>
        <w:rPr>
          <w:rFonts w:ascii="Times New Roman" w:hAnsi="Times New Roman"/>
          <w:b/>
          <w:sz w:val="24"/>
        </w:rPr>
        <w:t>Challenges Faced</w:t>
      </w:r>
      <w:r>
        <w:rPr>
          <w:rFonts w:ascii="Times New Roman" w:hAnsi="Times New Roman"/>
          <w:b w:val="0"/>
          <w:sz w:val="24"/>
        </w:rPr>
        <w:t>:</w:t>
      </w:r>
    </w:p>
    <w:p>
      <w:pPr>
        <w:pStyle w:val="ListParagraph"/>
        <w:widowControl/>
        <w:numPr>
          <w:ilvl w:val="0"/>
          <w:numId w:val="1"/>
        </w:numPr>
      </w:pPr>
      <w:r>
        <w:rPr>
          <w:rFonts w:ascii="Times New Roman" w:hAnsi="Times New Roman"/>
          <w:sz w:val="24"/>
        </w:rPr>
        <w:t>Scientific licensing: ICMR-NIN RDA/EAR 2020 and IFCT 2017 are authoritative, but lawful electronic redistribution/import permissions and verified machine-readable tables remain unresolved; synthetic data is therefore used only for software validation.</w:t>
      </w:r>
    </w:p>
    <w:p>
      <w:pPr>
        <w:pStyle w:val="ListParagraph"/>
        <w:widowControl/>
        <w:numPr>
          <w:ilvl w:val="0"/>
          <w:numId w:val="1"/>
        </w:numPr>
      </w:pPr>
      <w:r>
        <w:rPr>
          <w:rFonts w:ascii="Times New Roman" w:hAnsi="Times New Roman"/>
          <w:sz w:val="24"/>
        </w:rPr>
        <w:t>Scientific uncertainty: qualitative enhancer/inhibitor evidence does not justify a universal quantitative absorption multiplier, so the active model uses an explicit identity estimate.</w:t>
      </w:r>
    </w:p>
    <w:p>
      <w:pPr>
        <w:pStyle w:val="ListParagraph"/>
        <w:widowControl/>
        <w:numPr>
          <w:ilvl w:val="0"/>
          <w:numId w:val="1"/>
        </w:numPr>
      </w:pPr>
      <w:r>
        <w:rPr>
          <w:rFonts w:ascii="Times New Roman" w:hAnsi="Times New Roman"/>
          <w:sz w:val="24"/>
        </w:rPr>
        <w:t>Infrastructure validation: Docker Compose configuration passes, but Docker Desktop crashes on the host while initializing its dockerInference socket before NutriTwin containers start. Live PostgreSQL, Redis/Celery broker, and Neo4j validation remains open.</w:t>
      </w:r>
    </w:p>
    <w:p>
      <w:pPr>
        <w:pStyle w:val="ListParagraph"/>
        <w:widowControl/>
        <w:numPr>
          <w:ilvl w:val="0"/>
          <w:numId w:val="1"/>
        </w:numPr>
      </w:pPr>
      <w:r>
        <w:rPr>
          <w:rFonts w:ascii="Times New Roman" w:hAnsi="Times New Roman"/>
          <w:sz w:val="24"/>
        </w:rPr>
        <w:t>Client tooling: Flutter is not installed on the development host; no mock client is presented as implemented.</w:t>
      </w:r>
    </w:p>
    <w:p>
      <w:pPr>
        <w:pStyle w:val="ListParagraph"/>
        <w:widowControl/>
        <w:numPr>
          <w:ilvl w:val="0"/>
          <w:numId w:val="1"/>
        </w:numPr>
      </w:pPr>
      <w:r>
        <w:rPr>
          <w:rFonts w:ascii="Times New Roman" w:hAnsi="Times New Roman"/>
          <w:sz w:val="24"/>
        </w:rPr>
        <w:t>External source reliability: the optional USDA FoodData Central DEMO_KEY acquisition attempt returned HTTP 429, and no fetched FDC records are bundled.</w:t>
      </w:r>
    </w:p>
    <w:p>
      <w:pPr>
        <w:pStyle w:val="ListParagraph"/>
        <w:widowControl/>
        <w:numPr>
          <w:ilvl w:val="0"/>
          <w:numId w:val="1"/>
        </w:numPr>
      </w:pPr>
      <w:r>
        <w:rPr>
          <w:rFonts w:ascii="Times New Roman" w:hAnsi="Times New Roman"/>
          <w:sz w:val="24"/>
        </w:rPr>
        <w:t>Academic validation: the risk formula and recommendation objectives are transparent prototypes that still require nutrition-expert review and future empirical evaluation.</w:t>
      </w:r>
    </w:p>
    <w:p w14:paraId="181C0372" w14:textId="5BB0BFD6" w:rsidR="00B04D4F" w:rsidRDefault="00B04D4F" w:rsidP="00B04D4F">
      <w:pPr>
        <w:widowControl/>
        <w:jc w:val="left"/>
      </w:pPr>
      <w:r>
        <w:rPr>
          <w:rFonts w:ascii="Times New Roman" w:hAnsi="Times New Roman"/>
          <w:b/>
          <w:sz w:val="24"/>
        </w:rPr>
        <w:t>Pending Deliverables</w:t>
      </w:r>
      <w:r>
        <w:rPr>
          <w:rFonts w:ascii="Times New Roman" w:hAnsi="Times New Roman"/>
          <w:b w:val="0"/>
          <w:sz w:val="24"/>
        </w:rPr>
        <w:t>:</w:t>
      </w:r>
    </w:p>
    <w:p>
      <w:pPr>
        <w:pStyle w:val="ListParagraph"/>
        <w:widowControl/>
        <w:numPr>
          <w:ilvl w:val="0"/>
          <w:numId w:val="1"/>
        </w:numPr>
      </w:pPr>
      <w:r>
        <w:rPr>
          <w:rFonts w:ascii="Times New Roman" w:hAnsi="Times New Roman"/>
          <w:sz w:val="24"/>
        </w:rPr>
        <w:t>Lawful ICMR-NIN/IFCT import manifests, normalized reference rows, and independently verified golden examples.</w:t>
      </w:r>
    </w:p>
    <w:p>
      <w:pPr>
        <w:pStyle w:val="ListParagraph"/>
        <w:widowControl/>
        <w:numPr>
          <w:ilvl w:val="0"/>
          <w:numId w:val="1"/>
        </w:numPr>
      </w:pPr>
      <w:r>
        <w:rPr>
          <w:rFonts w:ascii="Times New Roman" w:hAnsi="Times New Roman"/>
          <w:sz w:val="24"/>
        </w:rPr>
        <w:t>Reviewed evidence authoring and bounded quantitative absorption rules; materialized nutrition memory and scheduled Celery recomputation.</w:t>
      </w:r>
    </w:p>
    <w:p>
      <w:pPr>
        <w:pStyle w:val="ListParagraph"/>
        <w:widowControl/>
        <w:numPr>
          <w:ilvl w:val="0"/>
          <w:numId w:val="1"/>
        </w:numPr>
      </w:pPr>
      <w:r>
        <w:rPr>
          <w:rFonts w:ascii="Times New Roman" w:hAnsi="Times New Roman"/>
          <w:sz w:val="24"/>
        </w:rPr>
        <w:t>Persisted/API-exposed CP-SAT meal construction, pantry, grocery optimization, substitutions, prices, shopping lists, and deterministic what-if simulation.</w:t>
      </w:r>
    </w:p>
    <w:p>
      <w:pPr>
        <w:pStyle w:val="ListParagraph"/>
        <w:widowControl/>
        <w:numPr>
          <w:ilvl w:val="0"/>
          <w:numId w:val="1"/>
        </w:numPr>
      </w:pPr>
      <w:r>
        <w:rPr>
          <w:rFonts w:ascii="Times New Roman" w:hAnsi="Times New Roman"/>
          <w:sz w:val="24"/>
        </w:rPr>
        <w:t>Neo4j evidence graph with cited relationships, full Admin review/approval workflows, feature flags, audit inspection, and anonymized aggregate export.</w:t>
      </w:r>
    </w:p>
    <w:p>
      <w:pPr>
        <w:pStyle w:val="ListParagraph"/>
        <w:widowControl/>
        <w:numPr>
          <w:ilvl w:val="0"/>
          <w:numId w:val="1"/>
        </w:numPr>
      </w:pPr>
      <w:r>
        <w:rPr>
          <w:rFonts w:ascii="Times New Roman" w:hAnsi="Times New Roman"/>
          <w:sz w:val="24"/>
        </w:rPr>
        <w:t>Flutter onboarding, authentication, profile, meal logging, dashboard, trends, recommendations, explanations, pantry, grocery, simulation, error/offline, accessibility, widget, and end-to-end states.</w:t>
      </w:r>
    </w:p>
    <w:p>
      <w:pPr>
        <w:pStyle w:val="ListParagraph"/>
        <w:widowControl/>
        <w:numPr>
          <w:ilvl w:val="0"/>
          <w:numId w:val="1"/>
        </w:numPr>
      </w:pPr>
      <w:r>
        <w:rPr>
          <w:rFonts w:ascii="Times New Roman" w:hAnsi="Times New Roman"/>
          <w:sz w:val="24"/>
        </w:rPr>
        <w:t>Live multi-service integration, security hardening, final performance/accessibility checks, screenshots, and scientific validation report updates.</w:t>
      </w:r>
    </w:p>
    <w:p w14:paraId="292C7867" w14:textId="3BBD6A4B" w:rsidR="001D27BA" w:rsidRDefault="00B04D4F" w:rsidP="00B04D4F">
      <w:pPr>
        <w:widowControl/>
        <w:pBdr>
          <w:bottom w:val="single" w:sz="6" w:space="1" w:color="auto"/>
        </w:pBdr>
        <w:jc w:val="left"/>
      </w:pPr>
      <w:r>
        <w:rPr>
          <w:rFonts w:ascii="Times New Roman" w:hAnsi="Times New Roman"/>
          <w:b/>
          <w:sz w:val="24"/>
        </w:rPr>
        <w:t>Timeline to Completion</w:t>
      </w:r>
      <w:r>
        <w:rPr>
          <w:rFonts w:ascii="Times New Roman" w:hAnsi="Times New Roman"/>
          <w:b w:val="0"/>
          <w:sz w:val="24"/>
        </w:rPr>
        <w:t>: proposed ten-week sequence after Review-1; dependent on lawful data access and a working container runtime.</w:t>
      </w:r>
    </w:p>
    <w:tbl>
      <w:tblPr>
        <w:tblStyle w:val="TableGrid"/>
        <w:tblW w:type="dxa" w:w="9026"/>
        <w:jc w:val="left"/>
        <w:tblLayout w:type="fixed"/>
        <w:tblLook w:firstColumn="1" w:firstRow="1" w:lastColumn="0" w:lastRow="0" w:noHBand="0" w:noVBand="1" w:val="04A0"/>
        <w:tblInd w:type="dxa" w:w="120"/>
      </w:tblPr>
      <w:tblGrid>
        <w:gridCol w:w="993"/>
        <w:gridCol w:w="2437"/>
        <w:gridCol w:w="5596"/>
      </w:tblGrid>
      <w:tr>
        <w:trPr>
          <w:tblHeader w:val="true"/>
        </w:trPr>
        <w:tc>
          <w:tcPr>
            <w:tcW w:type="dxa" w:w="993"/>
            <w:tcMar>
              <w:top w:w="80" w:type="dxa"/>
              <w:bottom w:w="80" w:type="dxa"/>
              <w:start w:w="120" w:type="dxa"/>
              <w:end w:w="120" w:type="dxa"/>
            </w:tcMar>
            <w:vAlign w:val="center"/>
            <w:shd w:fill="D9E1F2"/>
          </w:tcPr>
          <w:p>
            <w:pPr>
              <w:spacing w:after="0" w:line="252" w:lineRule="auto"/>
              <w:jc w:val="left"/>
            </w:pPr>
            <w:r>
              <w:rPr>
                <w:rFonts w:ascii="Times New Roman" w:hAnsi="Times New Roman"/>
                <w:b/>
                <w:sz w:val="19"/>
              </w:rPr>
              <w:t>Week</w:t>
            </w:r>
          </w:p>
        </w:tc>
        <w:tc>
          <w:tcPr>
            <w:tcW w:type="dxa" w:w="2437"/>
            <w:tcMar>
              <w:top w:w="80" w:type="dxa"/>
              <w:bottom w:w="80" w:type="dxa"/>
              <w:start w:w="120" w:type="dxa"/>
              <w:end w:w="120" w:type="dxa"/>
            </w:tcMar>
            <w:vAlign w:val="center"/>
            <w:shd w:fill="D9E1F2"/>
          </w:tcPr>
          <w:p>
            <w:pPr>
              <w:spacing w:after="0" w:line="252" w:lineRule="auto"/>
              <w:jc w:val="left"/>
            </w:pPr>
            <w:r>
              <w:rPr>
                <w:rFonts w:ascii="Times New Roman" w:hAnsi="Times New Roman"/>
                <w:b/>
                <w:sz w:val="19"/>
              </w:rPr>
              <w:t>Focus</w:t>
            </w:r>
          </w:p>
        </w:tc>
        <w:tc>
          <w:tcPr>
            <w:tcW w:type="dxa" w:w="5596"/>
            <w:tcMar>
              <w:top w:w="80" w:type="dxa"/>
              <w:bottom w:w="80" w:type="dxa"/>
              <w:start w:w="120" w:type="dxa"/>
              <w:end w:w="120" w:type="dxa"/>
            </w:tcMar>
            <w:vAlign w:val="center"/>
            <w:shd w:fill="D9E1F2"/>
          </w:tcPr>
          <w:p>
            <w:pPr>
              <w:spacing w:after="0" w:line="252" w:lineRule="auto"/>
              <w:jc w:val="left"/>
            </w:pPr>
            <w:r>
              <w:rPr>
                <w:rFonts w:ascii="Times New Roman" w:hAnsi="Times New Roman"/>
                <w:b/>
                <w:sz w:val="19"/>
              </w:rPr>
              <w:t>Expected deliverable</w:t>
            </w:r>
          </w:p>
        </w:tc>
      </w:tr>
      <w:tr>
        <w:trPr/>
        <w:tc>
          <w:tcPr>
            <w:tcW w:type="dxa" w:w="993"/>
            <w:tcMar>
              <w:top w:w="80" w:type="dxa"/>
              <w:bottom w:w="80" w:type="dxa"/>
              <w:start w:w="120" w:type="dxa"/>
              <w:end w:w="120" w:type="dxa"/>
            </w:tcMar>
            <w:vAlign w:val="center"/>
          </w:tcPr>
          <w:p>
            <w:pPr>
              <w:spacing w:after="0" w:line="252" w:lineRule="auto"/>
              <w:jc w:val="left"/>
            </w:pPr>
            <w:r>
              <w:rPr>
                <w:rFonts w:ascii="Times New Roman" w:hAnsi="Times New Roman"/>
                <w:sz w:val="19"/>
              </w:rPr>
              <w:t>1</w:t>
            </w:r>
          </w:p>
        </w:tc>
        <w:tc>
          <w:tcPr>
            <w:tcW w:type="dxa" w:w="2437"/>
            <w:tcMar>
              <w:top w:w="80" w:type="dxa"/>
              <w:bottom w:w="80" w:type="dxa"/>
              <w:start w:w="120" w:type="dxa"/>
              <w:end w:w="120" w:type="dxa"/>
            </w:tcMar>
            <w:vAlign w:val="center"/>
          </w:tcPr>
          <w:p>
            <w:pPr>
              <w:spacing w:after="0" w:line="252" w:lineRule="auto"/>
              <w:jc w:val="left"/>
            </w:pPr>
            <w:r>
              <w:rPr>
                <w:rFonts w:ascii="Times New Roman" w:hAnsi="Times New Roman"/>
                <w:sz w:val="19"/>
              </w:rPr>
              <w:t>Reference-data acquisition</w:t>
            </w:r>
          </w:p>
        </w:tc>
        <w:tc>
          <w:tcPr>
            <w:tcW w:type="dxa" w:w="5596"/>
            <w:tcMar>
              <w:top w:w="80" w:type="dxa"/>
              <w:bottom w:w="80" w:type="dxa"/>
              <w:start w:w="120" w:type="dxa"/>
              <w:end w:w="120" w:type="dxa"/>
            </w:tcMar>
            <w:vAlign w:val="center"/>
          </w:tcPr>
          <w:p>
            <w:pPr>
              <w:spacing w:after="0" w:line="252" w:lineRule="auto"/>
              <w:jc w:val="left"/>
            </w:pPr>
            <w:r>
              <w:rPr>
                <w:rFonts w:ascii="Times New Roman" w:hAnsi="Times New Roman"/>
                <w:sz w:val="19"/>
              </w:rPr>
              <w:t>Confirm permissions; build ICMR/IFCT manifests, checksums, normalization, and reviewed golden fixtures.</w:t>
            </w:r>
          </w:p>
        </w:tc>
      </w:tr>
      <w:tr>
        <w:trPr/>
        <w:tc>
          <w:tcPr>
            <w:tcW w:type="dxa" w:w="993"/>
            <w:tcMar>
              <w:top w:w="80" w:type="dxa"/>
              <w:bottom w:w="80" w:type="dxa"/>
              <w:start w:w="120" w:type="dxa"/>
              <w:end w:w="120" w:type="dxa"/>
            </w:tcMar>
            <w:vAlign w:val="center"/>
          </w:tcPr>
          <w:p>
            <w:pPr>
              <w:spacing w:after="0" w:line="252" w:lineRule="auto"/>
              <w:jc w:val="left"/>
            </w:pPr>
            <w:r>
              <w:rPr>
                <w:rFonts w:ascii="Times New Roman" w:hAnsi="Times New Roman"/>
                <w:sz w:val="19"/>
              </w:rPr>
              <w:t>2</w:t>
            </w:r>
          </w:p>
        </w:tc>
        <w:tc>
          <w:tcPr>
            <w:tcW w:type="dxa" w:w="2437"/>
            <w:tcMar>
              <w:top w:w="80" w:type="dxa"/>
              <w:bottom w:w="80" w:type="dxa"/>
              <w:start w:w="120" w:type="dxa"/>
              <w:end w:w="120" w:type="dxa"/>
            </w:tcMar>
            <w:vAlign w:val="center"/>
          </w:tcPr>
          <w:p>
            <w:pPr>
              <w:spacing w:after="0" w:line="252" w:lineRule="auto"/>
              <w:jc w:val="left"/>
            </w:pPr>
            <w:r>
              <w:rPr>
                <w:rFonts w:ascii="Times New Roman" w:hAnsi="Times New Roman"/>
                <w:sz w:val="19"/>
              </w:rPr>
              <w:t>Live persistence</w:t>
            </w:r>
          </w:p>
        </w:tc>
        <w:tc>
          <w:tcPr>
            <w:tcW w:type="dxa" w:w="5596"/>
            <w:tcMar>
              <w:top w:w="80" w:type="dxa"/>
              <w:bottom w:w="80" w:type="dxa"/>
              <w:start w:w="120" w:type="dxa"/>
              <w:end w:w="120" w:type="dxa"/>
            </w:tcMar>
            <w:vAlign w:val="center"/>
          </w:tcPr>
          <w:p>
            <w:pPr>
              <w:spacing w:after="0" w:line="252" w:lineRule="auto"/>
              <w:jc w:val="left"/>
            </w:pPr>
            <w:r>
              <w:rPr>
                <w:rFonts w:ascii="Times New Roman" w:hAnsi="Times New Roman"/>
                <w:sz w:val="19"/>
              </w:rPr>
              <w:t>Repair Docker Desktop or use an approved local engine; validate PostgreSQL migrations, Redis/Celery, and Neo4j degradation.</w:t>
            </w:r>
          </w:p>
        </w:tc>
      </w:tr>
      <w:tr>
        <w:trPr/>
        <w:tc>
          <w:tcPr>
            <w:tcW w:type="dxa" w:w="993"/>
            <w:tcMar>
              <w:top w:w="80" w:type="dxa"/>
              <w:bottom w:w="80" w:type="dxa"/>
              <w:start w:w="120" w:type="dxa"/>
              <w:end w:w="120" w:type="dxa"/>
            </w:tcMar>
            <w:vAlign w:val="center"/>
          </w:tcPr>
          <w:p>
            <w:pPr>
              <w:spacing w:after="0" w:line="252" w:lineRule="auto"/>
              <w:jc w:val="left"/>
            </w:pPr>
            <w:r>
              <w:rPr>
                <w:rFonts w:ascii="Times New Roman" w:hAnsi="Times New Roman"/>
                <w:sz w:val="19"/>
              </w:rPr>
              <w:t>3</w:t>
            </w:r>
          </w:p>
        </w:tc>
        <w:tc>
          <w:tcPr>
            <w:tcW w:type="dxa" w:w="2437"/>
            <w:tcMar>
              <w:top w:w="80" w:type="dxa"/>
              <w:bottom w:w="80" w:type="dxa"/>
              <w:start w:w="120" w:type="dxa"/>
              <w:end w:w="120" w:type="dxa"/>
            </w:tcMar>
            <w:vAlign w:val="center"/>
          </w:tcPr>
          <w:p>
            <w:pPr>
              <w:spacing w:after="0" w:line="252" w:lineRule="auto"/>
              <w:jc w:val="left"/>
            </w:pPr>
            <w:r>
              <w:rPr>
                <w:rFonts w:ascii="Times New Roman" w:hAnsi="Times New Roman"/>
                <w:sz w:val="19"/>
              </w:rPr>
              <w:t>Absorption evidence</w:t>
            </w:r>
          </w:p>
        </w:tc>
        <w:tc>
          <w:tcPr>
            <w:tcW w:type="dxa" w:w="5596"/>
            <w:tcMar>
              <w:top w:w="80" w:type="dxa"/>
              <w:bottom w:w="80" w:type="dxa"/>
              <w:start w:w="120" w:type="dxa"/>
              <w:end w:w="120" w:type="dxa"/>
            </w:tcMar>
            <w:vAlign w:val="center"/>
          </w:tcPr>
          <w:p>
            <w:pPr>
              <w:spacing w:after="0" w:line="252" w:lineRule="auto"/>
              <w:jc w:val="left"/>
            </w:pPr>
            <w:r>
              <w:rPr>
                <w:rFonts w:ascii="Times New Roman" w:hAnsi="Times New Roman"/>
                <w:sz w:val="19"/>
              </w:rPr>
              <w:t>Implement Admin evidence/review flow and activate only expert-approved bounded quantitative rules.</w:t>
            </w:r>
          </w:p>
        </w:tc>
      </w:tr>
      <w:tr>
        <w:trPr/>
        <w:tc>
          <w:tcPr>
            <w:tcW w:type="dxa" w:w="993"/>
            <w:tcMar>
              <w:top w:w="80" w:type="dxa"/>
              <w:bottom w:w="80" w:type="dxa"/>
              <w:start w:w="120" w:type="dxa"/>
              <w:end w:w="120" w:type="dxa"/>
            </w:tcMar>
            <w:vAlign w:val="center"/>
          </w:tcPr>
          <w:p>
            <w:pPr>
              <w:spacing w:after="0" w:line="252" w:lineRule="auto"/>
              <w:jc w:val="left"/>
            </w:pPr>
            <w:r>
              <w:rPr>
                <w:rFonts w:ascii="Times New Roman" w:hAnsi="Times New Roman"/>
                <w:sz w:val="19"/>
              </w:rPr>
              <w:t>4</w:t>
            </w:r>
          </w:p>
        </w:tc>
        <w:tc>
          <w:tcPr>
            <w:tcW w:type="dxa" w:w="2437"/>
            <w:tcMar>
              <w:top w:w="80" w:type="dxa"/>
              <w:bottom w:w="80" w:type="dxa"/>
              <w:start w:w="120" w:type="dxa"/>
              <w:end w:w="120" w:type="dxa"/>
            </w:tcMar>
            <w:vAlign w:val="center"/>
          </w:tcPr>
          <w:p>
            <w:pPr>
              <w:spacing w:after="0" w:line="252" w:lineRule="auto"/>
              <w:jc w:val="left"/>
            </w:pPr>
            <w:r>
              <w:rPr>
                <w:rFonts w:ascii="Times New Roman" w:hAnsi="Times New Roman"/>
                <w:sz w:val="19"/>
              </w:rPr>
              <w:t>Nutritional memory</w:t>
            </w:r>
          </w:p>
        </w:tc>
        <w:tc>
          <w:tcPr>
            <w:tcW w:type="dxa" w:w="5596"/>
            <w:tcMar>
              <w:top w:w="80" w:type="dxa"/>
              <w:bottom w:w="80" w:type="dxa"/>
              <w:start w:w="120" w:type="dxa"/>
              <w:end w:w="120" w:type="dxa"/>
            </w:tcMar>
            <w:vAlign w:val="center"/>
          </w:tcPr>
          <w:p>
            <w:pPr>
              <w:spacing w:after="0" w:line="252" w:lineRule="auto"/>
              <w:jc w:val="left"/>
            </w:pPr>
            <w:r>
              <w:rPr>
                <w:rFonts w:ascii="Times New Roman" w:hAnsi="Times New Roman"/>
                <w:sz w:val="19"/>
              </w:rPr>
              <w:t>Materialize daily/rolling/risk snapshots; schedule and retry idempotent recomputation.</w:t>
            </w:r>
          </w:p>
        </w:tc>
      </w:tr>
      <w:tr>
        <w:trPr/>
        <w:tc>
          <w:tcPr>
            <w:tcW w:type="dxa" w:w="993"/>
            <w:tcMar>
              <w:top w:w="80" w:type="dxa"/>
              <w:bottom w:w="80" w:type="dxa"/>
              <w:start w:w="120" w:type="dxa"/>
              <w:end w:w="120" w:type="dxa"/>
            </w:tcMar>
            <w:vAlign w:val="center"/>
          </w:tcPr>
          <w:p>
            <w:pPr>
              <w:spacing w:after="0" w:line="252" w:lineRule="auto"/>
              <w:jc w:val="left"/>
            </w:pPr>
            <w:r>
              <w:rPr>
                <w:rFonts w:ascii="Times New Roman" w:hAnsi="Times New Roman"/>
                <w:sz w:val="19"/>
              </w:rPr>
              <w:t>5</w:t>
            </w:r>
          </w:p>
        </w:tc>
        <w:tc>
          <w:tcPr>
            <w:tcW w:type="dxa" w:w="2437"/>
            <w:tcMar>
              <w:top w:w="80" w:type="dxa"/>
              <w:bottom w:w="80" w:type="dxa"/>
              <w:start w:w="120" w:type="dxa"/>
              <w:end w:w="120" w:type="dxa"/>
            </w:tcMar>
            <w:vAlign w:val="center"/>
          </w:tcPr>
          <w:p>
            <w:pPr>
              <w:spacing w:after="0" w:line="252" w:lineRule="auto"/>
              <w:jc w:val="left"/>
            </w:pPr>
            <w:r>
              <w:rPr>
                <w:rFonts w:ascii="Times New Roman" w:hAnsi="Times New Roman"/>
                <w:sz w:val="19"/>
              </w:rPr>
              <w:t>Optimization API</w:t>
            </w:r>
          </w:p>
        </w:tc>
        <w:tc>
          <w:tcPr>
            <w:tcW w:type="dxa" w:w="5596"/>
            <w:tcMar>
              <w:top w:w="80" w:type="dxa"/>
              <w:bottom w:w="80" w:type="dxa"/>
              <w:start w:w="120" w:type="dxa"/>
              <w:end w:w="120" w:type="dxa"/>
            </w:tcMar>
            <w:vAlign w:val="center"/>
          </w:tcPr>
          <w:p>
            <w:pPr>
              <w:spacing w:after="0" w:line="252" w:lineRule="auto"/>
              <w:jc w:val="left"/>
            </w:pPr>
            <w:r>
              <w:rPr>
                <w:rFonts w:ascii="Times New Roman" w:hAnsi="Times New Roman"/>
                <w:sz w:val="19"/>
              </w:rPr>
              <w:t>Persist and expose bounded CP-SAT construction, infeasibility fallback, and exact explanation traces.</w:t>
            </w:r>
          </w:p>
        </w:tc>
      </w:tr>
      <w:tr>
        <w:trPr/>
        <w:tc>
          <w:tcPr>
            <w:tcW w:type="dxa" w:w="993"/>
            <w:tcMar>
              <w:top w:w="80" w:type="dxa"/>
              <w:bottom w:w="80" w:type="dxa"/>
              <w:start w:w="120" w:type="dxa"/>
              <w:end w:w="120" w:type="dxa"/>
            </w:tcMar>
            <w:vAlign w:val="center"/>
          </w:tcPr>
          <w:p>
            <w:pPr>
              <w:spacing w:after="0" w:line="252" w:lineRule="auto"/>
              <w:jc w:val="left"/>
            </w:pPr>
            <w:r>
              <w:rPr>
                <w:rFonts w:ascii="Times New Roman" w:hAnsi="Times New Roman"/>
                <w:sz w:val="19"/>
              </w:rPr>
              <w:t>6</w:t>
            </w:r>
          </w:p>
        </w:tc>
        <w:tc>
          <w:tcPr>
            <w:tcW w:type="dxa" w:w="2437"/>
            <w:tcMar>
              <w:top w:w="80" w:type="dxa"/>
              <w:bottom w:w="80" w:type="dxa"/>
              <w:start w:w="120" w:type="dxa"/>
              <w:end w:w="120" w:type="dxa"/>
            </w:tcMar>
            <w:vAlign w:val="center"/>
          </w:tcPr>
          <w:p>
            <w:pPr>
              <w:spacing w:after="0" w:line="252" w:lineRule="auto"/>
              <w:jc w:val="left"/>
            </w:pPr>
            <w:r>
              <w:rPr>
                <w:rFonts w:ascii="Times New Roman" w:hAnsi="Times New Roman"/>
                <w:sz w:val="19"/>
              </w:rPr>
              <w:t>Pantry and grocery</w:t>
            </w:r>
          </w:p>
        </w:tc>
        <w:tc>
          <w:tcPr>
            <w:tcW w:type="dxa" w:w="5596"/>
            <w:tcMar>
              <w:top w:w="80" w:type="dxa"/>
              <w:bottom w:w="80" w:type="dxa"/>
              <w:start w:w="120" w:type="dxa"/>
              <w:end w:w="120" w:type="dxa"/>
            </w:tcMar>
            <w:vAlign w:val="center"/>
          </w:tcPr>
          <w:p>
            <w:pPr>
              <w:spacing w:after="0" w:line="252" w:lineRule="auto"/>
              <w:jc w:val="left"/>
            </w:pPr>
            <w:r>
              <w:rPr>
                <w:rFonts w:ascii="Times New Roman" w:hAnsi="Times New Roman"/>
                <w:sz w:val="19"/>
              </w:rPr>
              <w:t>Add pantry, expiry, price, budget, substitutions, shopping lists, and grocery linear optimization.</w:t>
            </w:r>
          </w:p>
        </w:tc>
      </w:tr>
      <w:tr>
        <w:trPr/>
        <w:tc>
          <w:tcPr>
            <w:tcW w:type="dxa" w:w="993"/>
            <w:tcMar>
              <w:top w:w="80" w:type="dxa"/>
              <w:bottom w:w="80" w:type="dxa"/>
              <w:start w:w="120" w:type="dxa"/>
              <w:end w:w="120" w:type="dxa"/>
            </w:tcMar>
            <w:vAlign w:val="center"/>
          </w:tcPr>
          <w:p>
            <w:pPr>
              <w:spacing w:after="0" w:line="252" w:lineRule="auto"/>
              <w:jc w:val="left"/>
            </w:pPr>
            <w:r>
              <w:rPr>
                <w:rFonts w:ascii="Times New Roman" w:hAnsi="Times New Roman"/>
                <w:sz w:val="19"/>
              </w:rPr>
              <w:t>7</w:t>
            </w:r>
          </w:p>
        </w:tc>
        <w:tc>
          <w:tcPr>
            <w:tcW w:type="dxa" w:w="2437"/>
            <w:tcMar>
              <w:top w:w="80" w:type="dxa"/>
              <w:bottom w:w="80" w:type="dxa"/>
              <w:start w:w="120" w:type="dxa"/>
              <w:end w:w="120" w:type="dxa"/>
            </w:tcMar>
            <w:vAlign w:val="center"/>
          </w:tcPr>
          <w:p>
            <w:pPr>
              <w:spacing w:after="0" w:line="252" w:lineRule="auto"/>
              <w:jc w:val="left"/>
            </w:pPr>
            <w:r>
              <w:rPr>
                <w:rFonts w:ascii="Times New Roman" w:hAnsi="Times New Roman"/>
                <w:sz w:val="19"/>
              </w:rPr>
              <w:t>Simulation and graph</w:t>
            </w:r>
          </w:p>
        </w:tc>
        <w:tc>
          <w:tcPr>
            <w:tcW w:type="dxa" w:w="5596"/>
            <w:tcMar>
              <w:top w:w="80" w:type="dxa"/>
              <w:bottom w:w="80" w:type="dxa"/>
              <w:start w:w="120" w:type="dxa"/>
              <w:end w:w="120" w:type="dxa"/>
            </w:tcMar>
            <w:vAlign w:val="center"/>
          </w:tcPr>
          <w:p>
            <w:pPr>
              <w:spacing w:after="0" w:line="252" w:lineRule="auto"/>
              <w:jc w:val="left"/>
            </w:pPr>
            <w:r>
              <w:rPr>
                <w:rFonts w:ascii="Times New Roman" w:hAnsi="Times New Roman"/>
                <w:sz w:val="19"/>
              </w:rPr>
              <w:t>Add bounded what-if projections and cited Neo4j evidence relationships with graceful degradation.</w:t>
            </w:r>
          </w:p>
        </w:tc>
      </w:tr>
      <w:tr>
        <w:trPr/>
        <w:tc>
          <w:tcPr>
            <w:tcW w:type="dxa" w:w="993"/>
            <w:tcMar>
              <w:top w:w="80" w:type="dxa"/>
              <w:bottom w:w="80" w:type="dxa"/>
              <w:start w:w="120" w:type="dxa"/>
              <w:end w:w="120" w:type="dxa"/>
            </w:tcMar>
            <w:vAlign w:val="center"/>
          </w:tcPr>
          <w:p>
            <w:pPr>
              <w:spacing w:after="0" w:line="252" w:lineRule="auto"/>
              <w:jc w:val="left"/>
            </w:pPr>
            <w:r>
              <w:rPr>
                <w:rFonts w:ascii="Times New Roman" w:hAnsi="Times New Roman"/>
                <w:sz w:val="19"/>
              </w:rPr>
              <w:t>8</w:t>
            </w:r>
          </w:p>
        </w:tc>
        <w:tc>
          <w:tcPr>
            <w:tcW w:type="dxa" w:w="2437"/>
            <w:tcMar>
              <w:top w:w="80" w:type="dxa"/>
              <w:bottom w:w="80" w:type="dxa"/>
              <w:start w:w="120" w:type="dxa"/>
              <w:end w:w="120" w:type="dxa"/>
            </w:tcMar>
            <w:vAlign w:val="center"/>
          </w:tcPr>
          <w:p>
            <w:pPr>
              <w:spacing w:after="0" w:line="252" w:lineRule="auto"/>
              <w:jc w:val="left"/>
            </w:pPr>
            <w:r>
              <w:rPr>
                <w:rFonts w:ascii="Times New Roman" w:hAnsi="Times New Roman"/>
                <w:sz w:val="19"/>
              </w:rPr>
              <w:t>Flutter core</w:t>
            </w:r>
          </w:p>
        </w:tc>
        <w:tc>
          <w:tcPr>
            <w:tcW w:type="dxa" w:w="5596"/>
            <w:tcMar>
              <w:top w:w="80" w:type="dxa"/>
              <w:bottom w:w="80" w:type="dxa"/>
              <w:start w:w="120" w:type="dxa"/>
              <w:end w:w="120" w:type="dxa"/>
            </w:tcMar>
            <w:vAlign w:val="center"/>
          </w:tcPr>
          <w:p>
            <w:pPr>
              <w:spacing w:after="0" w:line="252" w:lineRule="auto"/>
              <w:jc w:val="left"/>
            </w:pPr>
            <w:r>
              <w:rPr>
                <w:rFonts w:ascii="Times New Roman" w:hAnsi="Times New Roman"/>
                <w:sz w:val="19"/>
              </w:rPr>
              <w:t>Implement onboarding, auth, consent, profile, food search, meal logging, dashboard, and trends.</w:t>
            </w:r>
          </w:p>
        </w:tc>
      </w:tr>
      <w:tr>
        <w:trPr/>
        <w:tc>
          <w:tcPr>
            <w:tcW w:type="dxa" w:w="993"/>
            <w:tcMar>
              <w:top w:w="80" w:type="dxa"/>
              <w:bottom w:w="80" w:type="dxa"/>
              <w:start w:w="120" w:type="dxa"/>
              <w:end w:w="120" w:type="dxa"/>
            </w:tcMar>
            <w:vAlign w:val="center"/>
          </w:tcPr>
          <w:p>
            <w:pPr>
              <w:spacing w:after="0" w:line="252" w:lineRule="auto"/>
              <w:jc w:val="left"/>
            </w:pPr>
            <w:r>
              <w:rPr>
                <w:rFonts w:ascii="Times New Roman" w:hAnsi="Times New Roman"/>
                <w:sz w:val="19"/>
              </w:rPr>
              <w:t>9</w:t>
            </w:r>
          </w:p>
        </w:tc>
        <w:tc>
          <w:tcPr>
            <w:tcW w:type="dxa" w:w="2437"/>
            <w:tcMar>
              <w:top w:w="80" w:type="dxa"/>
              <w:bottom w:w="80" w:type="dxa"/>
              <w:start w:w="120" w:type="dxa"/>
              <w:end w:w="120" w:type="dxa"/>
            </w:tcMar>
            <w:vAlign w:val="center"/>
          </w:tcPr>
          <w:p>
            <w:pPr>
              <w:spacing w:after="0" w:line="252" w:lineRule="auto"/>
              <w:jc w:val="left"/>
            </w:pPr>
            <w:r>
              <w:rPr>
                <w:rFonts w:ascii="Times New Roman" w:hAnsi="Times New Roman"/>
                <w:sz w:val="19"/>
              </w:rPr>
              <w:t>Flutter decisions</w:t>
            </w:r>
          </w:p>
        </w:tc>
        <w:tc>
          <w:tcPr>
            <w:tcW w:type="dxa" w:w="5596"/>
            <w:tcMar>
              <w:top w:w="80" w:type="dxa"/>
              <w:bottom w:w="80" w:type="dxa"/>
              <w:start w:w="120" w:type="dxa"/>
              <w:end w:w="120" w:type="dxa"/>
            </w:tcMar>
            <w:vAlign w:val="center"/>
          </w:tcPr>
          <w:p>
            <w:pPr>
              <w:spacing w:after="0" w:line="252" w:lineRule="auto"/>
              <w:jc w:val="left"/>
            </w:pPr>
            <w:r>
              <w:rPr>
                <w:rFonts w:ascii="Times New Roman" w:hAnsi="Times New Roman"/>
                <w:sz w:val="19"/>
              </w:rPr>
              <w:t>Add recommendation/explanation, pantry, grocery, simulation, loading/error/offline, and accessibility states.</w:t>
            </w:r>
          </w:p>
        </w:tc>
      </w:tr>
      <w:tr>
        <w:trPr/>
        <w:tc>
          <w:tcPr>
            <w:tcW w:type="dxa" w:w="993"/>
            <w:tcMar>
              <w:top w:w="80" w:type="dxa"/>
              <w:bottom w:w="80" w:type="dxa"/>
              <w:start w:w="120" w:type="dxa"/>
              <w:end w:w="120" w:type="dxa"/>
            </w:tcMar>
            <w:vAlign w:val="center"/>
          </w:tcPr>
          <w:p>
            <w:pPr>
              <w:spacing w:after="0" w:line="252" w:lineRule="auto"/>
              <w:jc w:val="left"/>
            </w:pPr>
            <w:r>
              <w:rPr>
                <w:rFonts w:ascii="Times New Roman" w:hAnsi="Times New Roman"/>
                <w:sz w:val="19"/>
              </w:rPr>
              <w:t>10</w:t>
            </w:r>
          </w:p>
        </w:tc>
        <w:tc>
          <w:tcPr>
            <w:tcW w:type="dxa" w:w="2437"/>
            <w:tcMar>
              <w:top w:w="80" w:type="dxa"/>
              <w:bottom w:w="80" w:type="dxa"/>
              <w:start w:w="120" w:type="dxa"/>
              <w:end w:w="120" w:type="dxa"/>
            </w:tcMar>
            <w:vAlign w:val="center"/>
          </w:tcPr>
          <w:p>
            <w:pPr>
              <w:spacing w:after="0" w:line="252" w:lineRule="auto"/>
              <w:jc w:val="left"/>
            </w:pPr>
            <w:r>
              <w:rPr>
                <w:rFonts w:ascii="Times New Roman" w:hAnsi="Times New Roman"/>
                <w:sz w:val="19"/>
              </w:rPr>
              <w:t>Hardening</w:t>
            </w:r>
          </w:p>
        </w:tc>
        <w:tc>
          <w:tcPr>
            <w:tcW w:type="dxa" w:w="5596"/>
            <w:tcMar>
              <w:top w:w="80" w:type="dxa"/>
              <w:bottom w:w="80" w:type="dxa"/>
              <w:start w:w="120" w:type="dxa"/>
              <w:end w:w="120" w:type="dxa"/>
            </w:tcMar>
            <w:vAlign w:val="center"/>
          </w:tcPr>
          <w:p>
            <w:pPr>
              <w:spacing w:after="0" w:line="252" w:lineRule="auto"/>
              <w:jc w:val="left"/>
            </w:pPr>
            <w:r>
              <w:rPr>
                <w:rFonts w:ascii="Times New Roman" w:hAnsi="Times New Roman"/>
                <w:sz w:val="19"/>
              </w:rPr>
              <w:t>Run live integration, widget/end-to-end, security, migration, performance, accessibility, and reproducibility checks; finalize report.</w:t>
            </w:r>
          </w:p>
        </w:tc>
      </w:tr>
    </w:tbl>
    <w:p>
      <w:pPr>
        <w:keepNext/>
        <w:widowControl/>
        <w:jc w:val="left"/>
      </w:pPr>
      <w:r>
        <w:rPr>
          <w:rFonts w:ascii="Times New Roman" w:hAnsi="Times New Roman"/>
          <w:b/>
          <w:sz w:val="24"/>
        </w:rPr>
        <w:t>References</w:t>
      </w:r>
    </w:p>
    <w:p>
      <w:pPr>
        <w:pStyle w:val="ListParagraph"/>
        <w:widowControl/>
        <w:numPr>
          <w:ilvl w:val="0"/>
          <w:numId w:val="2"/>
        </w:numPr>
      </w:pPr>
      <w:r>
        <w:rPr>
          <w:rFonts w:ascii="Times New Roman" w:hAnsi="Times New Roman"/>
          <w:sz w:val="21"/>
        </w:rPr>
        <w:t>Cronometer. Advanced Features for Accurate Nutrition &amp; Calorie Tracking. https://cronometer.com/features/ (accessed 30 August 2026).</w:t>
      </w:r>
    </w:p>
    <w:p>
      <w:pPr>
        <w:pStyle w:val="ListParagraph"/>
        <w:widowControl/>
        <w:numPr>
          <w:ilvl w:val="0"/>
          <w:numId w:val="2"/>
        </w:numPr>
      </w:pPr>
      <w:r>
        <w:rPr>
          <w:rFonts w:ascii="Times New Roman" w:hAnsi="Times New Roman"/>
          <w:sz w:val="21"/>
        </w:rPr>
        <w:t>HealthifyMe. Track Nutrition, Plan Your Diet, Get Fitter. https://www.healthifyme.com/ (accessed 30 August 2026).</w:t>
      </w:r>
    </w:p>
    <w:p>
      <w:pPr>
        <w:pStyle w:val="ListParagraph"/>
        <w:widowControl/>
        <w:numPr>
          <w:ilvl w:val="0"/>
          <w:numId w:val="2"/>
        </w:numPr>
      </w:pPr>
      <w:r>
        <w:rPr>
          <w:rFonts w:ascii="Times New Roman" w:hAnsi="Times New Roman"/>
          <w:sz w:val="21"/>
        </w:rPr>
        <w:t>Livingstone KM et al. Effect of an Internet-based, personalized nutrition randomized trial on dietary changes associated with the Mediterranean diet: the Food4Me Study. American Journal of Clinical Nutrition. 2016;104(2):288-297. doi:10.3945/ajcn.115.129049.</w:t>
      </w:r>
    </w:p>
    <w:p>
      <w:pPr>
        <w:pStyle w:val="ListParagraph"/>
        <w:widowControl/>
        <w:numPr>
          <w:ilvl w:val="0"/>
          <w:numId w:val="2"/>
        </w:numPr>
      </w:pPr>
      <w:r>
        <w:rPr>
          <w:rFonts w:ascii="Times New Roman" w:hAnsi="Times New Roman"/>
          <w:sz w:val="21"/>
        </w:rPr>
        <w:t>Franco RZ, Fallaize R, Hwang F, Lovegrove JA. Strategies for online personalised nutrition advice employed in the development of the eNutri web app. Proceedings of the Nutrition Society. 2019;78(3):407-417. doi:10.1017/S0029665118002707.</w:t>
      </w:r>
    </w:p>
    <w:p>
      <w:pPr>
        <w:pStyle w:val="ListParagraph"/>
        <w:widowControl/>
        <w:numPr>
          <w:ilvl w:val="0"/>
          <w:numId w:val="2"/>
        </w:numPr>
      </w:pPr>
      <w:r>
        <w:rPr>
          <w:rFonts w:ascii="Times New Roman" w:hAnsi="Times New Roman"/>
          <w:sz w:val="21"/>
        </w:rPr>
        <w:t>Gkouskou K et al. The 'Virtual Digital Twins' Concept in Precision Nutrition. Advances in Nutrition. 2020;11(6):1405-1413. doi:10.1093/advances/nmaa089.</w:t>
      </w:r>
    </w:p>
    <w:p>
      <w:pPr>
        <w:pStyle w:val="ListParagraph"/>
        <w:widowControl/>
        <w:numPr>
          <w:ilvl w:val="0"/>
          <w:numId w:val="2"/>
        </w:numPr>
      </w:pPr>
      <w:r>
        <w:rPr>
          <w:rFonts w:ascii="Times New Roman" w:hAnsi="Times New Roman"/>
          <w:sz w:val="21"/>
        </w:rPr>
        <w:t>ICMR-NIN Expert Group. Nutrient Requirements for Indians: Recommended Dietary Allowances and Estimated Average Requirements. 2020. Authoritative target source; tables not bundled pending lawful access.</w:t>
      </w:r>
    </w:p>
    <w:p>
      <w:pPr>
        <w:pStyle w:val="ListParagraph"/>
        <w:widowControl/>
        <w:numPr>
          <w:ilvl w:val="0"/>
          <w:numId w:val="2"/>
        </w:numPr>
      </w:pPr>
      <w:r>
        <w:rPr>
          <w:rFonts w:ascii="Times New Roman" w:hAnsi="Times New Roman"/>
          <w:sz w:val="21"/>
        </w:rPr>
        <w:t>ICMR-NIN. Dietary Guidelines for Indians 2024. Educational and governance reference; electronic-product reuse restrictions observed.</w:t>
      </w:r>
    </w:p>
    <w:p>
      <w:pPr>
        <w:pStyle w:val="ListParagraph"/>
        <w:widowControl/>
        <w:numPr>
          <w:ilvl w:val="0"/>
          <w:numId w:val="2"/>
        </w:numPr>
      </w:pPr>
      <w:r>
        <w:rPr>
          <w:rFonts w:ascii="Times New Roman" w:hAnsi="Times New Roman"/>
          <w:sz w:val="21"/>
        </w:rPr>
        <w:t>Longvah T et al. Indian Food Composition Tables 2017. ICMR-NIN. Preferred Indian food-composition source; redistribution permission unresolved.</w:t>
      </w:r>
    </w:p>
    <w:p>
      <w:pPr>
        <w:pStyle w:val="ListParagraph"/>
        <w:widowControl/>
        <w:numPr>
          <w:ilvl w:val="0"/>
          <w:numId w:val="2"/>
        </w:numPr>
      </w:pPr>
      <w:r>
        <w:rPr>
          <w:rFonts w:ascii="Times New Roman" w:hAnsi="Times New Roman"/>
          <w:sz w:val="21"/>
        </w:rPr>
        <w:t>NutriTwin repository evidence: README.md, docs/ARCHITECTURE.md, docs/ALGORITHM_SPECIFICATION.md, docs/DATA_SOURCE_REGISTER.md, and docs/VALIDATION_REPORT.md at commit 9f945b0 and the subsequent Review-1 report commit.</w:t>
      </w:r>
    </w:p>
    <w:p>
      <w:pPr>
        <w:widowControl/>
      </w:pPr>
      <w:r>
        <w:rPr>
          <w:rFonts w:ascii="Times New Roman" w:hAnsi="Times New Roman"/>
          <w:i/>
          <w:sz w:val="21"/>
        </w:rPr>
        <w:t>Academic-use note: Student identity fields must be completed and every claim should be independently reviewed against institutional policy before submission. The template's supplied evaluation rubric and AI-use warning are retained below without alteration.</w:t>
      </w:r>
    </w:p>
    <w:p w14:paraId="22EAFC33" w14:textId="51CA3C68" w:rsidR="00BF184A" w:rsidRDefault="00BF184A" w:rsidP="00BF184A">
      <w:pPr>
        <w:keepNext/>
        <w:widowControl/>
        <w:jc w:val="left"/>
        <w:rPr>
          <w:b/>
          <w:bCs/>
          <w:lang w:eastAsia="en-IN"/>
        </w:rPr>
      </w:pPr>
      <w:r>
        <w:rPr>
          <w:rFonts w:ascii="Times New Roman" w:hAnsi="Times New Roman"/>
          <w:b/>
          <w:sz w:val="24"/>
        </w:rPr>
        <w:t>Evaluation Rubric:</w:t>
      </w:r>
    </w:p>
    <w:p w14:paraId="092144C4" w14:textId="177D643E" w:rsidR="00C27AAA" w:rsidRPr="00847DBF" w:rsidRDefault="00C27AAA" w:rsidP="00847DBF">
      <w:pPr>
        <w:pStyle w:val="ListParagraph"/>
        <w:widowControl/>
        <w:numPr>
          <w:ilvl w:val="0"/>
          <w:numId w:val="1"/>
        </w:numPr>
        <w:rPr>
          <w:b/>
          <w:bCs/>
          <w:lang w:eastAsia="en-IN"/>
        </w:rPr>
      </w:pPr>
      <w:r w:rsidRPr="00847DBF">
        <w:rPr>
          <w:rFonts w:ascii="Times New Roman" w:hAnsi="Times New Roman"/>
          <w:b/>
          <w:bCs/>
          <w:lang w:eastAsia="en-IN"/>
        </w:rPr>
        <w:t xml:space="preserve">Concept and </w:t>
      </w:r>
      <w:r w:rsidR="00704C28" w:rsidRPr="00847DBF">
        <w:rPr>
          <w:rFonts w:ascii="Times New Roman" w:hAnsi="Times New Roman"/>
          <w:b/>
          <w:bCs/>
          <w:lang w:eastAsia="en-IN"/>
        </w:rPr>
        <w:t>Novelty</w:t>
      </w:r>
      <w:r w:rsidR="00847DBF" w:rsidRPr="00847DBF">
        <w:rPr>
          <w:rFonts w:ascii="Times New Roman" w:hAnsi="Times New Roman"/>
          <w:b/>
          <w:bCs/>
          <w:lang w:eastAsia="en-IN"/>
        </w:rPr>
        <w:t xml:space="preserve"> – 5 </w:t>
      </w:r>
      <w:r w:rsidR="00704C28" w:rsidRPr="00847DBF">
        <w:rPr>
          <w:rFonts w:ascii="Times New Roman" w:hAnsi="Times New Roman"/>
          <w:b/>
          <w:bCs/>
          <w:lang w:eastAsia="en-IN"/>
        </w:rPr>
        <w:t>marks</w:t>
      </w:r>
    </w:p>
    <w:p w14:paraId="6B5DA272" w14:textId="407B6F72" w:rsidR="00704C28" w:rsidRPr="00847DBF" w:rsidRDefault="00704C28" w:rsidP="00847DBF">
      <w:pPr>
        <w:pStyle w:val="ListParagraph"/>
        <w:widowControl/>
        <w:numPr>
          <w:ilvl w:val="0"/>
          <w:numId w:val="1"/>
        </w:numPr>
        <w:rPr>
          <w:b/>
          <w:bCs/>
          <w:lang w:eastAsia="en-IN"/>
        </w:rPr>
      </w:pPr>
      <w:r w:rsidRPr="00847DBF">
        <w:rPr>
          <w:rFonts w:ascii="Times New Roman" w:hAnsi="Times New Roman"/>
          <w:b/>
          <w:bCs/>
          <w:lang w:eastAsia="en-IN"/>
        </w:rPr>
        <w:t>Review of Related Works</w:t>
      </w:r>
      <w:r w:rsidR="00847DBF" w:rsidRPr="00847DBF">
        <w:rPr>
          <w:rFonts w:ascii="Times New Roman" w:hAnsi="Times New Roman"/>
          <w:b/>
          <w:bCs/>
          <w:lang w:eastAsia="en-IN"/>
        </w:rPr>
        <w:t xml:space="preserve"> – </w:t>
      </w:r>
      <w:r w:rsidRPr="00847DBF">
        <w:rPr>
          <w:rFonts w:ascii="Times New Roman" w:hAnsi="Times New Roman"/>
          <w:b/>
          <w:bCs/>
          <w:lang w:eastAsia="en-IN"/>
        </w:rPr>
        <w:t>5 marks</w:t>
      </w:r>
    </w:p>
    <w:p w14:paraId="5AEB6DBB" w14:textId="1288C0B0" w:rsidR="00BD1A9D" w:rsidRPr="00847DBF" w:rsidRDefault="00BD1A9D" w:rsidP="00847DBF">
      <w:pPr>
        <w:pStyle w:val="ListParagraph"/>
        <w:widowControl/>
        <w:numPr>
          <w:ilvl w:val="0"/>
          <w:numId w:val="1"/>
        </w:numPr>
        <w:rPr>
          <w:b/>
          <w:bCs/>
          <w:lang w:eastAsia="en-IN"/>
        </w:rPr>
      </w:pPr>
      <w:r w:rsidRPr="00847DBF">
        <w:rPr>
          <w:rFonts w:ascii="Times New Roman" w:hAnsi="Times New Roman"/>
          <w:b/>
          <w:bCs/>
          <w:lang w:eastAsia="en-IN"/>
        </w:rPr>
        <w:t>Tech Stack and Architecture</w:t>
      </w:r>
      <w:r w:rsidR="00A60E3C" w:rsidRPr="00847DBF">
        <w:rPr>
          <w:rFonts w:ascii="Times New Roman" w:hAnsi="Times New Roman"/>
          <w:b/>
          <w:bCs/>
          <w:lang w:eastAsia="en-IN"/>
        </w:rPr>
        <w:t xml:space="preserve"> </w:t>
      </w:r>
      <w:r w:rsidR="00847DBF" w:rsidRPr="00847DBF">
        <w:rPr>
          <w:rFonts w:ascii="Times New Roman" w:hAnsi="Times New Roman"/>
          <w:b/>
          <w:bCs/>
          <w:lang w:eastAsia="en-IN"/>
        </w:rPr>
        <w:t xml:space="preserve">– 5 </w:t>
      </w:r>
      <w:r w:rsidRPr="00847DBF">
        <w:rPr>
          <w:rFonts w:ascii="Times New Roman" w:hAnsi="Times New Roman"/>
          <w:b/>
          <w:bCs/>
          <w:lang w:eastAsia="en-IN"/>
        </w:rPr>
        <w:t>marks</w:t>
      </w:r>
    </w:p>
    <w:p w14:paraId="68EF894E" w14:textId="77777777" w:rsidR="00A60E3C" w:rsidRPr="00847DBF" w:rsidRDefault="00846E61" w:rsidP="00847DBF">
      <w:pPr>
        <w:pStyle w:val="ListParagraph"/>
        <w:widowControl/>
        <w:numPr>
          <w:ilvl w:val="0"/>
          <w:numId w:val="1"/>
        </w:numPr>
        <w:rPr>
          <w:b/>
          <w:bCs/>
          <w:lang w:eastAsia="en-IN"/>
        </w:rPr>
      </w:pPr>
      <w:r w:rsidRPr="00847DBF">
        <w:rPr>
          <w:rFonts w:ascii="Times New Roman" w:hAnsi="Times New Roman"/>
          <w:b/>
          <w:bCs/>
          <w:lang w:eastAsia="en-IN"/>
        </w:rPr>
        <w:t xml:space="preserve">Current Progress and Implementation </w:t>
      </w:r>
      <w:r w:rsidR="00A60E3C" w:rsidRPr="00847DBF">
        <w:rPr>
          <w:rFonts w:ascii="Times New Roman" w:hAnsi="Times New Roman"/>
          <w:b/>
          <w:bCs/>
          <w:lang w:eastAsia="en-IN"/>
        </w:rPr>
        <w:t>–</w:t>
      </w:r>
      <w:r w:rsidRPr="00847DBF">
        <w:rPr>
          <w:rFonts w:ascii="Times New Roman" w:hAnsi="Times New Roman"/>
          <w:b/>
          <w:bCs/>
          <w:lang w:eastAsia="en-IN"/>
        </w:rPr>
        <w:t xml:space="preserve"> </w:t>
      </w:r>
      <w:r w:rsidR="00A60E3C" w:rsidRPr="00847DBF">
        <w:rPr>
          <w:rFonts w:ascii="Times New Roman" w:hAnsi="Times New Roman"/>
          <w:b/>
          <w:bCs/>
          <w:lang w:eastAsia="en-IN"/>
        </w:rPr>
        <w:t>5 marks</w:t>
      </w:r>
    </w:p>
    <w:p w14:paraId="61EBCCD0" w14:textId="33CC5751" w:rsidR="00704C28" w:rsidRPr="00847DBF" w:rsidRDefault="00847DBF" w:rsidP="00847DBF">
      <w:pPr>
        <w:pStyle w:val="ListParagraph"/>
        <w:widowControl/>
        <w:numPr>
          <w:ilvl w:val="0"/>
          <w:numId w:val="1"/>
        </w:numPr>
        <w:rPr>
          <w:b/>
          <w:bCs/>
          <w:lang w:eastAsia="en-IN"/>
        </w:rPr>
      </w:pPr>
      <w:r w:rsidRPr="00847DBF">
        <w:rPr>
          <w:rFonts w:ascii="Times New Roman" w:hAnsi="Times New Roman"/>
          <w:b/>
          <w:bCs/>
          <w:lang w:eastAsia="en-IN"/>
        </w:rPr>
        <w:t>Future Planning – 5 marks</w:t>
      </w:r>
      <w:r w:rsidR="00704C28" w:rsidRPr="00847DBF">
        <w:rPr>
          <w:rFonts w:ascii="Times New Roman" w:hAnsi="Times New Roman"/>
          <w:b/>
          <w:bCs/>
          <w:lang w:eastAsia="en-IN"/>
        </w:rPr>
        <w:t xml:space="preserve"> </w:t>
      </w:r>
    </w:p>
    <w:p w14:paraId="54C4CB31" w14:textId="306956F5" w:rsidR="00E224C0" w:rsidRPr="00CE0570" w:rsidRDefault="00E224C0" w:rsidP="00B04D4F">
      <w:pPr>
        <w:widowControl/>
        <w:jc w:val="left"/>
        <w:rPr>
          <w:b/>
          <w:bCs/>
        </w:rPr>
      </w:pPr>
      <w:r>
        <w:rPr>
          <w:rFonts w:ascii="Times New Roman" w:hAnsi="Times New Roman"/>
          <w:b/>
          <w:sz w:val="24"/>
        </w:rPr>
        <w:t>Total Marks - 25</w:t>
      </w:r>
    </w:p>
    <w:p w14:paraId="472E983F" w14:textId="798581D6" w:rsidR="00E224C0" w:rsidRDefault="00E224C0" w:rsidP="00B04D4F">
      <w:pPr>
        <w:widowControl/>
        <w:jc w:val="left"/>
      </w:pPr>
      <w:r>
        <w:rPr>
          <w:rFonts w:ascii="Times New Roman" w:hAnsi="Times New Roman"/>
          <w:b w:val="0"/>
          <w:sz w:val="24"/>
        </w:rPr>
        <w:t>(Weightage for internal assessment will be decided and communicated later.)</w:t>
      </w:r>
    </w:p>
    <w:p w14:paraId="4D72332A" w14:textId="648A4D8B" w:rsidR="007E1944" w:rsidRDefault="005B590F" w:rsidP="00B04D4F">
      <w:pPr>
        <w:widowControl/>
        <w:jc w:val="left"/>
      </w:pPr>
      <w:r>
        <w:rPr>
          <w:rFonts w:ascii="Times New Roman" w:hAnsi="Times New Roman"/>
          <w:b w:val="0"/>
          <w:sz w:val="24"/>
        </w:rPr>
        <w:t>Zero marks will be awarded for AI generated report as penalty.</w:t>
      </w:r>
    </w:p>
    <w:sectPr w:rsidR="007E19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A90152"/>
    <w:multiLevelType w:val="hybridMultilevel"/>
    <w:tmpl w:val="A2FE7A2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620185377">
    <w:abstractNumId w:val="0"/>
  </w:num>
  <w:abstractNum w:abstractNumId="1">
    <w:multiLevelType w:val="singleLevel"/>
    <w:lvl w:ilvl="0">
      <w:start w:val="1"/>
      <w:numFmt w:val="decimal"/>
      <w:lvlText w:val="%1."/>
      <w:suff w:val="space"/>
      <w:pPr>
        <w:tabs>
          <w:tab w:val="num" w:pos="540"/>
        </w:tabs>
        <w:ind w:left="540" w:hanging="300"/>
      </w:pPr>
    </w:lvl>
  </w:abstract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IwNDc1MDU0tTQ1NTFS0lEKTi0uzszPAykwrgUAkk5fjSwAAAA="/>
  </w:docVars>
  <w:rsids>
    <w:rsidRoot w:val="00A66885"/>
    <w:rsid w:val="00006485"/>
    <w:rsid w:val="000200E7"/>
    <w:rsid w:val="0017334E"/>
    <w:rsid w:val="001C5816"/>
    <w:rsid w:val="001D27BA"/>
    <w:rsid w:val="00280786"/>
    <w:rsid w:val="00360DF3"/>
    <w:rsid w:val="0042410E"/>
    <w:rsid w:val="00432657"/>
    <w:rsid w:val="00434529"/>
    <w:rsid w:val="00452222"/>
    <w:rsid w:val="00481A06"/>
    <w:rsid w:val="00482AE9"/>
    <w:rsid w:val="004900C6"/>
    <w:rsid w:val="00490457"/>
    <w:rsid w:val="00530A2C"/>
    <w:rsid w:val="0054118F"/>
    <w:rsid w:val="00543D81"/>
    <w:rsid w:val="00544949"/>
    <w:rsid w:val="00547346"/>
    <w:rsid w:val="00566519"/>
    <w:rsid w:val="005B590F"/>
    <w:rsid w:val="005C366B"/>
    <w:rsid w:val="00606EDD"/>
    <w:rsid w:val="0064593F"/>
    <w:rsid w:val="0066380A"/>
    <w:rsid w:val="006F604B"/>
    <w:rsid w:val="00704C28"/>
    <w:rsid w:val="00744F18"/>
    <w:rsid w:val="00763F82"/>
    <w:rsid w:val="007B4B5A"/>
    <w:rsid w:val="007E1944"/>
    <w:rsid w:val="0080245C"/>
    <w:rsid w:val="00822F38"/>
    <w:rsid w:val="00846E61"/>
    <w:rsid w:val="00847DBF"/>
    <w:rsid w:val="00922F3E"/>
    <w:rsid w:val="00953254"/>
    <w:rsid w:val="00A3556B"/>
    <w:rsid w:val="00A60E3C"/>
    <w:rsid w:val="00A66885"/>
    <w:rsid w:val="00A910AD"/>
    <w:rsid w:val="00B04D4F"/>
    <w:rsid w:val="00B12020"/>
    <w:rsid w:val="00B456A2"/>
    <w:rsid w:val="00BB2A4B"/>
    <w:rsid w:val="00BB2F65"/>
    <w:rsid w:val="00BD1A9D"/>
    <w:rsid w:val="00BF184A"/>
    <w:rsid w:val="00C27AAA"/>
    <w:rsid w:val="00C6233D"/>
    <w:rsid w:val="00CC0599"/>
    <w:rsid w:val="00CD2D1F"/>
    <w:rsid w:val="00CE0570"/>
    <w:rsid w:val="00DC08FF"/>
    <w:rsid w:val="00E224C0"/>
    <w:rsid w:val="00E45CDB"/>
    <w:rsid w:val="00E51EC8"/>
    <w:rsid w:val="00EE5782"/>
    <w:rsid w:val="00F06C68"/>
    <w:rsid w:val="00F5251D"/>
    <w:rsid w:val="00F81B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F9B79"/>
  <w15:chartTrackingRefBased/>
  <w15:docId w15:val="{D8F1886A-EC60-48B7-9A28-DABCFF5CF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0599"/>
    <w:pPr>
      <w:spacing w:line="360" w:lineRule="auto"/>
      <w:jc w:val="both"/>
    </w:pPr>
    <w:rPr>
      <w:rFonts w:ascii="Times New Roman" w:hAnsi="Times New Roman"/>
      <w:kern w:val="0"/>
      <w:sz w:val="24"/>
      <w14:ligatures w14:val="none"/>
    </w:rPr>
  </w:style>
  <w:style w:type="paragraph" w:styleId="Heading1">
    <w:name w:val="heading 1"/>
    <w:basedOn w:val="Normal"/>
    <w:next w:val="Normal"/>
    <w:link w:val="Heading1Char"/>
    <w:uiPriority w:val="9"/>
    <w:qFormat/>
    <w:rsid w:val="00A668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68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6688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688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6688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6688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6688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6688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6688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885"/>
    <w:rPr>
      <w:rFonts w:asciiTheme="majorHAnsi" w:eastAsiaTheme="majorEastAsia" w:hAnsiTheme="majorHAnsi" w:cstheme="majorBidi"/>
      <w:color w:val="2F5496"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A66885"/>
    <w:rPr>
      <w:rFonts w:asciiTheme="majorHAnsi" w:eastAsiaTheme="majorEastAsia" w:hAnsiTheme="majorHAnsi" w:cstheme="majorBidi"/>
      <w:color w:val="2F5496" w:themeColor="accent1" w:themeShade="BF"/>
      <w:kern w:val="0"/>
      <w:sz w:val="32"/>
      <w:szCs w:val="32"/>
      <w14:ligatures w14:val="none"/>
    </w:rPr>
  </w:style>
  <w:style w:type="character" w:customStyle="1" w:styleId="Heading3Char">
    <w:name w:val="Heading 3 Char"/>
    <w:basedOn w:val="DefaultParagraphFont"/>
    <w:link w:val="Heading3"/>
    <w:uiPriority w:val="9"/>
    <w:rsid w:val="00A66885"/>
    <w:rPr>
      <w:rFonts w:eastAsiaTheme="majorEastAsia" w:cstheme="majorBidi"/>
      <w:color w:val="2F5496"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A66885"/>
    <w:rPr>
      <w:rFonts w:eastAsiaTheme="majorEastAsia" w:cstheme="majorBidi"/>
      <w:i/>
      <w:iCs/>
      <w:color w:val="2F5496" w:themeColor="accent1" w:themeShade="BF"/>
      <w:kern w:val="0"/>
      <w:sz w:val="24"/>
      <w14:ligatures w14:val="none"/>
    </w:rPr>
  </w:style>
  <w:style w:type="character" w:customStyle="1" w:styleId="Heading5Char">
    <w:name w:val="Heading 5 Char"/>
    <w:basedOn w:val="DefaultParagraphFont"/>
    <w:link w:val="Heading5"/>
    <w:uiPriority w:val="9"/>
    <w:semiHidden/>
    <w:rsid w:val="00A66885"/>
    <w:rPr>
      <w:rFonts w:eastAsiaTheme="majorEastAsia" w:cstheme="majorBidi"/>
      <w:color w:val="2F5496" w:themeColor="accent1" w:themeShade="BF"/>
      <w:kern w:val="0"/>
      <w:sz w:val="24"/>
      <w14:ligatures w14:val="none"/>
    </w:rPr>
  </w:style>
  <w:style w:type="character" w:customStyle="1" w:styleId="Heading6Char">
    <w:name w:val="Heading 6 Char"/>
    <w:basedOn w:val="DefaultParagraphFont"/>
    <w:link w:val="Heading6"/>
    <w:uiPriority w:val="9"/>
    <w:semiHidden/>
    <w:rsid w:val="00A66885"/>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A66885"/>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A66885"/>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A66885"/>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A66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885"/>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A6688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885"/>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A66885"/>
    <w:pPr>
      <w:spacing w:before="160"/>
      <w:jc w:val="center"/>
    </w:pPr>
    <w:rPr>
      <w:i/>
      <w:iCs/>
      <w:color w:val="404040" w:themeColor="text1" w:themeTint="BF"/>
    </w:rPr>
  </w:style>
  <w:style w:type="character" w:customStyle="1" w:styleId="QuoteChar">
    <w:name w:val="Quote Char"/>
    <w:basedOn w:val="DefaultParagraphFont"/>
    <w:link w:val="Quote"/>
    <w:uiPriority w:val="29"/>
    <w:rsid w:val="00A66885"/>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A66885"/>
    <w:pPr>
      <w:ind w:left="720"/>
      <w:contextualSpacing/>
    </w:pPr>
  </w:style>
  <w:style w:type="character" w:styleId="IntenseEmphasis">
    <w:name w:val="Intense Emphasis"/>
    <w:basedOn w:val="DefaultParagraphFont"/>
    <w:uiPriority w:val="21"/>
    <w:qFormat/>
    <w:rsid w:val="00A66885"/>
    <w:rPr>
      <w:i/>
      <w:iCs/>
      <w:color w:val="2F5496" w:themeColor="accent1" w:themeShade="BF"/>
    </w:rPr>
  </w:style>
  <w:style w:type="paragraph" w:styleId="IntenseQuote">
    <w:name w:val="Intense Quote"/>
    <w:basedOn w:val="Normal"/>
    <w:next w:val="Normal"/>
    <w:link w:val="IntenseQuoteChar"/>
    <w:uiPriority w:val="30"/>
    <w:qFormat/>
    <w:rsid w:val="00A668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6885"/>
    <w:rPr>
      <w:rFonts w:ascii="Times New Roman" w:hAnsi="Times New Roman"/>
      <w:i/>
      <w:iCs/>
      <w:color w:val="2F5496" w:themeColor="accent1" w:themeShade="BF"/>
      <w:kern w:val="0"/>
      <w:sz w:val="24"/>
      <w14:ligatures w14:val="none"/>
    </w:rPr>
  </w:style>
  <w:style w:type="character" w:styleId="IntenseReference">
    <w:name w:val="Intense Reference"/>
    <w:basedOn w:val="DefaultParagraphFont"/>
    <w:uiPriority w:val="32"/>
    <w:qFormat/>
    <w:rsid w:val="00A66885"/>
    <w:rPr>
      <w:b/>
      <w:bCs/>
      <w:smallCaps/>
      <w:color w:val="2F5496" w:themeColor="accent1" w:themeShade="BF"/>
      <w:spacing w:val="5"/>
    </w:rPr>
  </w:style>
  <w:style w:type="character" w:styleId="Strong">
    <w:name w:val="Strong"/>
    <w:basedOn w:val="DefaultParagraphFont"/>
    <w:uiPriority w:val="22"/>
    <w:qFormat/>
    <w:rsid w:val="00BF184A"/>
    <w:rPr>
      <w:b/>
      <w:bCs/>
    </w:rPr>
  </w:style>
  <w:style w:type="table" w:styleId="TableGrid">
    <w:name w:val="Table Grid"/>
    <w:basedOn w:val="TableNormal"/>
    <w:uiPriority w:val="39"/>
    <w:rsid w:val="00BF18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2223</TotalTime>
  <Pages>2</Pages>
  <Words>307</Words>
  <Characters>1750</Characters>
  <Application>Microsoft Office Word</Application>
  <DocSecurity>0</DocSecurity>
  <Lines>14</Lines>
  <Paragraphs>4</Paragraphs>
  <ScaleCrop>false</ScaleCrop>
  <Company/>
  <LinksUpToDate>false</LinksUpToDate>
  <CharactersWithSpaces>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NutriTwin Project Review-1 - Verified 30% Implementation</dc:title>
  <dc:subject>Software Engineering Project Review-1</dc:subject>
  <dc:creator>NutriTwin Project Team</dc:creator>
  <cp:keywords/>
  <dc:description>Evidence-derived Review-1 report; student identity placeholders require completion.</dc:description>
  <cp:lastModifiedBy>Softya Sebastian</cp:lastModifiedBy>
  <cp:revision>51</cp:revision>
  <dcterms:created xsi:type="dcterms:W3CDTF">2026-08-24T03:58:00Z</dcterms:created>
  <dcterms:modified xsi:type="dcterms:W3CDTF">2026-08-26T11:49:00Z</dcterms:modified>
</cp:coreProperties>
</file>