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C737"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 w14:paraId="01405257">
      <w:pPr>
        <w:pStyle w:val="5"/>
        <w:spacing w:before="0" w:after="0" w:line="240" w:lineRule="exact"/>
        <w:ind w:firstLine="0" w:firstLineChars="0"/>
        <w:jc w:val="center"/>
        <w:rPr>
          <w:rFonts w:ascii="宋体"/>
          <w:szCs w:val="21"/>
        </w:rPr>
      </w:pPr>
      <w:r>
        <w:rPr>
          <w:rFonts w:ascii="宋体"/>
          <w:szCs w:val="21"/>
        </w:rPr>
        <w:t xml:space="preserve">                             </w:t>
      </w:r>
      <w:r>
        <w:rPr>
          <w:rFonts w:hint="eastAsia" w:ascii="宋体"/>
          <w:szCs w:val="21"/>
        </w:rPr>
        <w:t>评估日期：</w:t>
      </w:r>
      <w:r>
        <w:rPr>
          <w:rFonts w:hint="eastAsia" w:ascii="微软雅黑" w:hAnsi="微软雅黑" w:eastAsia="微软雅黑" w:cs="微软雅黑"/>
          <w:sz w:val="19"/>
          <w:szCs w:val="21"/>
        </w:rPr>
        <w:t>7.24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329B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1BA3806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 w14:paraId="6A822DCF">
            <w:pPr>
              <w:adjustRightInd w:val="0"/>
              <w:snapToGrid w:val="0"/>
              <w:spacing w:before="0" w:after="0" w:line="240" w:lineRule="atLeast"/>
              <w:jc w:val="center"/>
              <w:rPr>
                <w:szCs w:val="21"/>
              </w:rPr>
            </w:pPr>
            <w:r>
              <w:rPr>
                <w:rFonts w:ascii="微软雅黑" w:hAnsi="微软雅黑" w:eastAsia="微软雅黑" w:cs="微软雅黑"/>
                <w:sz w:val="19"/>
              </w:rPr>
              <w:t>11</w:t>
            </w:r>
          </w:p>
        </w:tc>
        <w:tc>
          <w:tcPr>
            <w:tcW w:w="1866" w:type="dxa"/>
            <w:shd w:val="clear" w:color="auto" w:fill="auto"/>
          </w:tcPr>
          <w:p w14:paraId="1F24589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</w:tcPr>
          <w:p w14:paraId="5067A113">
            <w:pPr>
              <w:pStyle w:val="11"/>
              <w:spacing w:before="0" w:after="0" w:line="240" w:lineRule="auto"/>
              <w:ind w:firstLine="0" w:firstLineChars="0"/>
              <w:jc w:val="left"/>
              <w:rPr>
                <w:rFonts w:eastAsia="黑体"/>
                <w:color w:val="0070C0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健康安全智能助手</w:t>
            </w:r>
          </w:p>
        </w:tc>
      </w:tr>
      <w:tr w14:paraId="1CC4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 w14:paraId="07CB0EF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 w14:paraId="1409769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</w:rPr>
              <w:t>技术原型迭代</w:t>
            </w:r>
          </w:p>
        </w:tc>
        <w:tc>
          <w:tcPr>
            <w:tcW w:w="1866" w:type="dxa"/>
            <w:shd w:val="clear" w:color="auto" w:fill="auto"/>
          </w:tcPr>
          <w:p w14:paraId="4A17516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 w14:paraId="7B9BA2E1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t>7.14-7.24</w:t>
            </w:r>
          </w:p>
        </w:tc>
      </w:tr>
      <w:tr w14:paraId="190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38B8A369">
            <w:pPr>
              <w:adjustRightInd w:val="0"/>
              <w:snapToGrid w:val="0"/>
              <w:spacing w:before="0" w:after="0"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任务达成情况：（完成的任务和实现的需求等）</w:t>
            </w:r>
          </w:p>
          <w:p w14:paraId="1E61BB3A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本次技术原型迭代按计划完成了技术方案确认，确定 Flutter + Spring Boot + MySQL/Redis 的前后端分离架构，并引入 Nginx 作为统一反向代理入口，并完成后端 common、config、auth、user、health、reminder、emergency 等基础包结构搭建。</w:t>
            </w:r>
          </w:p>
          <w:p w14:paraId="26586FDF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完成云主机 MySQL 8.0 数据库环境配置，建立统一开发数据库和专用开发账号；完成核心数据表设计、数据库迁移脚本和前后端 API 接口文档。</w:t>
            </w:r>
          </w:p>
          <w:p w14:paraId="29C882A6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完成用户与健康档案、健康数据、吃药提醒、紧急联系人和 SOS 求助等核心后端接口原型，实现 Flutter 前端调用 Spring Boot 后端并读写数据库的基本联调链路。</w:t>
            </w:r>
          </w:p>
          <w:p w14:paraId="0C48DC78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超额完成 Flutter 前端在 Android 虚拟机中的运行验证，证明原型不仅可在 Web 端运行，也具备移动端 App 演示和后续适配基础。</w:t>
            </w:r>
          </w:p>
          <w:p w14:paraId="623EA9FA"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超额完成 Agent 健康问答和 RAG 功能原型，Agent 可结合会话上下文、用户健康信息和知识检索结果进行健康咨询回复，为后续智能健康建议提供技术基础。</w:t>
            </w:r>
          </w:p>
          <w:p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完成 Redis 技术原型接入：密码重置验证码写入 Redis 并设置 5 分钟有效期，增加 60 秒发送频率限制和 10 分钟登录失败计数窗口；健康趋势与周健康报告采用 5 分钟缓存，健康记录新增或删除后主动清理关联缓存。</w:t>
            </w:r>
          </w:p>
          <w:p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 Nginx 本地与云服务器部署：本地通过 Docker Compose 监听 8088 端口并代理宿主机 Spring Boot 8080 端口；云服务器采用原生 Nginx，将公网请求统一转发至 127.0.0.1:8080，配置 /nginx-health、访问与错误日志、代理转发头和连接超时，形成移动端—Nginx—Spring Boot 的实际访问链路。</w:t>
            </w:r>
          </w:p>
        </w:tc>
      </w:tr>
      <w:tr w14:paraId="0269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76A2E83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质量情况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 w14:paraId="62B4AB4D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执行了接口文档评审和数据库表结构评审，确认主要接口路径、请求参数、返回格式和字段命名与前端页面需求保持一致。</w:t>
            </w:r>
          </w:p>
          <w:p w14:paraId="481C90E6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通过 Swagger/Postman 对登录注册、用户档案、健康数据、提醒、SOS、Agent 问答和 RAG 检索相关接口进行了功能测试，核心接口能够正常返回统一格式结果。</w:t>
            </w:r>
          </w:p>
          <w:p w14:paraId="0AEF9EED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完成前后端联调测试，Flutter 前端可以调用后端接口并展示健康数据、提醒、SOS 和 Agent 问答结果；Android 虚拟机运行测试通过。</w:t>
            </w:r>
          </w:p>
          <w:p w14:paraId="25B095A2"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对云主机数据库连接、后端启动、跨域访问和主要业务流程进行了验证，整体技术原型达到本次迭代计划预期；仍需在后续迭代继续补充并发压测、异常场景测试和更完整的移动端适配测试。</w:t>
            </w:r>
          </w:p>
          <w:p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补充完成 Redis 相关配置与功能验证，检查验证码 TTL、发送间隔、登录失败限制、健康趋势和周报缓存命中逻辑，以及健康记录变更后的缓存失效行为；后端 Maven 测试共 31 项全部通过。</w:t>
            </w:r>
          </w:p>
          <w:p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完成 Nginx 云端部署后的配置与代理链路检查，核对 /nginx-health、/api 路径保留、127.0.0.1:8080 上游及 Host、X-Real-IP、X-Forwarded-* 转发头设置，并形成从公网入口经 Nginx 到 Spring Boot 的联调验证项；HTTPS、域名证书和接口限流仍作为后续增强内容。</w:t>
            </w:r>
          </w:p>
        </w:tc>
      </w:tr>
      <w:tr w14:paraId="0CA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185AF3E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 w14:paraId="744AF1FA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数据库和后端环境配置过程中需要统一云主机地址、端口、账号和连接方式，前期联调存在本地环境与云端环境不一致的问题，后续通过统一配置文件和说明文档解决。</w:t>
            </w:r>
          </w:p>
          <w:p w14:paraId="7A320299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前后端接口字段在联调中出现过不一致，需要根据 Flutter 页面和 Mock 数据对后端 DTO/VO 进行调整，属于正常范围内的接口返工。</w:t>
            </w:r>
          </w:p>
          <w:p w14:paraId="6B9A8E4E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Android 虚拟机运行比原计划多出了移动端适配要求，部分 Web 端可用的交互在移动端需要重新检查，但整体没有影响主流程。</w:t>
            </w:r>
          </w:p>
          <w:p w14:paraId="235247BD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Agent 和 RAG 功能属于超额完成内容，初期存在模型配置、接口调用、检索链路和安全提示边界需要反复调试的问题。</w:t>
            </w:r>
          </w:p>
          <w:p w14:paraId="2696EBD0">
            <w:pPr>
              <w:adjustRightInd w:val="0"/>
              <w:snapToGrid w:val="0"/>
              <w:spacing w:line="240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多人并行开发过程中仍存在 Git 合并冲突和公共文件修改冲突，后续需要继续坚持 feature 分支和 PR 审查机制。</w:t>
            </w:r>
          </w:p>
          <w:p w14:paraId="06E14F5A"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本次迭代没有发生影响整体进度的大规模返工，主要返工集中在接口字段对齐、环境配置说明和移动端运行细节调整。</w:t>
            </w:r>
          </w:p>
          <w:p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Redis 接入增加了环境依赖和缓存一致性要求，需要统一主机、端口、密码和 database 配置，并避免将 6379 端口暴露到公网。当前课程项目采用按模式清理缓存，后续数据规模增大时应以 SCAN 或缓存键集合替代 KEYS。</w:t>
            </w:r>
          </w:p>
          <w:p>
            <w:pPr>
              <w:adjustRightInd w:val="0"/>
              <w:snapToGrid w:val="0"/>
              <w:spacing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Nginx 在本地 Docker 与云服务器上的上游地址不同：本地使用 host.docker.internal:8080，云端原生部署已改为代理 127.0.0.1:8080。部署过程中需要分别维护环境配置并保留 /api 路径前缀，不能直接照搬会改变 proxy_pass 语义的本地配置。</w:t>
            </w:r>
          </w:p>
        </w:tc>
      </w:tr>
      <w:tr w14:paraId="0E33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 w14:paraId="047B3179">
            <w:pPr>
              <w:adjustRightInd w:val="0"/>
              <w:snapToGrid w:val="0"/>
              <w:spacing w:before="0" w:after="0" w:line="2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 w14:paraId="0525A0A3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技术原型迭代必须先统一架构、数据库和接口规范，否则前后端联调时容易产生重复返工。</w:t>
            </w:r>
          </w:p>
          <w:p w14:paraId="0F90511A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云主机统一数据库环境能减少小组成员本地 MySQL 配置差异，但也要求更早完成连接方式、安全组和账号权限说明。</w:t>
            </w:r>
          </w:p>
          <w:p w14:paraId="2E841BA7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前端从 Flutter Web 扩展到 Android 虚拟机运行，说明前期选择 Flutter 具有较好的跨端价值，但移动端交互和适配仍需单独测试。</w:t>
            </w:r>
          </w:p>
          <w:p w14:paraId="1D259AE7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Agent 和 RAG 功能不能只关注“能回答”，还需要考虑健康安全边界、数据权限、知识来源和回答可解释性。</w:t>
            </w:r>
          </w:p>
          <w:p w14:paraId="46B46377">
            <w:pPr>
              <w:adjustRightInd w:val="0"/>
              <w:snapToGrid w:val="0"/>
              <w:spacing w:before="0" w:after="0" w:line="240" w:lineRule="auto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多人协作时公共配置、数据库脚本和接口文档应由专人维护，避免不同成员同时修改造成冲突。</w:t>
            </w:r>
          </w:p>
          <w:p w14:paraId="11589404"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下一阶段应重点补充可靠性和性能验证，包括 Redis 故障降级与缓存命中率观测、Nginx 限流和 HTTPS、SOS 防重复提交、分页查询以及 100 并发测试记录。</w:t>
            </w:r>
          </w:p>
          <w:p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Redis 更适合验证码、频率控制和短期聚合结果等临时状态，MySQL 仍承担业务数据持久化；缓存设计必须同时定义键命名、TTL 和数据变更后的失效策略。</w:t>
            </w:r>
          </w:p>
          <w:p>
            <w:pPr>
              <w:adjustRightInd w:val="0"/>
              <w:snapToGrid w:val="0"/>
              <w:spacing w:before="0" w:after="0" w:line="240" w:lineRule="auto"/>
              <w:rPr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Nginx 已成为移动端和后端之间的统一入口，当前承担云端反向代理、日志和健康检查职责；后续继续补充 HTTPS、域名证书和接口限流。Spring Boot、MySQL 与 Redis 等内部组件不应直接暴露到公网。</w:t>
            </w:r>
          </w:p>
        </w:tc>
      </w:tr>
    </w:tbl>
    <w:p w14:paraId="582E8B5B">
      <w:pPr>
        <w:ind w:left="36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iZGNmZWU5OGFjYjhmYmZiOGU1ZDM4NWRiY2VlMWU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2FC16B6C"/>
    <w:rsid w:val="5F0B6C35"/>
    <w:rsid w:val="7C8D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1277</Words>
  <Characters>1504</Characters>
  <Lines>1</Lines>
  <Paragraphs>1</Paragraphs>
  <TotalTime>5</TotalTime>
  <ScaleCrop>false</ScaleCrop>
  <LinksUpToDate>false</LinksUpToDate>
  <CharactersWithSpaces>1610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秤</cp:lastModifiedBy>
  <dcterms:modified xsi:type="dcterms:W3CDTF">2026-07-23T03:01:35Z</dcterms:modified>
  <dc:title>周活动总结表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EC514D334B974F38A27BF3AEBC99B40A_13</vt:lpwstr>
  </property>
  <property fmtid="{D5CDD505-2E9C-101B-9397-08002B2CF9AE}" pid="4" name="KSOTemplateDocerSaveRecord">
    <vt:lpwstr>eyJoZGlkIjoiYWQxNGQxN2VlMjg0M2JjMTYwYzYwYTA0YjQzNGRhMjciLCJ1c2VySWQiOiI3NDcxMjUwMDUifQ==</vt:lpwstr>
  </property>
</Properties>
</file>