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200" w:after="200" w:line="360" w:lineRule="auto"/>
        <w:rPr>
          <w:rFonts w:ascii="Google Sans" w:cs="Google Sans" w:hAnsi="Google Sans" w:eastAsia="Google Sans"/>
          <w:b w:val="1"/>
          <w:bCs w:val="1"/>
          <w:outline w:val="0"/>
          <w:color w:val="3c4043"/>
          <w:sz w:val="40"/>
          <w:szCs w:val="40"/>
          <w:u w:color="3c4043"/>
          <w14:textFill>
            <w14:solidFill>
              <w14:srgbClr w14:val="3C4043"/>
            </w14:solidFill>
          </w14:textFill>
        </w:rPr>
      </w:pPr>
      <w:r>
        <w:rPr>
          <w:rFonts w:ascii="Google Sans" w:cs="Google Sans" w:hAnsi="Google Sans" w:eastAsia="Google Sans"/>
          <w:b w:val="1"/>
          <w:bCs w:val="1"/>
          <w:outline w:val="0"/>
          <w:color w:val="3c4043"/>
          <w:sz w:val="40"/>
          <w:szCs w:val="40"/>
          <w:u w:color="3c4043"/>
          <w:rtl w:val="0"/>
          <w:lang w:val="en-US"/>
          <w14:textFill>
            <w14:solidFill>
              <w14:srgbClr w14:val="3C4043"/>
            </w14:solidFill>
          </w14:textFill>
        </w:rPr>
        <w:t>Incident handler's journal</w:t>
      </w:r>
    </w:p>
    <w:p>
      <w:pPr>
        <w:pStyle w:val="Body A"/>
        <w:spacing w:after="200" w:line="360" w:lineRule="auto"/>
        <w:rPr>
          <w:rFonts w:ascii="Google Sans" w:cs="Google Sans" w:hAnsi="Google Sans" w:eastAsia="Google Sans"/>
          <w:sz w:val="24"/>
          <w:szCs w:val="24"/>
        </w:rPr>
      </w:pP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90"/>
        <w:gridCol w:w="7890"/>
      </w:tblGrid>
      <w:tr>
        <w:tblPrEx>
          <w:shd w:val="clear" w:color="auto" w:fill="ced7e7"/>
        </w:tblPrEx>
        <w:trPr>
          <w:trHeight w:val="480"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Date:</w:t>
            </w:r>
            <w:r>
              <w:rPr>
                <w:rFonts w:ascii="Google Sans" w:cs="Google Sans" w:hAnsi="Google Sans" w:eastAsia="Google Sans"/>
                <w:shd w:val="nil" w:color="auto" w:fill="auto"/>
                <w:rtl w:val="0"/>
                <w:lang w:val="en-US"/>
              </w:rPr>
              <w:t xml:space="preserve"> Dec 4, 2025</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 xml:space="preserve">Entry: </w:t>
            </w:r>
            <w:r>
              <w:rPr>
                <w:rFonts w:ascii="Google Sans" w:cs="Google Sans" w:hAnsi="Google Sans" w:eastAsia="Google Sans"/>
                <w:shd w:val="nil" w:color="auto" w:fill="auto"/>
                <w:rtl w:val="0"/>
                <w:lang w:val="en-US"/>
              </w:rPr>
              <w:t>#1</w:t>
            </w:r>
          </w:p>
        </w:tc>
      </w:tr>
      <w:tr>
        <w:tblPrEx>
          <w:shd w:val="clear" w:color="auto" w:fill="ced7e7"/>
        </w:tblPrEx>
        <w:trPr>
          <w:trHeight w:val="480"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Description</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pPr>
            <w:r>
              <w:rPr>
                <w:rFonts w:ascii="Google Sans" w:cs="Google Sans" w:hAnsi="Google Sans" w:eastAsia="Google Sans"/>
                <w:shd w:val="nil" w:color="auto" w:fill="auto"/>
                <w:rtl w:val="0"/>
                <w:lang w:val="en-US"/>
              </w:rPr>
              <w:t>Documenting a cybersecurity incident</w:t>
            </w:r>
          </w:p>
        </w:tc>
      </w:tr>
      <w:tr>
        <w:tblPrEx>
          <w:shd w:val="clear" w:color="auto" w:fill="ced7e7"/>
        </w:tblPrEx>
        <w:trPr>
          <w:trHeight w:val="480"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Tool(s) used</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None.</w:t>
            </w:r>
          </w:p>
        </w:tc>
      </w:tr>
      <w:tr>
        <w:tblPrEx>
          <w:shd w:val="clear" w:color="auto" w:fill="ced7e7"/>
        </w:tblPrEx>
        <w:trPr>
          <w:trHeight w:val="2991"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 xml:space="preserve">The 5 W's </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numPr>
                <w:ilvl w:val="0"/>
                <w:numId w:val="1"/>
              </w:numPr>
              <w:rPr>
                <w:lang w:val="en-US"/>
              </w:rPr>
            </w:pPr>
            <w:r>
              <w:rPr>
                <w:rFonts w:ascii="Google Sans" w:cs="Google Sans" w:hAnsi="Google Sans" w:eastAsia="Google Sans"/>
                <w:b w:val="1"/>
                <w:bCs w:val="1"/>
                <w:shd w:val="nil" w:color="auto" w:fill="auto"/>
                <w:rtl w:val="0"/>
                <w:lang w:val="en-US"/>
              </w:rPr>
              <w:t>Who</w:t>
            </w:r>
            <w:r>
              <w:rPr>
                <w:rFonts w:ascii="Google Sans" w:cs="Google Sans" w:hAnsi="Google Sans" w:eastAsia="Google Sans"/>
                <w:shd w:val="nil" w:color="auto" w:fill="auto"/>
                <w:rtl w:val="0"/>
                <w:lang w:val="en-US"/>
              </w:rPr>
              <w:t>: An organized group of unethical hackers</w:t>
            </w:r>
          </w:p>
          <w:p>
            <w:pPr>
              <w:pStyle w:val="Body A"/>
              <w:widowControl w:val="0"/>
              <w:numPr>
                <w:ilvl w:val="0"/>
                <w:numId w:val="1"/>
              </w:numPr>
              <w:bidi w:val="0"/>
              <w:ind w:right="0"/>
              <w:jc w:val="left"/>
              <w:rPr>
                <w:rtl w:val="0"/>
                <w:lang w:val="en-US"/>
              </w:rPr>
            </w:pPr>
            <w:r>
              <w:rPr>
                <w:rFonts w:ascii="Google Sans" w:cs="Google Sans" w:hAnsi="Google Sans" w:eastAsia="Google Sans"/>
                <w:b w:val="1"/>
                <w:bCs w:val="1"/>
                <w:shd w:val="nil" w:color="auto" w:fill="auto"/>
                <w:rtl w:val="0"/>
                <w:lang w:val="en-US"/>
              </w:rPr>
              <w:t>What</w:t>
            </w:r>
            <w:r>
              <w:rPr>
                <w:rFonts w:ascii="Google Sans" w:cs="Google Sans" w:hAnsi="Google Sans" w:eastAsia="Google Sans"/>
                <w:shd w:val="nil" w:color="auto" w:fill="auto"/>
                <w:rtl w:val="0"/>
                <w:lang w:val="en-US"/>
              </w:rPr>
              <w:t>: A ransomware security incident</w:t>
            </w:r>
          </w:p>
          <w:p>
            <w:pPr>
              <w:pStyle w:val="Body A"/>
              <w:widowControl w:val="0"/>
              <w:numPr>
                <w:ilvl w:val="0"/>
                <w:numId w:val="1"/>
              </w:numPr>
              <w:bidi w:val="0"/>
              <w:ind w:right="0"/>
              <w:jc w:val="left"/>
              <w:rPr>
                <w:rtl w:val="0"/>
                <w:lang w:val="en-US"/>
              </w:rPr>
            </w:pPr>
            <w:r>
              <w:rPr>
                <w:rFonts w:ascii="Google Sans" w:cs="Google Sans" w:hAnsi="Google Sans" w:eastAsia="Google Sans"/>
                <w:b w:val="1"/>
                <w:bCs w:val="1"/>
                <w:shd w:val="nil" w:color="auto" w:fill="auto"/>
                <w:rtl w:val="0"/>
                <w:lang w:val="en-US"/>
              </w:rPr>
              <w:t>Where</w:t>
            </w:r>
            <w:r>
              <w:rPr>
                <w:rFonts w:ascii="Google Sans" w:cs="Google Sans" w:hAnsi="Google Sans" w:eastAsia="Google Sans"/>
                <w:shd w:val="nil" w:color="auto" w:fill="auto"/>
                <w:rtl w:val="0"/>
                <w:lang w:val="en-US"/>
              </w:rPr>
              <w:t>: At a health care company</w:t>
            </w:r>
          </w:p>
          <w:p>
            <w:pPr>
              <w:pStyle w:val="Body A"/>
              <w:widowControl w:val="0"/>
              <w:numPr>
                <w:ilvl w:val="0"/>
                <w:numId w:val="1"/>
              </w:numPr>
              <w:bidi w:val="0"/>
              <w:ind w:right="0"/>
              <w:jc w:val="left"/>
              <w:rPr>
                <w:rtl w:val="0"/>
                <w:lang w:val="en-US"/>
              </w:rPr>
            </w:pPr>
            <w:r>
              <w:rPr>
                <w:rFonts w:ascii="Google Sans" w:cs="Google Sans" w:hAnsi="Google Sans" w:eastAsia="Google Sans"/>
                <w:b w:val="1"/>
                <w:bCs w:val="1"/>
                <w:shd w:val="nil" w:color="auto" w:fill="auto"/>
                <w:rtl w:val="0"/>
                <w:lang w:val="en-US"/>
              </w:rPr>
              <w:t>When</w:t>
            </w:r>
            <w:r>
              <w:rPr>
                <w:rFonts w:ascii="Google Sans" w:cs="Google Sans" w:hAnsi="Google Sans" w:eastAsia="Google Sans"/>
                <w:shd w:val="nil" w:color="auto" w:fill="auto"/>
                <w:rtl w:val="0"/>
                <w:lang w:val="en-US"/>
              </w:rPr>
              <w:t>: Tuesday 9:00 a.m.</w:t>
            </w:r>
          </w:p>
          <w:p>
            <w:pPr>
              <w:pStyle w:val="Body A"/>
              <w:widowControl w:val="0"/>
              <w:numPr>
                <w:ilvl w:val="0"/>
                <w:numId w:val="1"/>
              </w:numPr>
              <w:bidi w:val="0"/>
              <w:ind w:right="0"/>
              <w:jc w:val="left"/>
              <w:rPr>
                <w:rtl w:val="0"/>
                <w:lang w:val="en-US"/>
              </w:rPr>
            </w:pPr>
            <w:r>
              <w:rPr>
                <w:rFonts w:ascii="Google Sans" w:cs="Google Sans" w:hAnsi="Google Sans" w:eastAsia="Google Sans"/>
                <w:b w:val="1"/>
                <w:bCs w:val="1"/>
                <w:shd w:val="nil" w:color="auto" w:fill="auto"/>
                <w:rtl w:val="0"/>
                <w:lang w:val="en-US"/>
              </w:rPr>
              <w:t>Why</w:t>
            </w:r>
            <w:r>
              <w:rPr>
                <w:rFonts w:ascii="Google Sans" w:cs="Google Sans" w:hAnsi="Google Sans" w:eastAsia="Google Sans"/>
                <w:shd w:val="nil" w:color="auto" w:fill="auto"/>
                <w:rtl w:val="0"/>
                <w:lang w:val="en-US"/>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tblPrEx>
          <w:shd w:val="clear" w:color="auto" w:fill="ced7e7"/>
        </w:tblPrEx>
        <w:trPr>
          <w:trHeight w:val="3589"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Additional notes</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numPr>
                <w:ilvl w:val="0"/>
                <w:numId w:val="2"/>
              </w:numPr>
              <w:rPr>
                <w:rFonts w:ascii="Google Sans" w:cs="Google Sans" w:hAnsi="Google Sans" w:eastAsia="Google Sans"/>
                <w:lang w:val="en-US"/>
              </w:rPr>
            </w:pPr>
            <w:r>
              <w:rPr>
                <w:rFonts w:ascii="Google Sans" w:cs="Google Sans" w:hAnsi="Google Sans" w:eastAsia="Google Sans"/>
                <w:shd w:val="nil" w:color="auto" w:fill="auto"/>
                <w:rtl w:val="0"/>
                <w:lang w:val="en-US"/>
              </w:rPr>
              <w:t>How could the health care company prevent an incident like this from occurring again?</w:t>
            </w:r>
            <w:r>
              <w:rPr>
                <w:rFonts w:ascii="Google Sans" w:cs="Google Sans" w:hAnsi="Google Sans" w:eastAsia="Google Sans"/>
                <w:shd w:val="nil" w:color="auto" w:fill="auto"/>
                <w:lang w:val="en-US"/>
              </w:rPr>
              <w:br w:type="textWrapping"/>
            </w:r>
            <w:r>
              <w:rPr>
                <w:rFonts w:ascii="Google Sans" w:cs="Google Sans" w:hAnsi="Google Sans" w:eastAsia="Google Sans"/>
                <w:shd w:val="nil" w:color="auto" w:fill="auto"/>
                <w:rtl w:val="0"/>
                <w:lang w:val="en-US"/>
              </w:rPr>
              <w:t>Improve phishing awareness training. Block or quarantine password-protected attachments from external senders. Use attachment sandboxing before files reach employees. Strengthen endpoint monitoring and keep systems patched. Maintain secure, offline backups and apply least-privilege access.</w:t>
            </w:r>
          </w:p>
          <w:p>
            <w:pPr>
              <w:pStyle w:val="Body A"/>
              <w:widowControl w:val="0"/>
              <w:numPr>
                <w:ilvl w:val="0"/>
                <w:numId w:val="2"/>
              </w:numPr>
              <w:bidi w:val="0"/>
              <w:ind w:right="0"/>
              <w:jc w:val="left"/>
              <w:rPr>
                <w:rFonts w:ascii="Google Sans" w:cs="Google Sans" w:hAnsi="Google Sans" w:eastAsia="Google Sans"/>
                <w:rtl w:val="0"/>
                <w:lang w:val="en-US"/>
              </w:rPr>
            </w:pPr>
            <w:r>
              <w:rPr>
                <w:rFonts w:ascii="Google Sans" w:cs="Google Sans" w:hAnsi="Google Sans" w:eastAsia="Google Sans"/>
                <w:shd w:val="nil" w:color="auto" w:fill="auto"/>
                <w:rtl w:val="0"/>
                <w:lang w:val="en-US"/>
              </w:rPr>
              <w:t>Should the company pay the ransom to retrieve the decryption key?</w:t>
            </w:r>
            <w:r>
              <w:rPr>
                <w:rFonts w:ascii="Google Sans" w:cs="Google Sans" w:hAnsi="Google Sans" w:eastAsia="Google Sans"/>
                <w:shd w:val="nil" w:color="auto" w:fill="auto"/>
                <w:lang w:val="en-US"/>
              </w:rPr>
              <w:br w:type="textWrapping"/>
            </w:r>
            <w:r>
              <w:rPr>
                <w:rFonts w:ascii="Google Sans" w:cs="Google Sans" w:hAnsi="Google Sans" w:eastAsia="Google Sans"/>
                <w:shd w:val="nil" w:color="auto" w:fill="auto"/>
                <w:rtl w:val="0"/>
                <w:lang w:val="en-US"/>
              </w:rPr>
              <w:t>No. Paying ransom doesn</w:t>
            </w:r>
            <w:r>
              <w:rPr>
                <w:rFonts w:ascii="Google Sans" w:cs="Google Sans" w:hAnsi="Google Sans" w:eastAsia="Google Sans"/>
                <w:shd w:val="nil" w:color="auto" w:fill="auto"/>
                <w:rtl w:val="0"/>
                <w:lang w:val="en-US"/>
              </w:rPr>
              <w:t>’</w:t>
            </w:r>
            <w:r>
              <w:rPr>
                <w:rFonts w:ascii="Google Sans" w:cs="Google Sans" w:hAnsi="Google Sans" w:eastAsia="Google Sans"/>
                <w:shd w:val="nil" w:color="auto" w:fill="auto"/>
                <w:rtl w:val="0"/>
                <w:lang w:val="en-US"/>
              </w:rPr>
              <w:t>t guarantee decryption, encourages more attacks, may violate regulations, and can lead to further extortion. It</w:t>
            </w:r>
            <w:r>
              <w:rPr>
                <w:rFonts w:ascii="Google Sans" w:cs="Google Sans" w:hAnsi="Google Sans" w:eastAsia="Google Sans"/>
                <w:shd w:val="nil" w:color="auto" w:fill="auto"/>
                <w:rtl w:val="0"/>
                <w:lang w:val="en-US"/>
              </w:rPr>
              <w:t>’</w:t>
            </w:r>
            <w:r>
              <w:rPr>
                <w:rFonts w:ascii="Google Sans" w:cs="Google Sans" w:hAnsi="Google Sans" w:eastAsia="Google Sans"/>
                <w:shd w:val="nil" w:color="auto" w:fill="auto"/>
                <w:rtl w:val="0"/>
                <w:lang w:val="en-US"/>
              </w:rPr>
              <w:t>s safer to restore from clean backups and follow proper incident response procedures.</w:t>
            </w:r>
          </w:p>
        </w:tc>
      </w:tr>
    </w:tbl>
    <w:p>
      <w:pPr>
        <w:pStyle w:val="Body A"/>
        <w:widowControl w:val="0"/>
        <w:spacing w:after="200" w:line="240" w:lineRule="auto"/>
        <w:ind w:left="108" w:hanging="108"/>
        <w:rPr>
          <w:rFonts w:ascii="Google Sans" w:cs="Google Sans" w:hAnsi="Google Sans" w:eastAsia="Google Sans"/>
          <w:sz w:val="24"/>
          <w:szCs w:val="24"/>
        </w:rPr>
      </w:pPr>
    </w:p>
    <w:p>
      <w:pPr>
        <w:pStyle w:val="Body A"/>
        <w:widowControl w:val="0"/>
        <w:spacing w:after="200" w:line="240" w:lineRule="auto"/>
        <w:rPr>
          <w:rFonts w:ascii="Google Sans" w:cs="Google Sans" w:hAnsi="Google Sans" w:eastAsia="Google Sans"/>
          <w:sz w:val="24"/>
          <w:szCs w:val="24"/>
        </w:rPr>
      </w:pPr>
    </w:p>
    <w:p>
      <w:pPr>
        <w:pStyle w:val="Body A"/>
        <w:widowControl w:val="0"/>
        <w:spacing w:after="200" w:line="240" w:lineRule="auto"/>
      </w:pPr>
      <w:r>
        <w:rPr>
          <w:rFonts w:ascii="Google Sans" w:cs="Google Sans" w:hAnsi="Google Sans" w:eastAsia="Google Sans"/>
          <w:sz w:val="24"/>
          <w:szCs w:val="24"/>
        </w:rPr>
        <w:br w:type="page"/>
      </w: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90"/>
        <w:gridCol w:w="7890"/>
      </w:tblGrid>
      <w:tr>
        <w:tblPrEx>
          <w:shd w:val="clear" w:color="auto" w:fill="ced7e7"/>
        </w:tblPrEx>
        <w:trPr>
          <w:trHeight w:val="480"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Date:</w:t>
            </w:r>
            <w:r>
              <w:rPr>
                <w:rFonts w:ascii="Google Sans" w:cs="Google Sans" w:hAnsi="Google Sans" w:eastAsia="Google Sans"/>
                <w:shd w:val="nil" w:color="auto" w:fill="auto"/>
                <w:rtl w:val="0"/>
                <w:lang w:val="en-US"/>
              </w:rPr>
              <w:t xml:space="preserve"> Dec 11, 2025</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 xml:space="preserve">Entry: </w:t>
            </w:r>
            <w:r>
              <w:rPr>
                <w:rFonts w:ascii="Google Sans" w:cs="Google Sans" w:hAnsi="Google Sans" w:eastAsia="Google Sans"/>
                <w:shd w:val="nil" w:color="auto" w:fill="auto"/>
                <w:rtl w:val="0"/>
                <w:lang w:val="en-US"/>
              </w:rPr>
              <w:t>#2</w:t>
            </w:r>
          </w:p>
        </w:tc>
      </w:tr>
      <w:tr>
        <w:tblPrEx>
          <w:shd w:val="clear" w:color="auto" w:fill="ced7e7"/>
        </w:tblPrEx>
        <w:trPr>
          <w:trHeight w:val="910"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Description</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pPr>
            <w:r>
              <w:rPr>
                <w:rFonts w:ascii="Times New Roman" w:hAnsi="Times New Roman"/>
                <w:rtl w:val="0"/>
                <w:lang w:val="en-US"/>
              </w:rPr>
              <w:t>Investigating a malware incident involving a suspicious password-protected spreadsheet downloaded and opened by an employee. The file executed a malicious payload when opened.</w:t>
            </w:r>
          </w:p>
        </w:tc>
      </w:tr>
      <w:tr>
        <w:tblPrEx>
          <w:shd w:val="clear" w:color="auto" w:fill="ced7e7"/>
        </w:tblPrEx>
        <w:trPr>
          <w:trHeight w:val="480"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Tool(s) used</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VirusTotal</w:t>
            </w:r>
          </w:p>
        </w:tc>
      </w:tr>
      <w:tr>
        <w:tblPrEx>
          <w:shd w:val="clear" w:color="auto" w:fill="ced7e7"/>
        </w:tblPrEx>
        <w:trPr>
          <w:trHeight w:val="3779"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 xml:space="preserve">The 5 W's </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numPr>
                <w:ilvl w:val="0"/>
                <w:numId w:val="3"/>
              </w:numPr>
              <w:rPr>
                <w:lang w:val="en-US"/>
              </w:rPr>
            </w:pPr>
            <w:r>
              <w:rPr>
                <w:rFonts w:ascii="Google Sans" w:cs="Google Sans" w:hAnsi="Google Sans" w:eastAsia="Google Sans"/>
                <w:b w:val="1"/>
                <w:bCs w:val="1"/>
                <w:shd w:val="nil" w:color="auto" w:fill="auto"/>
                <w:rtl w:val="0"/>
                <w:lang w:val="en-US"/>
              </w:rPr>
              <w:t>Who</w:t>
            </w:r>
            <w:r>
              <w:rPr>
                <w:rFonts w:ascii="Google Sans" w:cs="Google Sans" w:hAnsi="Google Sans" w:eastAsia="Google Sans"/>
                <w:shd w:val="nil" w:color="auto" w:fill="auto"/>
                <w:rtl w:val="0"/>
                <w:lang w:val="en-US"/>
              </w:rPr>
              <w:t xml:space="preserve">: </w:t>
            </w:r>
            <w:r>
              <w:rPr>
                <w:shd w:val="nil" w:color="auto" w:fill="auto"/>
                <w:rtl w:val="0"/>
                <w:lang w:val="en-US"/>
              </w:rPr>
              <w:t xml:space="preserve">An employee targeted by a phishing email, and an unknown threat actor distributing malware linked to the </w:t>
            </w:r>
            <w:r>
              <w:rPr>
                <w:i w:val="1"/>
                <w:iCs w:val="1"/>
                <w:shd w:val="nil" w:color="auto" w:fill="auto"/>
                <w:rtl w:val="0"/>
                <w:lang w:val="en-US"/>
              </w:rPr>
              <w:t xml:space="preserve">Flagpro </w:t>
            </w:r>
            <w:r>
              <w:rPr>
                <w:shd w:val="nil" w:color="auto" w:fill="auto"/>
                <w:rtl w:val="0"/>
                <w:lang w:val="en-US"/>
              </w:rPr>
              <w:t>family.</w:t>
            </w:r>
          </w:p>
          <w:p>
            <w:pPr>
              <w:pStyle w:val="Body A"/>
              <w:widowControl w:val="0"/>
              <w:numPr>
                <w:ilvl w:val="0"/>
                <w:numId w:val="3"/>
              </w:numPr>
              <w:bidi w:val="0"/>
              <w:ind w:right="0"/>
              <w:jc w:val="left"/>
              <w:rPr>
                <w:rtl w:val="0"/>
                <w:lang w:val="en-US"/>
              </w:rPr>
            </w:pPr>
            <w:r>
              <w:rPr>
                <w:rFonts w:ascii="Google Sans" w:cs="Google Sans" w:hAnsi="Google Sans" w:eastAsia="Google Sans"/>
                <w:b w:val="1"/>
                <w:bCs w:val="1"/>
                <w:shd w:val="nil" w:color="auto" w:fill="auto"/>
                <w:rtl w:val="0"/>
                <w:lang w:val="en-US"/>
              </w:rPr>
              <w:t>What</w:t>
            </w:r>
            <w:r>
              <w:rPr>
                <w:rFonts w:ascii="Google Sans" w:cs="Google Sans" w:hAnsi="Google Sans" w:eastAsia="Google Sans"/>
                <w:shd w:val="nil" w:color="auto" w:fill="auto"/>
                <w:rtl w:val="0"/>
                <w:lang w:val="en-US"/>
              </w:rPr>
              <w:t>: A malicious password-protected spreadsheet file that executed malware when the employee entered the provided password and opened it. A SHA256 hash of the file was generated and analyzed.</w:t>
            </w:r>
          </w:p>
          <w:p>
            <w:pPr>
              <w:pStyle w:val="Body A"/>
              <w:widowControl w:val="0"/>
              <w:numPr>
                <w:ilvl w:val="0"/>
                <w:numId w:val="3"/>
              </w:numPr>
              <w:bidi w:val="0"/>
              <w:ind w:right="0"/>
              <w:jc w:val="left"/>
              <w:rPr>
                <w:rtl w:val="0"/>
                <w:lang w:val="en-US"/>
              </w:rPr>
            </w:pPr>
            <w:r>
              <w:rPr>
                <w:rFonts w:ascii="Google Sans" w:cs="Google Sans" w:hAnsi="Google Sans" w:eastAsia="Google Sans"/>
                <w:b w:val="1"/>
                <w:bCs w:val="1"/>
                <w:shd w:val="nil" w:color="auto" w:fill="auto"/>
                <w:rtl w:val="0"/>
                <w:lang w:val="en-US"/>
              </w:rPr>
              <w:t>Where</w:t>
            </w:r>
            <w:r>
              <w:rPr>
                <w:rFonts w:ascii="Google Sans" w:cs="Google Sans" w:hAnsi="Google Sans" w:eastAsia="Google Sans"/>
                <w:shd w:val="nil" w:color="auto" w:fill="auto"/>
                <w:rtl w:val="0"/>
                <w:lang w:val="en-US"/>
              </w:rPr>
              <w:t>: On the employee</w:t>
            </w:r>
            <w:r>
              <w:rPr>
                <w:rFonts w:ascii="Google Sans" w:cs="Google Sans" w:hAnsi="Google Sans" w:eastAsia="Google Sans"/>
                <w:shd w:val="nil" w:color="auto" w:fill="auto"/>
                <w:rtl w:val="0"/>
                <w:lang w:val="en-US"/>
              </w:rPr>
              <w:t>’</w:t>
            </w:r>
            <w:r>
              <w:rPr>
                <w:rFonts w:ascii="Google Sans" w:cs="Google Sans" w:hAnsi="Google Sans" w:eastAsia="Google Sans"/>
                <w:shd w:val="nil" w:color="auto" w:fill="auto"/>
                <w:rtl w:val="0"/>
                <w:lang w:val="en-US"/>
              </w:rPr>
              <w:t>s workstation inside the corporate network.</w:t>
            </w:r>
          </w:p>
          <w:p>
            <w:pPr>
              <w:pStyle w:val="Body A"/>
              <w:widowControl w:val="0"/>
              <w:numPr>
                <w:ilvl w:val="0"/>
                <w:numId w:val="3"/>
              </w:numPr>
              <w:bidi w:val="0"/>
              <w:ind w:right="0"/>
              <w:jc w:val="left"/>
              <w:rPr>
                <w:rtl w:val="0"/>
                <w:lang w:val="en-US"/>
              </w:rPr>
            </w:pPr>
            <w:r>
              <w:rPr>
                <w:rFonts w:ascii="Google Sans" w:cs="Google Sans" w:hAnsi="Google Sans" w:eastAsia="Google Sans"/>
                <w:b w:val="1"/>
                <w:bCs w:val="1"/>
                <w:shd w:val="nil" w:color="auto" w:fill="auto"/>
                <w:rtl w:val="0"/>
                <w:lang w:val="en-US"/>
              </w:rPr>
              <w:t>When</w:t>
            </w:r>
            <w:r>
              <w:rPr>
                <w:rFonts w:ascii="Google Sans" w:cs="Google Sans" w:hAnsi="Google Sans" w:eastAsia="Google Sans"/>
                <w:shd w:val="nil" w:color="auto" w:fill="auto"/>
                <w:rtl w:val="0"/>
                <w:lang w:val="en-US"/>
              </w:rPr>
              <w:t>: The alert was triggered earlier today after the file was downloaded and executed.</w:t>
            </w:r>
          </w:p>
          <w:p>
            <w:pPr>
              <w:pStyle w:val="Body A"/>
              <w:widowControl w:val="0"/>
              <w:numPr>
                <w:ilvl w:val="0"/>
                <w:numId w:val="3"/>
              </w:numPr>
              <w:bidi w:val="0"/>
              <w:ind w:right="0"/>
              <w:jc w:val="left"/>
              <w:rPr>
                <w:rtl w:val="0"/>
                <w:lang w:val="en-US"/>
              </w:rPr>
            </w:pPr>
            <w:r>
              <w:rPr>
                <w:rFonts w:ascii="Google Sans" w:cs="Google Sans" w:hAnsi="Google Sans" w:eastAsia="Google Sans"/>
                <w:b w:val="1"/>
                <w:bCs w:val="1"/>
                <w:shd w:val="nil" w:color="auto" w:fill="auto"/>
                <w:rtl w:val="0"/>
                <w:lang w:val="en-US"/>
              </w:rPr>
              <w:t>Why</w:t>
            </w:r>
            <w:r>
              <w:rPr>
                <w:rFonts w:ascii="Google Sans" w:cs="Google Sans" w:hAnsi="Google Sans" w:eastAsia="Google Sans"/>
                <w:shd w:val="nil" w:color="auto" w:fill="auto"/>
                <w:rtl w:val="0"/>
                <w:lang w:val="en-US"/>
              </w:rPr>
              <w:t xml:space="preserve">: </w:t>
            </w:r>
            <w:r>
              <w:rPr>
                <w:shd w:val="nil" w:color="auto" w:fill="auto"/>
                <w:rtl w:val="0"/>
                <w:lang w:val="en-US"/>
              </w:rPr>
              <w:t xml:space="preserve">The incident occurred because the employee received a phishing email containing an attachment and a password. After opening the file, a malicious payload ran automatically. The file hash was checked in VirusTotal and matched a known malicious sample associated with the </w:t>
            </w:r>
            <w:r>
              <w:rPr>
                <w:i w:val="1"/>
                <w:iCs w:val="1"/>
                <w:shd w:val="nil" w:color="auto" w:fill="auto"/>
                <w:rtl w:val="0"/>
                <w:lang w:val="en-US"/>
              </w:rPr>
              <w:t>Flagpro</w:t>
            </w:r>
            <w:r>
              <w:rPr>
                <w:shd w:val="nil" w:color="auto" w:fill="auto"/>
                <w:rtl w:val="0"/>
                <w:lang w:val="en-US"/>
              </w:rPr>
              <w:t xml:space="preserve"> malware used by the BlackTech threat actor.</w:t>
            </w:r>
          </w:p>
        </w:tc>
      </w:tr>
      <w:tr>
        <w:tblPrEx>
          <w:shd w:val="clear" w:color="auto" w:fill="ced7e7"/>
        </w:tblPrEx>
        <w:trPr>
          <w:trHeight w:val="3579" w:hRule="atLeast"/>
        </w:trPr>
        <w:tc>
          <w:tcPr>
            <w:tcW w:type="dxa" w:w="21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Additional notes</w:t>
            </w:r>
          </w:p>
        </w:tc>
        <w:tc>
          <w:tcPr>
            <w:tcW w:type="dxa" w:w="78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numPr>
                <w:ilvl w:val="0"/>
                <w:numId w:val="4"/>
              </w:numPr>
              <w:rPr>
                <w:rFonts w:ascii="Times New Roman" w:hAnsi="Times New Roman"/>
                <w:lang w:val="en-US"/>
              </w:rPr>
            </w:pPr>
            <w:r>
              <w:rPr>
                <w:rFonts w:ascii="Times New Roman" w:hAnsi="Times New Roman"/>
                <w:rtl w:val="0"/>
                <w:lang w:val="en-US"/>
              </w:rPr>
              <w:t>How could the company prevent an incident like this from occurring again?</w:t>
            </w:r>
            <w:r>
              <w:rPr>
                <w:rFonts w:ascii="Times New Roman" w:cs="Times New Roman" w:hAnsi="Times New Roman" w:eastAsia="Times New Roman"/>
                <w:lang w:val="en-US"/>
              </w:rPr>
              <w:br w:type="textWrapping"/>
            </w:r>
            <w:r>
              <w:rPr>
                <w:rFonts w:ascii="Times New Roman" w:hAnsi="Times New Roman"/>
                <w:rtl w:val="0"/>
                <w:lang w:val="en-US"/>
              </w:rPr>
              <w:t>Strengthen email filtering to block password-protected attachments from external senders. Require sandboxing for all attachments before download. Increase phishing awareness training for employees. Improve endpoint detection for malicious spreadsheet or macro behavior.</w:t>
            </w:r>
          </w:p>
          <w:p>
            <w:pPr>
              <w:pStyle w:val="Body A"/>
              <w:widowControl w:val="0"/>
              <w:numPr>
                <w:ilvl w:val="0"/>
                <w:numId w:val="4"/>
              </w:numPr>
              <w:bidi w:val="0"/>
              <w:ind w:right="0"/>
              <w:jc w:val="left"/>
              <w:rPr>
                <w:rFonts w:ascii="Times New Roman" w:hAnsi="Times New Roman"/>
                <w:rtl w:val="0"/>
                <w:lang w:val="en-US"/>
              </w:rPr>
            </w:pPr>
            <w:r>
              <w:rPr>
                <w:rFonts w:ascii="Times New Roman" w:hAnsi="Times New Roman"/>
                <w:rtl w:val="0"/>
                <w:lang w:val="en-US"/>
              </w:rPr>
              <w:t>What should be done with the IoCs discovered in VirusTotal?</w:t>
            </w:r>
            <w:r>
              <w:rPr>
                <w:rFonts w:ascii="Times New Roman" w:cs="Times New Roman" w:hAnsi="Times New Roman" w:eastAsia="Times New Roman"/>
                <w:lang w:val="en-US"/>
              </w:rPr>
              <w:br w:type="textWrapping"/>
            </w:r>
            <w:r>
              <w:rPr>
                <w:rFonts w:ascii="Times New Roman" w:hAnsi="Times New Roman"/>
                <w:rtl w:val="0"/>
                <w:lang w:val="en-US"/>
              </w:rPr>
              <w:t>Block the malicious domain and IP at the firewall and DNS. Add the file hash to EDR and internal blocklists. Search SIEM/EDR logs for any communication with the identified IoCs. Isolate and scan any additional hosts showing related activity.</w:t>
            </w:r>
          </w:p>
        </w:tc>
      </w:tr>
    </w:tbl>
    <w:p>
      <w:pPr>
        <w:pStyle w:val="Body A"/>
        <w:widowControl w:val="0"/>
        <w:spacing w:after="200" w:line="240" w:lineRule="auto"/>
        <w:ind w:left="108" w:hanging="108"/>
        <w:rPr>
          <w:rFonts w:ascii="Google Sans" w:cs="Google Sans" w:hAnsi="Google Sans" w:eastAsia="Google Sans"/>
          <w:sz w:val="24"/>
          <w:szCs w:val="24"/>
        </w:rPr>
      </w:pPr>
    </w:p>
    <w:p>
      <w:pPr>
        <w:pStyle w:val="Body A"/>
        <w:widowControl w:val="0"/>
        <w:spacing w:after="200" w:line="240" w:lineRule="auto"/>
        <w:ind w:left="108" w:hanging="108"/>
      </w:pPr>
      <w:r>
        <w:rPr>
          <w:rFonts w:ascii="Google Sans" w:cs="Google Sans" w:hAnsi="Google Sans" w:eastAsia="Google Sans"/>
          <w:sz w:val="24"/>
          <w:szCs w:val="24"/>
        </w:rPr>
        <w:br w:type="page"/>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7327"/>
      </w:tblGrid>
      <w:tr>
        <w:tblPrEx>
          <w:shd w:val="clear" w:color="auto" w:fill="ced7e7"/>
        </w:tblPrEx>
        <w:trPr>
          <w:trHeight w:val="280"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Date:</w:t>
            </w:r>
            <w:r>
              <w:rPr>
                <w:rFonts w:ascii="Google Sans" w:cs="Google Sans" w:hAnsi="Google Sans" w:eastAsia="Google Sans"/>
                <w:shd w:val="nil" w:color="auto" w:fill="auto"/>
                <w:rtl w:val="0"/>
                <w:lang w:val="en-US"/>
              </w:rPr>
              <w:t xml:space="preserve"> Dec </w:t>
            </w:r>
            <w:r>
              <w:rPr>
                <w:rFonts w:ascii="Google Sans" w:cs="Google Sans" w:hAnsi="Google Sans" w:eastAsia="Google Sans"/>
                <w:shd w:val="nil" w:color="auto" w:fill="auto"/>
                <w:rtl w:val="0"/>
                <w:lang w:val="en-US"/>
              </w:rPr>
              <w:t>1</w:t>
            </w:r>
            <w:r>
              <w:rPr>
                <w:rFonts w:ascii="Google Sans" w:cs="Google Sans" w:hAnsi="Google Sans" w:eastAsia="Google Sans"/>
                <w:shd w:val="nil" w:color="auto" w:fill="auto"/>
                <w:rtl w:val="0"/>
                <w:lang w:val="ru-RU"/>
              </w:rPr>
              <w:t>4</w:t>
            </w:r>
            <w:r>
              <w:rPr>
                <w:rFonts w:ascii="Google Sans" w:cs="Google Sans" w:hAnsi="Google Sans" w:eastAsia="Google Sans"/>
                <w:shd w:val="nil" w:color="auto" w:fill="auto"/>
                <w:rtl w:val="0"/>
                <w:lang w:val="en-US"/>
              </w:rPr>
              <w:t>, 2025</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 xml:space="preserve">Entry: </w:t>
            </w:r>
            <w:r>
              <w:rPr>
                <w:rFonts w:ascii="Google Sans" w:cs="Google Sans" w:hAnsi="Google Sans" w:eastAsia="Google Sans"/>
                <w:shd w:val="nil" w:color="auto" w:fill="auto"/>
                <w:rtl w:val="0"/>
                <w:lang w:val="en-US"/>
              </w:rPr>
              <w:t>#</w:t>
            </w:r>
            <w:r>
              <w:rPr>
                <w:rFonts w:ascii="Google Sans" w:cs="Google Sans" w:hAnsi="Google Sans" w:eastAsia="Google Sans"/>
                <w:shd w:val="nil" w:color="auto" w:fill="auto"/>
                <w:rtl w:val="0"/>
                <w:lang w:val="en-US"/>
              </w:rPr>
              <w:t>3</w:t>
            </w:r>
          </w:p>
        </w:tc>
      </w:tr>
      <w:tr>
        <w:tblPrEx>
          <w:shd w:val="clear" w:color="auto" w:fill="ced7e7"/>
        </w:tblPrEx>
        <w:trPr>
          <w:trHeight w:val="1060"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Description</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pPr>
            <w:r>
              <w:rPr>
                <w:rFonts w:ascii="Times Roman" w:hAnsi="Times Roman"/>
                <w:sz w:val="22"/>
                <w:szCs w:val="22"/>
                <w:rtl w:val="0"/>
              </w:rPr>
              <w:t>Received and investigated a phishing alert regarding a suspicious email sent to an internal HR mailbox. The alert indicated a possible malware download associated with an email attachment. Hash analysis confirmed the attachment is malicious, requiring escalation per the phishing incident response playbook.</w:t>
            </w:r>
          </w:p>
        </w:tc>
      </w:tr>
      <w:tr>
        <w:tblPrEx>
          <w:shd w:val="clear" w:color="auto" w:fill="ced7e7"/>
        </w:tblPrEx>
        <w:trPr>
          <w:trHeight w:val="540"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Tool(s) used</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suppressAutoHyphens w:val="1"/>
              <w:spacing w:before="0" w:after="240" w:line="240" w:lineRule="auto"/>
            </w:pPr>
            <w:r>
              <w:rPr>
                <w:rFonts w:ascii="Google Sans" w:cs="Google Sans" w:hAnsi="Google Sans" w:eastAsia="Google Sans"/>
                <w:sz w:val="22"/>
                <w:szCs w:val="22"/>
                <w:rtl w:val="0"/>
                <w:lang w:val="en-US"/>
              </w:rPr>
              <w:t>Threat intelligence platform (hash reputation check)</w:t>
            </w:r>
            <w:r>
              <w:rPr>
                <w:rFonts w:ascii="Google Sans" w:cs="Google Sans" w:hAnsi="Google Sans" w:eastAsia="Google Sans"/>
                <w:sz w:val="22"/>
                <w:szCs w:val="22"/>
              </w:rPr>
              <w:br w:type="textWrapping"/>
            </w:r>
            <w:r>
              <w:rPr>
                <w:rFonts w:ascii="Google Sans" w:cs="Google Sans" w:hAnsi="Google Sans" w:eastAsia="Google Sans"/>
                <w:sz w:val="22"/>
                <w:szCs w:val="22"/>
                <w:rtl w:val="0"/>
                <w:lang w:val="en-US"/>
              </w:rPr>
              <w:t>Email security alerting system</w:t>
            </w:r>
          </w:p>
        </w:tc>
      </w:tr>
      <w:tr>
        <w:tblPrEx>
          <w:shd w:val="clear" w:color="auto" w:fill="ced7e7"/>
        </w:tblPrEx>
        <w:trPr>
          <w:trHeight w:val="3611"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rtl w:val="0"/>
              </w:rPr>
              <w:t>Details:</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 xml:space="preserve"> Ticket ID: A-2703</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Alert Message: SERVER-MAIL Phishing attempt possible download of malware</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Severity: Medium (escalated)</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 xml:space="preserve">Recipient Email: </w:t>
            </w:r>
            <w:r>
              <w:rPr>
                <w:rStyle w:val="Hyperlink.0"/>
                <w:rFonts w:ascii="Times New Roman" w:cs="Times New Roman" w:hAnsi="Times New Roman" w:eastAsia="Times New Roman"/>
                <w:sz w:val="22"/>
                <w:szCs w:val="22"/>
              </w:rPr>
              <w:fldChar w:fldCharType="begin" w:fldLock="0"/>
            </w:r>
            <w:r>
              <w:rPr>
                <w:rStyle w:val="Hyperlink.0"/>
                <w:rFonts w:ascii="Times New Roman" w:cs="Times New Roman" w:hAnsi="Times New Roman" w:eastAsia="Times New Roman"/>
                <w:sz w:val="22"/>
                <w:szCs w:val="22"/>
              </w:rPr>
              <w:instrText xml:space="preserve"> HYPERLINK "mailto:hr@inergy.com"</w:instrText>
            </w:r>
            <w:r>
              <w:rPr>
                <w:rStyle w:val="Hyperlink.0"/>
                <w:rFonts w:ascii="Times New Roman" w:cs="Times New Roman" w:hAnsi="Times New Roman" w:eastAsia="Times New Roman"/>
                <w:sz w:val="22"/>
                <w:szCs w:val="22"/>
              </w:rPr>
              <w:fldChar w:fldCharType="separate" w:fldLock="0"/>
            </w:r>
            <w:r>
              <w:rPr>
                <w:rStyle w:val="Hyperlink.0"/>
                <w:rFonts w:ascii="Times New Roman" w:hAnsi="Times New Roman"/>
                <w:sz w:val="22"/>
                <w:szCs w:val="22"/>
                <w:rtl w:val="0"/>
                <w:lang w:val="en-US"/>
              </w:rPr>
              <w:t>hr@inergy.com</w:t>
            </w:r>
            <w:r>
              <w:rPr>
                <w:rFonts w:ascii="Times New Roman" w:cs="Times New Roman" w:hAnsi="Times New Roman" w:eastAsia="Times New Roman"/>
                <w:sz w:val="22"/>
                <w:szCs w:val="22"/>
              </w:rPr>
              <w:fldChar w:fldCharType="end" w:fldLock="0"/>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Recipient IP: 176.157.125.93</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Sender Email: Def Communications &lt;76tguyhh6tgftrt7tg.su&gt;</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Sender IP: 114.114.114.114</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Email Subject: Re: Infrastructure Engineer role</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Attachment Name: bfsvc.exe</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Known Malicious Hash: 54e6ea47eb04634d3e87fd7787e2136ccfbcc80ade34f246a12cf93bab527f6b</w:t>
            </w:r>
          </w:p>
          <w:p>
            <w:pPr>
              <w:pStyle w:val="Default"/>
              <w:numPr>
                <w:ilvl w:val="0"/>
                <w:numId w:val="5"/>
              </w:numPr>
              <w:suppressAutoHyphens w:val="1"/>
              <w:spacing w:before="0" w:line="240" w:lineRule="auto"/>
              <w:rPr>
                <w:rFonts w:ascii="Times New Roman" w:hAnsi="Times New Roman"/>
                <w:sz w:val="22"/>
                <w:szCs w:val="22"/>
                <w:lang w:val="en-US"/>
              </w:rPr>
            </w:pPr>
            <w:r>
              <w:rPr>
                <w:rFonts w:ascii="Times New Roman" w:hAnsi="Times New Roman"/>
                <w:sz w:val="22"/>
                <w:szCs w:val="22"/>
                <w:rtl w:val="0"/>
                <w:lang w:val="en-US"/>
              </w:rPr>
              <w:t>User Action: Email contained a password-protected executable attachment encouraging the recipient to open it.</w:t>
            </w:r>
          </w:p>
          <w:p>
            <w:pPr>
              <w:pStyle w:val="Default"/>
              <w:suppressAutoHyphens w:val="1"/>
              <w:spacing w:before="0" w:line="240" w:lineRule="auto"/>
              <w:rPr>
                <w:rFonts w:ascii="Times New Roman" w:cs="Times New Roman" w:hAnsi="Times New Roman" w:eastAsia="Times New Roman"/>
                <w:sz w:val="22"/>
                <w:szCs w:val="22"/>
              </w:rPr>
            </w:pPr>
          </w:p>
          <w:p>
            <w:pPr>
              <w:pStyle w:val="Default"/>
              <w:suppressAutoHyphens w:val="1"/>
              <w:spacing w:before="0" w:line="240" w:lineRule="auto"/>
            </w:pPr>
            <w:r>
              <w:rPr>
                <w:rFonts w:ascii="Times New Roman" w:hAnsi="Times New Roman"/>
                <w:sz w:val="22"/>
                <w:szCs w:val="22"/>
                <w:rtl w:val="0"/>
                <w:lang w:val="en-US"/>
              </w:rPr>
              <w:t xml:space="preserve"> </w:t>
            </w:r>
          </w:p>
        </w:tc>
      </w:tr>
      <w:tr>
        <w:tblPrEx>
          <w:shd w:val="clear" w:color="auto" w:fill="ced7e7"/>
        </w:tblPrEx>
        <w:trPr>
          <w:trHeight w:val="910"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Additional notes</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rPr>
                <w:rFonts w:ascii="Helvetica Neue" w:cs="Helvetica Neue" w:hAnsi="Helvetica Neue" w:eastAsia="Helvetica Neue"/>
                <w:sz w:val="22"/>
                <w:szCs w:val="22"/>
              </w:rPr>
            </w:pPr>
            <w:r>
              <w:rPr>
                <w:rFonts w:ascii="Times New Roman" w:hAnsi="Times New Roman"/>
                <w:sz w:val="22"/>
                <w:szCs w:val="22"/>
                <w:rtl w:val="0"/>
                <w:lang w:val="en-US"/>
              </w:rPr>
              <w:t xml:space="preserve"> No further containment actions performed at level one.</w:t>
            </w:r>
          </w:p>
          <w:p>
            <w:pPr>
              <w:pStyle w:val="Default"/>
              <w:suppressAutoHyphens w:val="1"/>
              <w:spacing w:before="0" w:line="240" w:lineRule="auto"/>
              <w:rPr>
                <w:rFonts w:ascii="Helvetica Neue" w:cs="Helvetica Neue" w:hAnsi="Helvetica Neue" w:eastAsia="Helvetica Neue"/>
                <w:sz w:val="22"/>
                <w:szCs w:val="22"/>
              </w:rPr>
            </w:pPr>
            <w:r>
              <w:rPr>
                <w:rFonts w:ascii="Times New Roman" w:hAnsi="Times New Roman"/>
                <w:sz w:val="22"/>
                <w:szCs w:val="22"/>
                <w:rtl w:val="0"/>
                <w:lang w:val="en-US"/>
              </w:rPr>
              <w:t>Awaiting guidance from level-two SOC for remediation and user follow-up.</w:t>
            </w:r>
          </w:p>
          <w:p>
            <w:pPr>
              <w:pStyle w:val="Default"/>
              <w:suppressAutoHyphens w:val="1"/>
              <w:spacing w:before="0" w:line="240" w:lineRule="auto"/>
            </w:pPr>
            <w:r>
              <w:rPr>
                <w:rFonts w:ascii="Times New Roman" w:hAnsi="Times New Roman"/>
                <w:sz w:val="22"/>
                <w:szCs w:val="22"/>
                <w:rtl w:val="0"/>
                <w:lang w:val="en-US"/>
              </w:rPr>
              <w:t>Ticket status updated to Escalated in accordance with policy.</w:t>
            </w:r>
          </w:p>
        </w:tc>
      </w:tr>
    </w:tbl>
    <w:p>
      <w:pPr>
        <w:pStyle w:val="Body A"/>
        <w:widowControl w:val="0"/>
        <w:spacing w:after="200" w:line="240" w:lineRule="auto"/>
        <w:ind w:left="108" w:hanging="108"/>
        <w:rPr>
          <w:rFonts w:ascii="Google Sans" w:cs="Google Sans" w:hAnsi="Google Sans" w:eastAsia="Google Sans"/>
          <w:sz w:val="24"/>
          <w:szCs w:val="24"/>
        </w:rPr>
      </w:pPr>
    </w:p>
    <w:p>
      <w:pPr>
        <w:pStyle w:val="Body A"/>
        <w:widowControl w:val="0"/>
        <w:spacing w:after="200" w:line="240" w:lineRule="auto"/>
      </w:pPr>
      <w:r>
        <w:rPr>
          <w:rFonts w:ascii="Google Sans" w:cs="Google Sans" w:hAnsi="Google Sans" w:eastAsia="Google Sans"/>
          <w:sz w:val="24"/>
          <w:szCs w:val="24"/>
        </w:rPr>
        <w:br w:type="page"/>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3"/>
        <w:gridCol w:w="7327"/>
      </w:tblGrid>
      <w:tr>
        <w:tblPrEx>
          <w:shd w:val="clear" w:color="auto" w:fill="ced7e7"/>
        </w:tblPrEx>
        <w:trPr>
          <w:trHeight w:val="280"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Date:</w:t>
            </w:r>
            <w:r>
              <w:rPr>
                <w:rFonts w:ascii="Google Sans" w:cs="Google Sans" w:hAnsi="Google Sans" w:eastAsia="Google Sans"/>
                <w:shd w:val="nil" w:color="auto" w:fill="auto"/>
                <w:rtl w:val="0"/>
                <w:lang w:val="en-US"/>
              </w:rPr>
              <w:t xml:space="preserve"> Dec </w:t>
            </w:r>
            <w:r>
              <w:rPr>
                <w:rFonts w:ascii="Google Sans" w:cs="Google Sans" w:hAnsi="Google Sans" w:eastAsia="Google Sans"/>
                <w:shd w:val="nil" w:color="auto" w:fill="auto"/>
                <w:rtl w:val="0"/>
                <w:lang w:val="en-US"/>
              </w:rPr>
              <w:t>1</w:t>
            </w:r>
            <w:r>
              <w:rPr>
                <w:rFonts w:ascii="Google Sans" w:cs="Google Sans" w:hAnsi="Google Sans" w:eastAsia="Google Sans"/>
                <w:shd w:val="nil" w:color="auto" w:fill="auto"/>
                <w:rtl w:val="0"/>
                <w:lang w:val="ru-RU"/>
              </w:rPr>
              <w:t>8</w:t>
            </w:r>
            <w:r>
              <w:rPr>
                <w:rFonts w:ascii="Google Sans" w:cs="Google Sans" w:hAnsi="Google Sans" w:eastAsia="Google Sans"/>
                <w:shd w:val="nil" w:color="auto" w:fill="auto"/>
                <w:rtl w:val="0"/>
                <w:lang w:val="en-US"/>
              </w:rPr>
              <w:t>, 2025</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b w:val="1"/>
                <w:bCs w:val="1"/>
                <w:shd w:val="nil" w:color="auto" w:fill="auto"/>
                <w:rtl w:val="0"/>
                <w:lang w:val="en-US"/>
              </w:rPr>
              <w:t xml:space="preserve">Entry: </w:t>
            </w:r>
            <w:r>
              <w:rPr>
                <w:rFonts w:ascii="Google Sans" w:cs="Google Sans" w:hAnsi="Google Sans" w:eastAsia="Google Sans"/>
                <w:shd w:val="nil" w:color="auto" w:fill="auto"/>
                <w:rtl w:val="0"/>
                <w:lang w:val="en-US"/>
              </w:rPr>
              <w:t>#</w:t>
            </w:r>
            <w:r>
              <w:rPr>
                <w:rFonts w:ascii="Google Sans" w:cs="Google Sans" w:hAnsi="Google Sans" w:eastAsia="Google Sans"/>
                <w:shd w:val="nil" w:color="auto" w:fill="auto"/>
                <w:rtl w:val="0"/>
                <w:lang w:val="ru-RU"/>
              </w:rPr>
              <w:t>4</w:t>
            </w:r>
          </w:p>
        </w:tc>
      </w:tr>
      <w:tr>
        <w:tblPrEx>
          <w:shd w:val="clear" w:color="auto" w:fill="ced7e7"/>
        </w:tblPrEx>
        <w:trPr>
          <w:trHeight w:val="801"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Description</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pPr>
            <w:r>
              <w:rPr>
                <w:rFonts w:ascii="Times Roman" w:hAnsi="Times Roman"/>
                <w:sz w:val="22"/>
                <w:szCs w:val="22"/>
                <w:rtl w:val="0"/>
                <w:lang w:val="en-US"/>
              </w:rPr>
              <w:t xml:space="preserve">Suricata triggered multiple alerts based on a custom rule detecting HTTP GET requests originating from the home network and destined for external IP addresses. Alerts were generated while processing </w:t>
            </w:r>
            <w:r>
              <w:rPr>
                <w:rFonts w:ascii="Courier" w:hAnsi="Courier"/>
                <w:sz w:val="22"/>
                <w:szCs w:val="22"/>
                <w:rtl w:val="0"/>
                <w:lang w:val="en-US"/>
              </w:rPr>
              <w:t>sample.pcap</w:t>
            </w:r>
          </w:p>
        </w:tc>
      </w:tr>
      <w:tr>
        <w:tblPrEx>
          <w:shd w:val="clear" w:color="auto" w:fill="ced7e7"/>
        </w:tblPrEx>
        <w:trPr>
          <w:trHeight w:val="280"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Tool(s) used</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Suricata</w:t>
            </w:r>
          </w:p>
        </w:tc>
      </w:tr>
      <w:tr>
        <w:tblPrEx>
          <w:shd w:val="clear" w:color="auto" w:fill="ced7e7"/>
        </w:tblPrEx>
        <w:trPr>
          <w:trHeight w:val="2356"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rtl w:val="0"/>
              </w:rPr>
              <w:t>Details:</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numPr>
                <w:ilvl w:val="0"/>
                <w:numId w:val="6"/>
              </w:numPr>
              <w:rPr>
                <w:rFonts w:ascii="Times New Roman" w:hAnsi="Times New Roman"/>
              </w:rPr>
            </w:pPr>
            <w:r>
              <w:rPr>
                <w:rFonts w:ascii="Times New Roman" w:hAnsi="Times New Roman"/>
                <w:b w:val="1"/>
                <w:bCs w:val="1"/>
                <w:rtl w:val="0"/>
              </w:rPr>
              <w:t>Rule Triggered:</w:t>
            </w:r>
            <w:r>
              <w:rPr>
                <w:rFonts w:ascii="Times New Roman" w:hAnsi="Times New Roman" w:hint="default"/>
                <w:rtl w:val="1"/>
                <w:lang w:val="ar-SA" w:bidi="ar-SA"/>
              </w:rPr>
              <w:t xml:space="preserve"> “</w:t>
            </w:r>
            <w:r>
              <w:rPr>
                <w:rFonts w:ascii="Times New Roman" w:hAnsi="Times New Roman"/>
                <w:rtl w:val="0"/>
                <w:lang w:val="de-DE"/>
              </w:rPr>
              <w:t>GET on wire</w:t>
            </w:r>
            <w:r>
              <w:rPr>
                <w:rFonts w:ascii="Times New Roman" w:hAnsi="Times New Roman" w:hint="default"/>
                <w:rtl w:val="0"/>
              </w:rPr>
              <w:t xml:space="preserve">” </w:t>
            </w:r>
            <w:r>
              <w:rPr>
                <w:rFonts w:ascii="Times New Roman" w:hAnsi="Times New Roman"/>
                <w:rtl w:val="0"/>
                <w:lang w:val="en-US"/>
              </w:rPr>
              <w:t>(SID 12345, Rev 3)</w:t>
            </w:r>
          </w:p>
          <w:p>
            <w:pPr>
              <w:pStyle w:val="Body A"/>
              <w:widowControl w:val="0"/>
              <w:numPr>
                <w:ilvl w:val="0"/>
                <w:numId w:val="6"/>
              </w:numPr>
              <w:bidi w:val="0"/>
              <w:ind w:right="0"/>
              <w:jc w:val="left"/>
              <w:rPr>
                <w:rFonts w:ascii="Times New Roman" w:hAnsi="Times New Roman"/>
                <w:rtl w:val="0"/>
              </w:rPr>
            </w:pPr>
            <w:r>
              <w:rPr>
                <w:rFonts w:ascii="Times New Roman" w:hAnsi="Times New Roman"/>
                <w:b w:val="1"/>
                <w:bCs w:val="1"/>
                <w:rtl w:val="0"/>
              </w:rPr>
              <w:t>Severity</w:t>
            </w:r>
            <w:r>
              <w:rPr>
                <w:rFonts w:ascii="Times New Roman" w:hAnsi="Times New Roman"/>
                <w:rtl w:val="0"/>
              </w:rPr>
              <w:t>: 3</w:t>
            </w:r>
          </w:p>
          <w:p>
            <w:pPr>
              <w:pStyle w:val="Body A"/>
              <w:widowControl w:val="0"/>
              <w:numPr>
                <w:ilvl w:val="0"/>
                <w:numId w:val="6"/>
              </w:numPr>
              <w:bidi w:val="0"/>
              <w:ind w:right="0"/>
              <w:jc w:val="left"/>
              <w:rPr>
                <w:rFonts w:ascii="Times New Roman" w:hAnsi="Times New Roman"/>
                <w:rtl w:val="0"/>
                <w:lang w:val="it-IT"/>
              </w:rPr>
            </w:pPr>
            <w:r>
              <w:rPr>
                <w:rFonts w:ascii="Times New Roman" w:hAnsi="Times New Roman"/>
                <w:b w:val="1"/>
                <w:bCs w:val="1"/>
                <w:rtl w:val="0"/>
                <w:lang w:val="it-IT"/>
              </w:rPr>
              <w:t>Protocol:</w:t>
            </w:r>
            <w:r>
              <w:rPr>
                <w:rFonts w:ascii="Times New Roman" w:hAnsi="Times New Roman"/>
                <w:rtl w:val="0"/>
              </w:rPr>
              <w:t xml:space="preserve"> TCP / HTTP</w:t>
            </w:r>
          </w:p>
          <w:p>
            <w:pPr>
              <w:pStyle w:val="Body A"/>
              <w:widowControl w:val="0"/>
              <w:numPr>
                <w:ilvl w:val="0"/>
                <w:numId w:val="6"/>
              </w:numPr>
              <w:bidi w:val="0"/>
              <w:ind w:right="0"/>
              <w:jc w:val="left"/>
              <w:rPr>
                <w:rFonts w:ascii="Times New Roman" w:hAnsi="Times New Roman"/>
                <w:rtl w:val="0"/>
                <w:lang w:val="fr-FR"/>
              </w:rPr>
            </w:pPr>
            <w:r>
              <w:rPr>
                <w:rFonts w:ascii="Times New Roman" w:hAnsi="Times New Roman"/>
                <w:b w:val="1"/>
                <w:bCs w:val="1"/>
                <w:rtl w:val="0"/>
                <w:lang w:val="fr-FR"/>
              </w:rPr>
              <w:t>Source IP:</w:t>
            </w:r>
            <w:r>
              <w:rPr>
                <w:rFonts w:ascii="Times New Roman" w:hAnsi="Times New Roman"/>
                <w:rtl w:val="0"/>
                <w:lang w:val="de-DE"/>
              </w:rPr>
              <w:t xml:space="preserve"> 172.21.224.2 (HOME_NET)</w:t>
            </w:r>
          </w:p>
          <w:p>
            <w:pPr>
              <w:pStyle w:val="Body A"/>
              <w:widowControl w:val="0"/>
              <w:numPr>
                <w:ilvl w:val="0"/>
                <w:numId w:val="6"/>
              </w:numPr>
              <w:bidi w:val="0"/>
              <w:ind w:right="0"/>
              <w:jc w:val="left"/>
              <w:rPr>
                <w:rFonts w:ascii="Times New Roman" w:hAnsi="Times New Roman"/>
                <w:rtl w:val="0"/>
                <w:lang w:val="fr-FR"/>
              </w:rPr>
            </w:pPr>
            <w:r>
              <w:rPr>
                <w:rFonts w:ascii="Times New Roman" w:hAnsi="Times New Roman"/>
                <w:b w:val="1"/>
                <w:bCs w:val="1"/>
                <w:rtl w:val="0"/>
                <w:lang w:val="fr-FR"/>
              </w:rPr>
              <w:t>Destination IPs:</w:t>
            </w:r>
            <w:r>
              <w:rPr>
                <w:rFonts w:ascii="Times New Roman" w:hAnsi="Times New Roman"/>
                <w:rtl w:val="0"/>
              </w:rPr>
              <w:t xml:space="preserve"> 142.250.1.139, 142.250.1.102</w:t>
            </w:r>
          </w:p>
          <w:p>
            <w:pPr>
              <w:pStyle w:val="Body A"/>
              <w:widowControl w:val="0"/>
              <w:numPr>
                <w:ilvl w:val="0"/>
                <w:numId w:val="6"/>
              </w:numPr>
              <w:bidi w:val="0"/>
              <w:ind w:right="0"/>
              <w:jc w:val="left"/>
              <w:rPr>
                <w:rFonts w:ascii="Times New Roman" w:hAnsi="Times New Roman"/>
                <w:rtl w:val="0"/>
              </w:rPr>
            </w:pPr>
            <w:r>
              <w:rPr>
                <w:rFonts w:ascii="Times New Roman" w:hAnsi="Times New Roman"/>
                <w:b w:val="1"/>
                <w:bCs w:val="1"/>
                <w:rtl w:val="0"/>
              </w:rPr>
              <w:t>Log Sources</w:t>
            </w:r>
            <w:r>
              <w:rPr>
                <w:rFonts w:ascii="Times New Roman" w:hAnsi="Times New Roman"/>
                <w:rtl w:val="0"/>
              </w:rPr>
              <w:t xml:space="preserve">: </w:t>
            </w:r>
            <w:r>
              <w:rPr>
                <w:rFonts w:ascii="Times New Roman" w:hAnsi="Times New Roman"/>
                <w:sz w:val="26"/>
                <w:szCs w:val="26"/>
                <w:rtl w:val="0"/>
              </w:rPr>
              <w:t>fast.log</w:t>
            </w:r>
            <w:r>
              <w:rPr>
                <w:rFonts w:ascii="Times New Roman" w:hAnsi="Times New Roman"/>
                <w:rtl w:val="0"/>
              </w:rPr>
              <w:t xml:space="preserve">, </w:t>
            </w:r>
            <w:r>
              <w:rPr>
                <w:rFonts w:ascii="Times New Roman" w:hAnsi="Times New Roman"/>
                <w:sz w:val="26"/>
                <w:szCs w:val="26"/>
                <w:rtl w:val="0"/>
              </w:rPr>
              <w:t>eve.json</w:t>
            </w:r>
          </w:p>
          <w:p>
            <w:pPr>
              <w:pStyle w:val="Body A"/>
              <w:widowControl w:val="0"/>
              <w:numPr>
                <w:ilvl w:val="0"/>
                <w:numId w:val="6"/>
              </w:numPr>
              <w:bidi w:val="0"/>
              <w:ind w:right="0"/>
              <w:jc w:val="left"/>
              <w:rPr>
                <w:rFonts w:ascii="Times New Roman" w:hAnsi="Times New Roman"/>
                <w:rtl w:val="0"/>
                <w:lang w:val="en-US"/>
              </w:rPr>
            </w:pPr>
            <w:r>
              <w:rPr>
                <w:rFonts w:ascii="Times New Roman" w:hAnsi="Times New Roman"/>
                <w:b w:val="1"/>
                <w:bCs w:val="1"/>
                <w:rtl w:val="0"/>
                <w:lang w:val="en-US"/>
              </w:rPr>
              <w:t>Flow Analysis:</w:t>
            </w:r>
            <w:r>
              <w:rPr>
                <w:rFonts w:ascii="Times New Roman" w:hAnsi="Times New Roman"/>
                <w:rtl w:val="0"/>
              </w:rPr>
              <w:t xml:space="preserve"> Distinct </w:t>
            </w:r>
            <w:r>
              <w:rPr>
                <w:rFonts w:ascii="Times New Roman" w:hAnsi="Times New Roman"/>
                <w:sz w:val="26"/>
                <w:szCs w:val="26"/>
                <w:rtl w:val="0"/>
                <w:lang w:val="en-US"/>
              </w:rPr>
              <w:t>flow_id</w:t>
            </w:r>
            <w:r>
              <w:rPr>
                <w:rFonts w:ascii="Times New Roman" w:hAnsi="Times New Roman"/>
                <w:rtl w:val="0"/>
                <w:lang w:val="en-US"/>
              </w:rPr>
              <w:t xml:space="preserve"> values confirm separate HTTP sessions with consistent behavior.</w:t>
            </w:r>
          </w:p>
        </w:tc>
      </w:tr>
      <w:tr>
        <w:tblPrEx>
          <w:shd w:val="clear" w:color="auto" w:fill="ced7e7"/>
        </w:tblPrEx>
        <w:trPr>
          <w:trHeight w:val="910" w:hRule="atLeast"/>
        </w:trPr>
        <w:tc>
          <w:tcPr>
            <w:tcW w:type="dxa" w:w="203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360" w:lineRule="auto"/>
            </w:pPr>
            <w:r>
              <w:rPr>
                <w:rFonts w:ascii="Google Sans" w:cs="Google Sans" w:hAnsi="Google Sans" w:eastAsia="Google Sans"/>
                <w:shd w:val="nil" w:color="auto" w:fill="auto"/>
                <w:rtl w:val="0"/>
                <w:lang w:val="en-US"/>
              </w:rPr>
              <w:t>Additional notes</w:t>
            </w:r>
          </w:p>
        </w:tc>
        <w:tc>
          <w:tcPr>
            <w:tcW w:type="dxa" w:w="732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pPr>
            <w:r>
              <w:rPr>
                <w:rFonts w:ascii="Google Sans" w:cs="Google Sans" w:hAnsi="Google Sans" w:eastAsia="Google Sans"/>
                <w:shd w:val="nil" w:color="auto" w:fill="auto"/>
                <w:rtl w:val="0"/>
                <w:lang w:val="en-US"/>
              </w:rPr>
              <w:t>Alerts reviewed and documented. No containment required at this time. Continue monitoring and refine rules if higher fidelity detection is needed.</w:t>
            </w:r>
          </w:p>
        </w:tc>
      </w:tr>
    </w:tbl>
    <w:p>
      <w:pPr>
        <w:pStyle w:val="Body A"/>
        <w:widowControl w:val="0"/>
        <w:spacing w:after="200" w:line="240" w:lineRule="auto"/>
        <w:ind w:left="108" w:hanging="108"/>
      </w:pPr>
      <w:r>
        <w:rPr>
          <w:rFonts w:ascii="Google Sans" w:cs="Google Sans" w:hAnsi="Google Sans" w:eastAsia="Google Sans"/>
          <w:sz w:val="24"/>
          <w:szCs w:val="24"/>
        </w:rPr>
      </w:r>
    </w:p>
    <w:sectPr>
      <w:headerReference w:type="default" r:id="rId4"/>
      <w:headerReference w:type="first" r:id="rId5"/>
      <w:footerReference w:type="default" r:id="rId6"/>
      <w:footerReference w:type="first" r:id="rId7"/>
      <w:pgSz w:w="12240" w:h="15840" w:orient="portrait"/>
      <w:pgMar w:top="1440" w:right="1440" w:bottom="1440" w:left="1440" w:header="72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