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2-Page Summary</w:t>
      </w:r>
    </w:p>
    <w:p>
      <w:pPr>
        <w:pStyle w:val="Heading3"/>
      </w:pPr>
      <w:r>
        <w:t>Financial Summary for Apple Inc. - Q1 2024 (ending December 30, 2023)</w:t>
      </w:r>
    </w:p>
    <w:p>
      <w:pPr>
        <w:pStyle w:val="Heading4"/>
      </w:pPr>
      <w:r>
        <w:t>Business Overview</w:t>
      </w:r>
    </w:p>
    <w:p>
      <w:pPr>
        <w:jc w:val="left"/>
      </w:pPr>
      <w:r/>
      <w:r>
        <w:t xml:space="preserve">- </w:t>
      </w:r>
      <w:r>
        <w:rPr>
          <w:b/>
        </w:rPr>
        <w:t>Formation/Incorporation Date:</w:t>
      </w:r>
      <w:r>
        <w:t xml:space="preserve"> April 1, 1976</w:t>
      </w:r>
    </w:p>
    <w:p>
      <w:pPr>
        <w:jc w:val="left"/>
      </w:pPr>
      <w:r/>
      <w:r>
        <w:t xml:space="preserve">- </w:t>
      </w:r>
      <w:r>
        <w:rPr>
          <w:b/>
        </w:rPr>
        <w:t>Headquarters Location:</w:t>
      </w:r>
      <w:r>
        <w:t xml:space="preserve"> Cupertino, California, USA</w:t>
      </w:r>
    </w:p>
    <w:p>
      <w:pPr>
        <w:jc w:val="left"/>
      </w:pPr>
      <w:r/>
      <w:r>
        <w:t xml:space="preserve">- </w:t>
      </w:r>
      <w:r>
        <w:rPr>
          <w:b/>
        </w:rPr>
        <w:t>Business Description:</w:t>
      </w:r>
      <w:r>
        <w:t xml:space="preserve"> Apple Inc. designs, manufactures, and markets consumer electronics, software applications, and online services. Notable products include iPhones, iPads, Mac computers, software platforms such as iOS and macOS, and services like Apple Music and iCloud.</w:t>
      </w:r>
    </w:p>
    <w:p>
      <w:pPr>
        <w:jc w:val="left"/>
      </w:pPr>
      <w:r/>
      <w:r>
        <w:t xml:space="preserve">- </w:t>
      </w:r>
      <w:r>
        <w:rPr>
          <w:b/>
        </w:rPr>
        <w:t>Employee Count:</w:t>
      </w:r>
      <w:r>
        <w:t xml:space="preserve"> Approximately 164,000</w:t>
      </w:r>
    </w:p>
    <w:p>
      <w:pPr>
        <w:jc w:val="left"/>
      </w:pPr>
      <w:r/>
      <w:r>
        <w:t xml:space="preserve">- </w:t>
      </w:r>
      <w:r>
        <w:rPr>
          <w:b/>
        </w:rPr>
        <w:t>Latest Revenues:</w:t>
      </w:r>
      <w:r>
        <w:t xml:space="preserve"> $119.575 billion</w:t>
      </w:r>
    </w:p>
    <w:p>
      <w:pPr>
        <w:jc w:val="left"/>
      </w:pPr>
      <w:r/>
      <w:r>
        <w:t xml:space="preserve">- </w:t>
      </w:r>
      <w:r>
        <w:rPr>
          <w:b/>
        </w:rPr>
        <w:t>Stock Exchange Listing:</w:t>
      </w:r>
      <w:r>
        <w:t xml:space="preserve"> NASDAQ</w:t>
      </w:r>
    </w:p>
    <w:p>
      <w:pPr>
        <w:jc w:val="left"/>
      </w:pPr>
      <w:r/>
      <w:r>
        <w:t xml:space="preserve">- </w:t>
      </w:r>
      <w:r>
        <w:rPr>
          <w:b/>
        </w:rPr>
        <w:t>Market Capitalization:</w:t>
      </w:r>
      <w:r>
        <w:t xml:space="preserve"> Estimated at $2.59 trillion (as of Q1 2024)</w:t>
      </w:r>
    </w:p>
    <w:p>
      <w:pPr>
        <w:jc w:val="left"/>
      </w:pPr>
      <w:r/>
      <w:r>
        <w:t xml:space="preserve">- </w:t>
      </w:r>
      <w:r>
        <w:rPr>
          <w:b/>
        </w:rPr>
        <w:t>Number of Offices and Locations:</w:t>
      </w:r>
      <w:r>
        <w:t xml:space="preserve"> 500+ retail stores globally, with expanded offices in major cities.</w:t>
      </w:r>
    </w:p>
    <w:p>
      <w:pPr>
        <w:jc w:val="left"/>
      </w:pPr>
      <w:r/>
      <w:r>
        <w:t xml:space="preserve">- </w:t>
      </w:r>
      <w:r>
        <w:rPr>
          <w:b/>
        </w:rPr>
        <w:t>Clients/Customers:</w:t>
      </w:r>
      <w:r>
        <w:t xml:space="preserve"> Millions of individual consumers and businesses worldwide, particularly targeting tech-savvy users.</w:t>
      </w:r>
    </w:p>
    <w:p>
      <w:pPr>
        <w:pStyle w:val="Heading4"/>
      </w:pPr>
      <w:r>
        <w:t>Business Segment Overview</w:t>
      </w:r>
    </w:p>
    <w:p>
      <w:pPr>
        <w:jc w:val="left"/>
      </w:pPr>
      <w:r/>
      <w:r>
        <w:t xml:space="preserve">- </w:t>
      </w:r>
      <w:r>
        <w:rPr>
          <w:b/>
        </w:rPr>
        <w:t>Overview of Major Business Segments:</w:t>
      </w:r>
      <w:r>
        <w:t xml:space="preserve"> Major segments include Products (iPhones, Macs, iPads) and Services (iTunes, iCloud, Apple Music).</w:t>
      </w:r>
    </w:p>
    <w:p>
      <w:pPr>
        <w:jc w:val="left"/>
      </w:pPr>
      <w:r/>
      <w:r>
        <w:t xml:space="preserve">- </w:t>
      </w:r>
      <w:r>
        <w:rPr>
          <w:b/>
        </w:rPr>
        <w:t>Revenue Percentage by Segment:</w:t>
      </w:r>
      <w:r>
        <w:t xml:space="preserve"> Products: 80.5%, Services: 19.5%</w:t>
      </w:r>
    </w:p>
    <w:p>
      <w:pPr>
        <w:pStyle w:val="Heading4"/>
      </w:pPr>
      <w:r>
        <w:t>Performance Analysis</w:t>
      </w:r>
    </w:p>
    <w:p>
      <w:pPr>
        <w:jc w:val="left"/>
      </w:pPr>
      <w:r/>
      <w:r>
        <w:t xml:space="preserve">- </w:t>
      </w:r>
      <w:r>
        <w:rPr>
          <w:b/>
        </w:rPr>
        <w:t>Year-over-Year Performance Comparison:</w:t>
      </w:r>
      <w:r>
        <w:t xml:space="preserve"> Net sales increased to $119.575 billion from $117.154 billion, a 2% growth.</w:t>
      </w:r>
    </w:p>
    <w:p>
      <w:pPr>
        <w:jc w:val="left"/>
      </w:pPr>
      <w:r/>
      <w:r>
        <w:t xml:space="preserve">- </w:t>
      </w:r>
      <w:r>
        <w:rPr>
          <w:b/>
        </w:rPr>
        <w:t>Sales Increase/Decrease Explanation:</w:t>
      </w:r>
      <w:r>
        <w:t xml:space="preserve"> Growth driven by strong service revenue increase, offsetting slight declines in product sales.</w:t>
      </w:r>
    </w:p>
    <w:p>
      <w:pPr>
        <w:pStyle w:val="Heading4"/>
      </w:pPr>
      <w:r>
        <w:t>Geographical Sales Breakdown</w:t>
      </w:r>
    </w:p>
    <w:p>
      <w:pPr>
        <w:jc w:val="left"/>
      </w:pPr>
      <w:r/>
      <w:r>
        <w:t xml:space="preserve">- </w:t>
      </w:r>
      <w:r>
        <w:rPr>
          <w:b/>
        </w:rPr>
        <w:t>Sales and Revenue by Geography:</w:t>
      </w:r>
      <w:r>
        <w:t xml:space="preserve"> Americas: $50.43 billion, Europe: $30.397 billion, Japan: $7.77 billion, Greater China: $20.819 billion</w:t>
      </w:r>
    </w:p>
    <w:p>
      <w:pPr>
        <w:pStyle w:val="Heading4"/>
      </w:pPr>
      <w:r>
        <w:t>Regional Sales Analysis</w:t>
      </w:r>
    </w:p>
    <w:p>
      <w:pPr>
        <w:jc w:val="left"/>
      </w:pPr>
      <w:r/>
      <w:r>
        <w:t xml:space="preserve">- </w:t>
      </w:r>
      <w:r>
        <w:rPr>
          <w:b/>
        </w:rPr>
        <w:t>Explanation of Sales Fluctuations by Region:</w:t>
      </w:r>
      <w:r>
        <w:t xml:space="preserve"> The decline in Greater China sales (-13%) is attributed to increased competition and local economic pressures, while Europe and Japan saw significant growth due to product differentiation and marketing strategies.</w:t>
      </w:r>
    </w:p>
    <w:p>
      <w:pPr>
        <w:pStyle w:val="Heading4"/>
      </w:pPr>
      <w:r>
        <w:t>Year-over-Year Sales Analysis</w:t>
      </w:r>
    </w:p>
    <w:p>
      <w:pPr>
        <w:jc w:val="left"/>
      </w:pPr>
      <w:r/>
      <w:r>
        <w:t xml:space="preserve">- </w:t>
      </w:r>
      <w:r>
        <w:rPr>
          <w:b/>
        </w:rPr>
        <w:t>Overall Sales Increase/Decline:</w:t>
      </w:r>
      <w:r>
        <w:t xml:space="preserve"> Overall sales increased by 2% YoY.</w:t>
      </w:r>
    </w:p>
    <w:p>
      <w:pPr>
        <w:jc w:val="left"/>
      </w:pPr>
      <w:r/>
      <w:r>
        <w:t xml:space="preserve">- </w:t>
      </w:r>
      <w:r>
        <w:rPr>
          <w:b/>
        </w:rPr>
        <w:t>Reasons for Year-over-Year Changes:</w:t>
      </w:r>
      <w:r>
        <w:t xml:space="preserve"> Positive service segment growth (11% YoY) contrasted with product sales instability; inventory management and pricing strategies positively impacted gross margin.</w:t>
      </w:r>
    </w:p>
    <w:p>
      <w:pPr>
        <w:pStyle w:val="Heading4"/>
      </w:pPr>
      <w:r>
        <w:t>Rationale &amp; Considerations</w:t>
      </w:r>
    </w:p>
    <w:p>
      <w:pPr>
        <w:jc w:val="left"/>
      </w:pPr>
      <w:r/>
      <w:r>
        <w:t xml:space="preserve">- </w:t>
      </w:r>
      <w:r>
        <w:rPr>
          <w:b/>
        </w:rPr>
        <w:t>Key Risks:</w:t>
      </w:r>
      <w:r>
        <w:t xml:space="preserve"> Regulatory scrutiny remains a significant concern, especially regarding antitrust issues and litigation related to the App Store.</w:t>
      </w:r>
    </w:p>
    <w:p>
      <w:pPr>
        <w:jc w:val="left"/>
      </w:pPr>
      <w:r/>
      <w:r>
        <w:t xml:space="preserve">- </w:t>
      </w:r>
      <w:r>
        <w:rPr>
          <w:b/>
        </w:rPr>
        <w:t>Mitigating Factors:</w:t>
      </w:r>
      <w:r>
        <w:t xml:space="preserve"> Apple maintains a strong cash position, effective supply chain management, and an ongoing commitment to innovation, which can help mitigate risks.</w:t>
      </w:r>
    </w:p>
    <w:p>
      <w:pPr>
        <w:jc w:val="left"/>
      </w:pPr>
      <w:r/>
      <w:r>
        <w:t xml:space="preserve">- </w:t>
      </w:r>
      <w:r>
        <w:rPr>
          <w:b/>
        </w:rPr>
        <w:t>Future Outlook:</w:t>
      </w:r>
      <w:r>
        <w:t xml:space="preserve"> Continued service growth is expected to enhance revenue stability; potential new product categories may emerge.</w:t>
      </w:r>
    </w:p>
    <w:p>
      <w:pPr>
        <w:jc w:val="left"/>
      </w:pPr>
      <w:r/>
      <w:r>
        <w:t xml:space="preserve">- </w:t>
      </w:r>
      <w:r>
        <w:rPr>
          <w:b/>
        </w:rPr>
        <w:t>Strategic Initiatives:</w:t>
      </w:r>
      <w:r>
        <w:t xml:space="preserve"> Enhancing services and transitioning to subscription models, alongside investments in augmented and virtual reality tech.</w:t>
      </w:r>
    </w:p>
    <w:p>
      <w:pPr>
        <w:pStyle w:val="Heading4"/>
      </w:pPr>
      <w:r>
        <w:t>SWOT Analysis</w:t>
      </w:r>
    </w:p>
    <w:p>
      <w:pPr>
        <w:jc w:val="left"/>
      </w:pPr>
      <w:r/>
      <w:r>
        <w:t xml:space="preserve">- </w:t>
      </w:r>
      <w:r>
        <w:rPr>
          <w:b/>
        </w:rPr>
        <w:t>Strengths:</w:t>
      </w:r>
      <w:r>
        <w:t xml:space="preserve"> Strong brand loyalty, diversified product portfolio, robust cash flow.</w:t>
      </w:r>
    </w:p>
    <w:p>
      <w:pPr>
        <w:jc w:val="left"/>
      </w:pPr>
      <w:r/>
      <w:r>
        <w:t xml:space="preserve">- </w:t>
      </w:r>
      <w:r>
        <w:rPr>
          <w:b/>
        </w:rPr>
        <w:t>Weaknesses:</w:t>
      </w:r>
      <w:r>
        <w:t xml:space="preserve"> High dependence on iPhone sales, vulnerability to supply chain disruptions.</w:t>
      </w:r>
    </w:p>
    <w:p>
      <w:pPr>
        <w:jc w:val="left"/>
      </w:pPr>
      <w:r/>
      <w:r>
        <w:t xml:space="preserve">- </w:t>
      </w:r>
      <w:r>
        <w:rPr>
          <w:b/>
        </w:rPr>
        <w:t>Opportunities:</w:t>
      </w:r>
      <w:r>
        <w:t xml:space="preserve"> Expansion in services and emerging markets, potential in health tech.</w:t>
      </w:r>
    </w:p>
    <w:p>
      <w:pPr>
        <w:jc w:val="left"/>
      </w:pPr>
      <w:r/>
      <w:r>
        <w:t xml:space="preserve">- </w:t>
      </w:r>
      <w:r>
        <w:rPr>
          <w:b/>
        </w:rPr>
        <w:t>Threats:</w:t>
      </w:r>
      <w:r>
        <w:t xml:space="preserve"> Intense competition, regulatory challenges, and geopolitical tensions affecting manufacturing.</w:t>
      </w:r>
    </w:p>
    <w:p>
      <w:pPr>
        <w:pStyle w:val="Heading4"/>
      </w:pPr>
      <w:r>
        <w:t>Credit Rating Information</w:t>
      </w:r>
    </w:p>
    <w:p>
      <w:pPr>
        <w:jc w:val="left"/>
      </w:pPr>
      <w:r/>
      <w:r>
        <w:t xml:space="preserve">- </w:t>
      </w:r>
      <w:r>
        <w:rPr>
          <w:b/>
        </w:rPr>
        <w:t>Current Credit Rating:</w:t>
      </w:r>
      <w:r>
        <w:t xml:space="preserve"> AA+</w:t>
      </w:r>
    </w:p>
    <w:p>
      <w:pPr>
        <w:jc w:val="left"/>
      </w:pPr>
      <w:r/>
      <w:r>
        <w:t xml:space="preserve">- </w:t>
      </w:r>
      <w:r>
        <w:rPr>
          <w:b/>
        </w:rPr>
        <w:t>Recent Changes in Credit Rating:</w:t>
      </w:r>
      <w:r>
        <w:t xml:space="preserve"> No changes reported in the last year.</w:t>
      </w:r>
    </w:p>
    <w:p>
      <w:pPr>
        <w:jc w:val="left"/>
      </w:pPr>
      <w:r/>
      <w:r>
        <w:t xml:space="preserve">- </w:t>
      </w:r>
      <w:r>
        <w:rPr>
          <w:b/>
        </w:rPr>
        <w:t>Changes in Rating Outlook:</w:t>
      </w:r>
      <w:r>
        <w:t xml:space="preserve"> Stable outlook; reflects strong financial health and performance.</w:t>
      </w:r>
    </w:p>
    <w:p>
      <w:pPr>
        <w:pStyle w:val="Heading3"/>
      </w:pPr>
      <w:r>
        <w:t>Actionable Insights for Financial Advisors:</w:t>
      </w:r>
    </w:p>
    <w:p>
      <w:pPr>
        <w:jc w:val="left"/>
      </w:pPr>
      <w:r/>
      <w:r>
        <w:t xml:space="preserve">1. </w:t>
      </w:r>
      <w:r>
        <w:rPr>
          <w:b/>
        </w:rPr>
        <w:t>Regulatory Monitoring:</w:t>
      </w:r>
      <w:r>
        <w:t xml:space="preserve"> Keep tabs on ongoing legal challenges, especially those surrounding the App Store, which could significantly impact future revenue.</w:t>
      </w:r>
    </w:p>
    <w:p>
      <w:pPr>
        <w:jc w:val="left"/>
      </w:pPr>
      <w:r/>
      <w:r>
        <w:t xml:space="preserve">2. </w:t>
      </w:r>
      <w:r>
        <w:rPr>
          <w:b/>
        </w:rPr>
        <w:t>Evaluate Service Trends:</w:t>
      </w:r>
      <w:r>
        <w:t xml:space="preserve"> With services driving growth, consider advising clients to focus on long-term potential in this area.</w:t>
      </w:r>
    </w:p>
    <w:p>
      <w:pPr>
        <w:jc w:val="left"/>
      </w:pPr>
      <w:r/>
      <w:r>
        <w:t xml:space="preserve">3. </w:t>
      </w:r>
      <w:r>
        <w:rPr>
          <w:b/>
        </w:rPr>
        <w:t>Assess Cash Flow Management:</w:t>
      </w:r>
      <w:r>
        <w:t xml:space="preserve"> Given substantial manufacturing obligations, ensure that Apple’s liquidity remains robust, providing room for strategic investments.</w:t>
      </w:r>
    </w:p>
    <w:p>
      <w:pPr>
        <w:jc w:val="left"/>
      </w:pPr>
      <w:r/>
      <w:r>
        <w:t xml:space="preserve">4. </w:t>
      </w:r>
      <w:r>
        <w:rPr>
          <w:b/>
        </w:rPr>
        <w:t>Watch for Market Reaction:</w:t>
      </w:r>
      <w:r>
        <w:t xml:space="preserve"> Pay attention to the impact of new disclosures related to income taxes and segment reporting on investor sentiment.</w:t>
      </w:r>
    </w:p>
    <w:p>
      <w:pPr>
        <w:jc w:val="left"/>
      </w:pPr>
      <w:r/>
      <w:r>
        <w:t>This summary delivers a concise overview of Apple Inc.'s financial standing and operational results for Q1 2024, presenting critical information necessary for strategic advisor-client discussions and investment decisions.</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