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Business Insight Report</w:t>
      </w:r>
    </w:p>
    <w:p>
      <w:r>
        <w:t>Period: September 2026  |  Generated: 09 Oct 2026 19:14  |  Source: rule-based engine</w:t>
      </w:r>
    </w:p>
    <w:p>
      <w:r>
        <w:rPr>
          <w:i/>
        </w:rPr>
        <w:t>Note: AI service unavailable (LLM_API_KEY is not set. Add it to your .env file.). Showing the rule-based report instead.</w:t>
      </w:r>
    </w:p>
    <w:p>
      <w:pPr>
        <w:pStyle w:val="Heading1"/>
      </w:pPr>
      <w:r>
        <w:t>Executive Summary</w:t>
      </w:r>
    </w:p>
    <w:p>
      <w:r>
        <w:t>September 2026: Moderate revenue growth of 6.7% to ₹1,03,95,191. Profit was ₹19,82,338 (+6.7% vs the previous month), with a profit margin of 19.1% and 449 orders. Projected revenue for 2026-10 is about ₹1,20,89,174 (range ₹1,13,84,904 to ₹1,27,93,445), an estimate rather than a guarantee.</w:t>
      </w:r>
    </w:p>
    <w:p>
      <w:pPr>
        <w:pStyle w:val="Heading1"/>
      </w:pPr>
      <w:r>
        <w:t>KPI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Previous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₹1,03,95,191</w:t>
            </w:r>
          </w:p>
        </w:tc>
        <w:tc>
          <w:tcPr>
            <w:tcW w:type="dxa" w:w="2160"/>
          </w:tcPr>
          <w:p>
            <w:r>
              <w:t>₹97,38,780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</w:tr>
      <w:tr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₹19,82,338</w:t>
            </w:r>
          </w:p>
        </w:tc>
        <w:tc>
          <w:tcPr>
            <w:tcW w:type="dxa" w:w="2160"/>
          </w:tcPr>
          <w:p>
            <w:r>
              <w:t>₹18,57,731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+5.4%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+1.7%</w:t>
            </w:r>
          </w:p>
        </w:tc>
      </w:tr>
      <w:tr>
        <w:tc>
          <w:tcPr>
            <w:tcW w:type="dxa" w:w="2160"/>
          </w:tcPr>
          <w:p>
            <w:r>
              <w:t>Average Order Value</w:t>
            </w:r>
          </w:p>
        </w:tc>
        <w:tc>
          <w:tcPr>
            <w:tcW w:type="dxa" w:w="2160"/>
          </w:tcPr>
          <w:p>
            <w:r>
              <w:t>₹23,152</w:t>
            </w:r>
          </w:p>
        </w:tc>
        <w:tc>
          <w:tcPr>
            <w:tcW w:type="dxa" w:w="2160"/>
          </w:tcPr>
          <w:p>
            <w:r>
              <w:t>₹22,861</w:t>
            </w:r>
          </w:p>
        </w:tc>
        <w:tc>
          <w:tcPr>
            <w:tcW w:type="dxa" w:w="2160"/>
          </w:tcPr>
          <w:p>
            <w:r>
              <w:t>+1.3%</w:t>
            </w:r>
          </w:p>
        </w:tc>
      </w:tr>
      <w:tr>
        <w:tc>
          <w:tcPr>
            <w:tcW w:type="dxa" w:w="2160"/>
          </w:tcPr>
          <w:p>
            <w:r>
              <w:t>Profit Margin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+0.0 pp</w:t>
            </w:r>
          </w:p>
        </w:tc>
      </w:tr>
    </w:tbl>
    <w:p/>
    <w:p>
      <w:pPr>
        <w:pStyle w:val="Heading1"/>
      </w:pPr>
      <w:r>
        <w:t>Trend Analysis</w:t>
      </w:r>
    </w:p>
    <w:p>
      <w:r>
        <w:t>Revenue trend over the last months is increasing (+4.1% per month on average); year-over-year change for the latest month is +37.8%.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Projected revenue</w:t>
            </w:r>
          </w:p>
        </w:tc>
        <w:tc>
          <w:tcPr>
            <w:tcW w:type="dxa" w:w="2880"/>
          </w:tcPr>
          <w:p>
            <w:r>
              <w:t>95% range</w:t>
            </w:r>
          </w:p>
        </w:tc>
      </w:tr>
      <w:tr>
        <w:tc>
          <w:tcPr>
            <w:tcW w:type="dxa" w:w="2880"/>
          </w:tcPr>
          <w:p>
            <w:r>
              <w:t>2026-10</w:t>
            </w:r>
          </w:p>
        </w:tc>
        <w:tc>
          <w:tcPr>
            <w:tcW w:type="dxa" w:w="2880"/>
          </w:tcPr>
          <w:p>
            <w:r>
              <w:t>₹1,20,89,174</w:t>
            </w:r>
          </w:p>
        </w:tc>
        <w:tc>
          <w:tcPr>
            <w:tcW w:type="dxa" w:w="2880"/>
          </w:tcPr>
          <w:p>
            <w:r>
              <w:t>₹1,13,84,904 - ₹1,27,93,445</w:t>
            </w:r>
          </w:p>
        </w:tc>
      </w:tr>
      <w:tr>
        <w:tc>
          <w:tcPr>
            <w:tcW w:type="dxa" w:w="2880"/>
          </w:tcPr>
          <w:p>
            <w:r>
              <w:t>2026-11</w:t>
            </w:r>
          </w:p>
        </w:tc>
        <w:tc>
          <w:tcPr>
            <w:tcW w:type="dxa" w:w="2880"/>
          </w:tcPr>
          <w:p>
            <w:r>
              <w:t>₹1,26,73,937</w:t>
            </w:r>
          </w:p>
        </w:tc>
        <w:tc>
          <w:tcPr>
            <w:tcW w:type="dxa" w:w="2880"/>
          </w:tcPr>
          <w:p>
            <w:r>
              <w:t>₹1,19,69,667 - ₹1,33,78,208</w:t>
            </w:r>
          </w:p>
        </w:tc>
      </w:tr>
      <w:tr>
        <w:tc>
          <w:tcPr>
            <w:tcW w:type="dxa" w:w="2880"/>
          </w:tcPr>
          <w:p>
            <w:r>
              <w:t>2026-12</w:t>
            </w:r>
          </w:p>
        </w:tc>
        <w:tc>
          <w:tcPr>
            <w:tcW w:type="dxa" w:w="2880"/>
          </w:tcPr>
          <w:p>
            <w:r>
              <w:t>₹1,16,26,319</w:t>
            </w:r>
          </w:p>
        </w:tc>
        <w:tc>
          <w:tcPr>
            <w:tcW w:type="dxa" w:w="2880"/>
          </w:tcPr>
          <w:p>
            <w:r>
              <w:t>₹1,09,22,049 - ₹1,23,30,590</w:t>
            </w:r>
          </w:p>
        </w:tc>
      </w:tr>
    </w:tbl>
    <w:p/>
    <w:p>
      <w:r>
        <w:rPr>
          <w:i/>
        </w:rPr>
        <w:t>Method: seasonal trend. Statistical projection with a 95% range, not a guarantee. Backtest error on the last 3 known months: 4.8% (MAPE).</w:t>
      </w:r>
    </w:p>
    <w:p>
      <w:pPr>
        <w:pStyle w:val="Heading1"/>
      </w:pPr>
      <w:r>
        <w:t>Unusual Movements (anomalies)</w:t>
      </w:r>
    </w:p>
    <w:p>
      <w:pPr>
        <w:pStyle w:val="ListBullet"/>
      </w:pPr>
      <w:r>
        <w:t>Corporate (Customer Segment): MoM +73.9% vs typical +4.4% (z=2.9, spike)</w:t>
      </w:r>
    </w:p>
    <w:p>
      <w:pPr>
        <w:pStyle w:val="ListBullet"/>
      </w:pPr>
      <w:r>
        <w:t>2026-09-17: revenue ₹10,26,023 vs typical ₹3,15,526 (spike, robust z=4.5)</w:t>
      </w:r>
    </w:p>
    <w:p>
      <w:pPr>
        <w:pStyle w:val="Heading1"/>
      </w:pPr>
      <w:r>
        <w:t>Growth Drivers</w:t>
      </w:r>
    </w:p>
    <w:p>
      <w:pPr>
        <w:pStyle w:val="ListBullet"/>
      </w:pPr>
      <w:r>
        <w:t>North (Region) is a growth driver: revenue +11.2% (+₹4,81,108).</w:t>
      </w:r>
    </w:p>
    <w:p>
      <w:pPr>
        <w:pStyle w:val="ListBullet"/>
      </w:pPr>
      <w:r>
        <w:t>South (Region) is a growth driver: revenue +6.8% (+₹1,80,098).</w:t>
      </w:r>
    </w:p>
    <w:p>
      <w:pPr>
        <w:pStyle w:val="ListBullet"/>
      </w:pPr>
      <w:r>
        <w:t>Electronics (Product Category) is a growth driver: revenue +5.3% (+₹4,49,814).</w:t>
      </w:r>
    </w:p>
    <w:p>
      <w:pPr>
        <w:pStyle w:val="ListBullet"/>
      </w:pPr>
      <w:r>
        <w:t>Home Appliances (Product Category) is a growth driver: revenue +21.7% (+₹2,12,932).</w:t>
      </w:r>
    </w:p>
    <w:p>
      <w:pPr>
        <w:pStyle w:val="ListBullet"/>
      </w:pPr>
      <w:r>
        <w:t>Mobile (Product) is a growth driver: revenue +11.6% (+₹2,46,811).</w:t>
      </w:r>
    </w:p>
    <w:p>
      <w:r>
        <w:rPr>
          <w:b/>
        </w:rPr>
        <w:t>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₹4,81,108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+6.8%</w:t>
            </w:r>
          </w:p>
        </w:tc>
        <w:tc>
          <w:tcPr>
            <w:tcW w:type="dxa" w:w="2160"/>
          </w:tcPr>
          <w:p>
            <w:r>
              <w:t>₹1,80,098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₹1,28,594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-₹1,33,391</w:t>
            </w:r>
          </w:p>
        </w:tc>
      </w:tr>
    </w:tbl>
    <w:p/>
    <w:p>
      <w:r>
        <w:rPr>
          <w:b/>
        </w:rPr>
        <w:t>By Product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+5.3%</w:t>
            </w:r>
          </w:p>
        </w:tc>
        <w:tc>
          <w:tcPr>
            <w:tcW w:type="dxa" w:w="2160"/>
          </w:tcPr>
          <w:p>
            <w:r>
              <w:t>₹4,49,814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Home Appliances</w:t>
            </w:r>
          </w:p>
        </w:tc>
        <w:tc>
          <w:tcPr>
            <w:tcW w:type="dxa" w:w="2160"/>
          </w:tcPr>
          <w:p>
            <w:r>
              <w:t>+21.7%</w:t>
            </w:r>
          </w:p>
        </w:tc>
        <w:tc>
          <w:tcPr>
            <w:tcW w:type="dxa" w:w="2160"/>
          </w:tcPr>
          <w:p>
            <w:r>
              <w:t>₹2,12,932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-2.6%</w:t>
            </w:r>
          </w:p>
        </w:tc>
        <w:tc>
          <w:tcPr>
            <w:tcW w:type="dxa" w:w="2160"/>
          </w:tcPr>
          <w:p>
            <w:r>
              <w:t>-₹6,336</w:t>
            </w:r>
          </w:p>
        </w:tc>
      </w:tr>
    </w:tbl>
    <w:p/>
    <w:p>
      <w:r>
        <w:rPr>
          <w:b/>
        </w:rPr>
        <w:t>By Sales Channel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Retail Store</w:t>
            </w:r>
          </w:p>
        </w:tc>
        <w:tc>
          <w:tcPr>
            <w:tcW w:type="dxa" w:w="2160"/>
          </w:tcPr>
          <w:p>
            <w:r>
              <w:t>+22.6%</w:t>
            </w:r>
          </w:p>
        </w:tc>
        <w:tc>
          <w:tcPr>
            <w:tcW w:type="dxa" w:w="2160"/>
          </w:tcPr>
          <w:p>
            <w:r>
              <w:t>₹4,27,496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  <w:tc>
          <w:tcPr>
            <w:tcW w:type="dxa" w:w="2160"/>
          </w:tcPr>
          <w:p>
            <w:r>
              <w:t>₹1,94,055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  <w:tc>
          <w:tcPr>
            <w:tcW w:type="dxa" w:w="2160"/>
          </w:tcPr>
          <w:p>
            <w:r>
              <w:t>₹34,859</w:t>
            </w:r>
          </w:p>
        </w:tc>
      </w:tr>
    </w:tbl>
    <w:p/>
    <w:p>
      <w:r>
        <w:rPr>
          <w:b/>
        </w:rPr>
        <w:t>By Payment Method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UPI</w:t>
            </w:r>
          </w:p>
        </w:tc>
        <w:tc>
          <w:tcPr>
            <w:tcW w:type="dxa" w:w="2160"/>
          </w:tcPr>
          <w:p>
            <w:r>
              <w:t>+11.9%</w:t>
            </w:r>
          </w:p>
        </w:tc>
        <w:tc>
          <w:tcPr>
            <w:tcW w:type="dxa" w:w="2160"/>
          </w:tcPr>
          <w:p>
            <w:r>
              <w:t>₹6,37,287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Debit Card</w:t>
            </w:r>
          </w:p>
        </w:tc>
        <w:tc>
          <w:tcPr>
            <w:tcW w:type="dxa" w:w="2160"/>
          </w:tcPr>
          <w:p>
            <w:r>
              <w:t>+42.6%</w:t>
            </w:r>
          </w:p>
        </w:tc>
        <w:tc>
          <w:tcPr>
            <w:tcW w:type="dxa" w:w="2160"/>
          </w:tcPr>
          <w:p>
            <w:r>
              <w:t>₹1,84,486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Credit Card</w:t>
            </w:r>
          </w:p>
        </w:tc>
        <w:tc>
          <w:tcPr>
            <w:tcW w:type="dxa" w:w="2160"/>
          </w:tcPr>
          <w:p>
            <w:r>
              <w:t>-3.4%</w:t>
            </w:r>
          </w:p>
        </w:tc>
        <w:tc>
          <w:tcPr>
            <w:tcW w:type="dxa" w:w="2160"/>
          </w:tcPr>
          <w:p>
            <w:r>
              <w:t>-₹74,883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-₹53,254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Net Banking</w:t>
            </w:r>
          </w:p>
        </w:tc>
        <w:tc>
          <w:tcPr>
            <w:tcW w:type="dxa" w:w="2160"/>
          </w:tcPr>
          <w:p>
            <w:r>
              <w:t>-3.8%</w:t>
            </w:r>
          </w:p>
        </w:tc>
        <w:tc>
          <w:tcPr>
            <w:tcW w:type="dxa" w:w="2160"/>
          </w:tcPr>
          <w:p>
            <w:r>
              <w:t>-₹37,225</w:t>
            </w:r>
          </w:p>
        </w:tc>
      </w:tr>
    </w:tbl>
    <w:p/>
    <w:p>
      <w:r>
        <w:rPr>
          <w:b/>
        </w:rPr>
        <w:t>By Customer Segment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+74.0%</w:t>
            </w:r>
          </w:p>
        </w:tc>
        <w:tc>
          <w:tcPr>
            <w:tcW w:type="dxa" w:w="2160"/>
          </w:tcPr>
          <w:p>
            <w:r>
              <w:t>₹11,79,658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Consumer</w:t>
            </w:r>
          </w:p>
        </w:tc>
        <w:tc>
          <w:tcPr>
            <w:tcW w:type="dxa" w:w="2160"/>
          </w:tcPr>
          <w:p>
            <w:r>
              <w:t>+0.5%</w:t>
            </w:r>
          </w:p>
        </w:tc>
        <w:tc>
          <w:tcPr>
            <w:tcW w:type="dxa" w:w="2160"/>
          </w:tcPr>
          <w:p>
            <w:r>
              <w:t>₹31,079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Small Business</w:t>
            </w:r>
          </w:p>
        </w:tc>
        <w:tc>
          <w:tcPr>
            <w:tcW w:type="dxa" w:w="2160"/>
          </w:tcPr>
          <w:p>
            <w:r>
              <w:t>-23.2%</w:t>
            </w:r>
          </w:p>
        </w:tc>
        <w:tc>
          <w:tcPr>
            <w:tcW w:type="dxa" w:w="2160"/>
          </w:tcPr>
          <w:p>
            <w:r>
              <w:t>-₹5,13,188</w:t>
            </w:r>
          </w:p>
        </w:tc>
      </w:tr>
    </w:tbl>
    <w:p/>
    <w:p>
      <w:r>
        <w:rPr>
          <w:b/>
        </w:rPr>
        <w:t>By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Revenue change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+11.6%</w:t>
            </w:r>
          </w:p>
        </w:tc>
        <w:tc>
          <w:tcPr>
            <w:tcW w:type="dxa" w:w="2160"/>
          </w:tcPr>
          <w:p>
            <w:r>
              <w:t>₹2,46,811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+4.3%</w:t>
            </w:r>
          </w:p>
        </w:tc>
        <w:tc>
          <w:tcPr>
            <w:tcW w:type="dxa" w:w="2160"/>
          </w:tcPr>
          <w:p>
            <w:r>
              <w:t>₹2,29,137</w:t>
            </w:r>
          </w:p>
        </w:tc>
      </w:tr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Microwave</w:t>
            </w:r>
          </w:p>
        </w:tc>
        <w:tc>
          <w:tcPr>
            <w:tcW w:type="dxa" w:w="2160"/>
          </w:tcPr>
          <w:p>
            <w:r>
              <w:t>+28.6%</w:t>
            </w:r>
          </w:p>
        </w:tc>
        <w:tc>
          <w:tcPr>
            <w:tcW w:type="dxa" w:w="2160"/>
          </w:tcPr>
          <w:p>
            <w:r>
              <w:t>₹1,06,862</w:t>
            </w:r>
          </w:p>
        </w:tc>
      </w:tr>
      <w:tr>
        <w:tc>
          <w:tcPr>
            <w:tcW w:type="dxa" w:w="2160"/>
          </w:tcPr>
          <w:p>
            <w:r>
              <w:t>Decliner</w:t>
            </w:r>
          </w:p>
        </w:tc>
        <w:tc>
          <w:tcPr>
            <w:tcW w:type="dxa" w:w="2160"/>
          </w:tcPr>
          <w:p>
            <w:r>
              <w:t>Tablet</w:t>
            </w:r>
          </w:p>
        </w:tc>
        <w:tc>
          <w:tcPr>
            <w:tcW w:type="dxa" w:w="2160"/>
          </w:tcPr>
          <w:p>
            <w:r>
              <w:t>-4.7%</w:t>
            </w:r>
          </w:p>
        </w:tc>
        <w:tc>
          <w:tcPr>
            <w:tcW w:type="dxa" w:w="2160"/>
          </w:tcPr>
          <w:p>
            <w:r>
              <w:t>-₹34,839</w:t>
            </w:r>
          </w:p>
        </w:tc>
      </w:tr>
    </w:tbl>
    <w:p/>
    <w:p>
      <w:pPr>
        <w:pStyle w:val="Heading1"/>
      </w:pPr>
      <w:r>
        <w:t>Negative Contributors</w:t>
      </w:r>
    </w:p>
    <w:p>
      <w:pPr>
        <w:pStyle w:val="ListBullet"/>
      </w:pPr>
      <w:r>
        <w:t>West (Region) declined 9.8% (-₹1,33,391 change) and is flagged for investigation.</w:t>
      </w:r>
    </w:p>
    <w:p>
      <w:pPr>
        <w:pStyle w:val="ListBullet"/>
      </w:pPr>
      <w:r>
        <w:t>Tablet (Product) declined 4.7% (-₹34,839 change) and is flagged for investigation.</w:t>
      </w:r>
    </w:p>
    <w:p>
      <w:pPr>
        <w:pStyle w:val="ListBullet"/>
      </w:pPr>
      <w:r>
        <w:t>Small Business (Customer Segment) declined 23.2% (-₹5,13,188 change) and is flagged for investigation.</w:t>
      </w:r>
    </w:p>
    <w:p>
      <w:pPr>
        <w:pStyle w:val="ListBullet"/>
      </w:pPr>
      <w:r>
        <w:t>Credit Card (Payment Method) declined 3.4% (-₹74,883 change) and is flagged for investigation.</w:t>
      </w:r>
    </w:p>
    <w:p>
      <w:pPr>
        <w:pStyle w:val="ListBullet"/>
      </w:pPr>
      <w:r>
        <w:t>Cash (Payment Method) declined 6.7% (-₹53,254 change) and is flagged for investigation.</w:t>
      </w:r>
    </w:p>
    <w:p>
      <w:pPr>
        <w:pStyle w:val="ListBullet"/>
      </w:pPr>
      <w:r>
        <w:t>Net Banking (Payment Method) declined 3.8% (-₹37,225 change) and is flagged for investigation.</w:t>
      </w:r>
    </w:p>
    <w:p>
      <w:pPr>
        <w:pStyle w:val="Heading1"/>
      </w:pPr>
      <w:r>
        <w:t>Risks / Areas to Investigate</w:t>
      </w:r>
    </w:p>
    <w:p>
      <w:pPr>
        <w:pStyle w:val="ListBullet"/>
      </w:pPr>
      <w:r>
        <w:t>Growth is concentrated: North accounts for 73% of the net revenue change across Region.</w:t>
      </w:r>
    </w:p>
    <w:p>
      <w:pPr>
        <w:pStyle w:val="ListBullet"/>
      </w:pPr>
      <w:r>
        <w:t>Growth is concentrated: Electronics accounts for 69% of the net revenue change across Product Category.</w:t>
      </w:r>
    </w:p>
    <w:p>
      <w:pPr>
        <w:pStyle w:val="ListBullet"/>
      </w:pPr>
      <w:r>
        <w:t>Corporate (Customer Segment) moved +73.9% this month versus a typical monthly change of +4.4%: statistically unusual (z-score 2.9).</w:t>
      </w:r>
    </w:p>
    <w:p>
      <w:pPr>
        <w:pStyle w:val="Heading1"/>
      </w:pPr>
      <w:r>
        <w:t>Recommended Actions</w:t>
      </w:r>
    </w:p>
    <w:p>
      <w:r>
        <w:rPr>
          <w:i/>
        </w:rPr>
        <w:t>These are suggestions for the business to consider, not observed facts.</w:t>
      </w:r>
    </w:p>
    <w:p>
      <w:pPr>
        <w:pStyle w:val="ListBullet"/>
      </w:pPr>
      <w:r>
        <w:t>Investigate the decline in West (Region): review pricing, stock availability and promotions.</w:t>
      </w:r>
    </w:p>
    <w:p>
      <w:pPr>
        <w:pStyle w:val="ListBullet"/>
      </w:pPr>
      <w:r>
        <w:t>Investigate the decline in Tablet (Product): review pricing, stock availability and promotions.</w:t>
      </w:r>
    </w:p>
    <w:p>
      <w:pPr>
        <w:pStyle w:val="ListBullet"/>
      </w:pPr>
      <w:r>
        <w:t>Investigate the decline in Small Business (Customer Segment): review pricing, stock availability and promotions.</w:t>
      </w:r>
    </w:p>
    <w:p>
      <w:pPr>
        <w:pStyle w:val="ListBullet"/>
      </w:pPr>
      <w:r>
        <w:t>Investigate the decline in Credit Card (Payment Method): review pricing, stock availability and promotions.</w:t>
      </w:r>
    </w:p>
    <w:p>
      <w:pPr>
        <w:pStyle w:val="ListBullet"/>
      </w:pPr>
      <w:r>
        <w:t>Investigate the decline in Cash (Payment Method): review pricing, stock availability and promotions.</w:t>
      </w:r>
    </w:p>
    <w:p>
      <w:pPr>
        <w:pStyle w:val="ListBullet"/>
      </w:pPr>
      <w:r>
        <w:t>Investigate the decline in Net Banking (Payment Method): review pricing, stock availability and promotions.</w:t>
      </w:r>
    </w:p>
    <w:p>
      <w:pPr>
        <w:pStyle w:val="Heading1"/>
      </w:pPr>
      <w:r>
        <w:t>Appendix: Data Quality</w:t>
      </w:r>
    </w:p>
    <w:p>
      <w:r>
        <w:t>Rows received: 12,149. Rows used after cleaning: 11,785.</w:t>
      </w:r>
    </w:p>
    <w:p>
      <w:pPr>
        <w:pStyle w:val="ListBullet"/>
      </w:pPr>
      <w:r>
        <w:t>invalid dates removed: 47</w:t>
      </w:r>
    </w:p>
    <w:p>
      <w:pPr>
        <w:pStyle w:val="ListBullet"/>
      </w:pPr>
      <w:r>
        <w:t>text values standardized: 975</w:t>
      </w:r>
    </w:p>
    <w:p>
      <w:pPr>
        <w:pStyle w:val="ListBullet"/>
      </w:pPr>
      <w:r>
        <w:t>rows missing critical fields: 105</w:t>
      </w:r>
    </w:p>
    <w:p>
      <w:pPr>
        <w:pStyle w:val="ListBullet"/>
      </w:pPr>
      <w:r>
        <w:t>exact duplicates removed: 179</w:t>
      </w:r>
    </w:p>
    <w:p>
      <w:pPr>
        <w:pStyle w:val="ListBullet"/>
      </w:pPr>
      <w:r>
        <w:t>region repaired from state: 117</w:t>
      </w:r>
    </w:p>
    <w:p>
      <w:pPr>
        <w:pStyle w:val="ListBullet"/>
      </w:pPr>
      <w:r>
        <w:t>category repaired from product: 95</w:t>
      </w:r>
    </w:p>
    <w:p>
      <w:pPr>
        <w:pStyle w:val="ListBullet"/>
      </w:pPr>
      <w:r>
        <w:t>discount missing filled: 119</w:t>
      </w:r>
    </w:p>
    <w:p>
      <w:pPr>
        <w:pStyle w:val="ListBullet"/>
      </w:pPr>
      <w:r>
        <w:t>discount percent converted: 35</w:t>
      </w:r>
    </w:p>
    <w:p>
      <w:pPr>
        <w:pStyle w:val="ListBullet"/>
      </w:pPr>
      <w:r>
        <w:t>invalid quantity removed: 35</w:t>
      </w:r>
    </w:p>
    <w:p>
      <w:pPr>
        <w:pStyle w:val="ListBullet"/>
      </w:pPr>
      <w:r>
        <w:t>invalid sales removed: 22</w:t>
      </w:r>
    </w:p>
    <w:p>
      <w:pPr>
        <w:pStyle w:val="ListBullet"/>
      </w:pPr>
      <w:r>
        <w:t>cost imputed: 118</w:t>
      </w:r>
    </w:p>
    <w:p>
      <w:pPr>
        <w:pStyle w:val="ListBullet"/>
      </w:pPr>
      <w:r>
        <w:t>profit recalculated: 252</w:t>
      </w:r>
    </w:p>
    <w:p>
      <w:pPr>
        <w:pStyle w:val="ListBullet"/>
      </w:pPr>
      <w:r>
        <w:t>outliers flagged: 28</w:t>
      </w:r>
    </w:p>
    <w:p>
      <w:pPr>
        <w:pStyle w:val="ListBullet"/>
      </w:pPr>
      <w:r>
        <w:t>extreme outliers removed: 23</w:t>
      </w:r>
    </w:p>
    <w:p>
      <w:r>
        <w:rPr>
          <w:i/>
        </w:rPr>
        <w:t>Method: all figures are computed in Python from the cleaned dataset; the AI only phrases verified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