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190A" w14:textId="77777777" w:rsidR="002060EA" w:rsidRDefault="002060EA" w:rsidP="002060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  <w:r w:rsidRPr="002060E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PROJECT DATA STORY NARRATIVE</w:t>
      </w:r>
    </w:p>
    <w:p w14:paraId="7ADCE058" w14:textId="6A085490" w:rsidR="002060EA" w:rsidRPr="002060EA" w:rsidRDefault="002060EA" w:rsidP="002060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 xml:space="preserve"> 1. The Business Objective (Situation &amp; Complication)</w:t>
      </w:r>
    </w:p>
    <w:p w14:paraId="06978409" w14:textId="77777777" w:rsidR="002060EA" w:rsidRPr="002060EA" w:rsidRDefault="002060EA" w:rsidP="002060EA">
      <w:p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>The Situation:</w:t>
      </w:r>
      <w:r w:rsidRPr="002060EA">
        <w:rPr>
          <w:rFonts w:ascii="Times New Roman" w:hAnsi="Times New Roman" w:cs="Times New Roman"/>
          <w:sz w:val="28"/>
          <w:szCs w:val="28"/>
        </w:rPr>
        <w:t xml:space="preserve"> Apex Planet processes thousands of transactional records daily. To ensure data reliability, scalability, and corporate readiness, we successfully built a structured data infrastructure. This involved migrating raw, unstructured data tables into a centralized MySQL database and establishing an end-to-end data pipeline connected directly to a Python analysis environment. Every data point was strictly cleaned, missing values were treated via Pandas, and comprehensive data dictionaries were engineered to ensure an absolute single source of truth.</w:t>
      </w:r>
    </w:p>
    <w:p w14:paraId="7DB10EAE" w14:textId="4348711E" w:rsidR="002060EA" w:rsidRPr="002060EA" w:rsidRDefault="002060EA" w:rsidP="002060EA">
      <w:p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>The Complication:</w:t>
      </w:r>
      <w:r w:rsidRPr="002060EA">
        <w:rPr>
          <w:rFonts w:ascii="Times New Roman" w:hAnsi="Times New Roman" w:cs="Times New Roman"/>
          <w:sz w:val="28"/>
          <w:szCs w:val="28"/>
        </w:rPr>
        <w:t xml:space="preserve"> Despite having a robust data storage pipeline, executive leadership lacked granular, actionable visibility into customer </w:t>
      </w:r>
      <w:proofErr w:type="spellStart"/>
      <w:r w:rsidRPr="002060E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060EA">
        <w:rPr>
          <w:rFonts w:ascii="Times New Roman" w:hAnsi="Times New Roman" w:cs="Times New Roman"/>
          <w:sz w:val="28"/>
          <w:szCs w:val="28"/>
        </w:rPr>
        <w:t>. Marketing budgets and promotional strategies were being applied uniformly across the entire customer base. Treating every customer the same way resulted in heavily unoptimized marketing spending, high customer acquisition costs ($CAC$), and an inability to proactively identify and save churning users before they abandoned the platform.</w:t>
      </w:r>
    </w:p>
    <w:p w14:paraId="0C8D1902" w14:textId="719C520B" w:rsidR="002060EA" w:rsidRPr="002060EA" w:rsidRDefault="002060EA" w:rsidP="002060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>2. The Analytical Journey (Data Discovery)</w:t>
      </w:r>
    </w:p>
    <w:p w14:paraId="1C051581" w14:textId="77777777" w:rsidR="002060EA" w:rsidRPr="002060EA" w:rsidRDefault="002060EA" w:rsidP="002060EA">
      <w:p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sz w:val="28"/>
          <w:szCs w:val="28"/>
        </w:rPr>
        <w:t>To bridge this critical visibility gap, the analysis was executed in two major phases:</w:t>
      </w:r>
    </w:p>
    <w:p w14:paraId="0A16BD0C" w14:textId="77777777" w:rsidR="002060EA" w:rsidRPr="002060EA" w:rsidRDefault="002060EA" w:rsidP="002060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>Operational KPI Tracking:</w:t>
      </w:r>
      <w:r w:rsidRPr="002060EA">
        <w:rPr>
          <w:rFonts w:ascii="Times New Roman" w:hAnsi="Times New Roman" w:cs="Times New Roman"/>
          <w:sz w:val="28"/>
          <w:szCs w:val="28"/>
        </w:rPr>
        <w:t xml:space="preserve"> First, an interactive executive dashboard was engineered inside Power BI Desktop using optimized data </w:t>
      </w:r>
      <w:proofErr w:type="spellStart"/>
      <w:r w:rsidRPr="002060EA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2060EA">
        <w:rPr>
          <w:rFonts w:ascii="Times New Roman" w:hAnsi="Times New Roman" w:cs="Times New Roman"/>
          <w:sz w:val="28"/>
          <w:szCs w:val="28"/>
        </w:rPr>
        <w:t xml:space="preserve"> and complex DAX expressions. This gave leadership a real-time view of high-level health metrics, explicitly tracking shifts in aggregate profit margins, fluctuations in revenue, and logistical bottlenecks like shipping lead times.</w:t>
      </w:r>
    </w:p>
    <w:p w14:paraId="255F3E44" w14:textId="77777777" w:rsidR="002060EA" w:rsidRPr="002060EA" w:rsidRDefault="002060EA" w:rsidP="002060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060EA">
        <w:rPr>
          <w:rFonts w:ascii="Times New Roman" w:hAnsi="Times New Roman" w:cs="Times New Roman"/>
          <w:b/>
          <w:bCs/>
          <w:sz w:val="28"/>
          <w:szCs w:val="28"/>
        </w:rPr>
        <w:t>Behavioral</w:t>
      </w:r>
      <w:proofErr w:type="spellEnd"/>
      <w:r w:rsidRPr="002060EA">
        <w:rPr>
          <w:rFonts w:ascii="Times New Roman" w:hAnsi="Times New Roman" w:cs="Times New Roman"/>
          <w:b/>
          <w:bCs/>
          <w:sz w:val="28"/>
          <w:szCs w:val="28"/>
        </w:rPr>
        <w:t xml:space="preserve"> Customer Segmentation:</w:t>
      </w:r>
      <w:r w:rsidRPr="002060EA">
        <w:rPr>
          <w:rFonts w:ascii="Times New Roman" w:hAnsi="Times New Roman" w:cs="Times New Roman"/>
          <w:sz w:val="28"/>
          <w:szCs w:val="28"/>
        </w:rPr>
        <w:t xml:space="preserve"> Second, to look beneath the surface of aggregate data, we executed an advanced </w:t>
      </w:r>
      <w:r w:rsidRPr="002060EA">
        <w:rPr>
          <w:rFonts w:ascii="Times New Roman" w:hAnsi="Times New Roman" w:cs="Times New Roman"/>
          <w:b/>
          <w:bCs/>
          <w:sz w:val="28"/>
          <w:szCs w:val="28"/>
        </w:rPr>
        <w:t>RFM (Recency, Frequency, Monetary) Segmentation Model</w:t>
      </w:r>
      <w:r w:rsidRPr="002060EA">
        <w:rPr>
          <w:rFonts w:ascii="Times New Roman" w:hAnsi="Times New Roman" w:cs="Times New Roman"/>
          <w:sz w:val="28"/>
          <w:szCs w:val="28"/>
        </w:rPr>
        <w:t xml:space="preserve"> in Python. Instead of </w:t>
      </w:r>
      <w:proofErr w:type="spellStart"/>
      <w:r w:rsidRPr="002060EA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2060EA">
        <w:rPr>
          <w:rFonts w:ascii="Times New Roman" w:hAnsi="Times New Roman" w:cs="Times New Roman"/>
          <w:sz w:val="28"/>
          <w:szCs w:val="28"/>
        </w:rPr>
        <w:t xml:space="preserve"> users as a single monolith, every customer was scored mathematically based on how recently they bought a product, how often they purchase, and how much total revenue they contribute. This algorithmic approach clustered the customer base into clearly defined </w:t>
      </w:r>
      <w:proofErr w:type="spellStart"/>
      <w:r w:rsidRPr="002060EA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2060EA">
        <w:rPr>
          <w:rFonts w:ascii="Times New Roman" w:hAnsi="Times New Roman" w:cs="Times New Roman"/>
          <w:sz w:val="28"/>
          <w:szCs w:val="28"/>
        </w:rPr>
        <w:t xml:space="preserve"> tiers, including </w:t>
      </w:r>
      <w:r w:rsidRPr="002060EA">
        <w:rPr>
          <w:rFonts w:ascii="Times New Roman" w:hAnsi="Times New Roman" w:cs="Times New Roman"/>
          <w:i/>
          <w:iCs/>
          <w:sz w:val="28"/>
          <w:szCs w:val="28"/>
        </w:rPr>
        <w:t>Champions</w:t>
      </w:r>
      <w:r w:rsidRPr="002060EA">
        <w:rPr>
          <w:rFonts w:ascii="Times New Roman" w:hAnsi="Times New Roman" w:cs="Times New Roman"/>
          <w:sz w:val="28"/>
          <w:szCs w:val="28"/>
        </w:rPr>
        <w:t xml:space="preserve">, </w:t>
      </w:r>
      <w:r w:rsidRPr="002060EA">
        <w:rPr>
          <w:rFonts w:ascii="Times New Roman" w:hAnsi="Times New Roman" w:cs="Times New Roman"/>
          <w:i/>
          <w:iCs/>
          <w:sz w:val="28"/>
          <w:szCs w:val="28"/>
        </w:rPr>
        <w:t>Loyal Customers</w:t>
      </w:r>
      <w:r w:rsidRPr="002060EA">
        <w:rPr>
          <w:rFonts w:ascii="Times New Roman" w:hAnsi="Times New Roman" w:cs="Times New Roman"/>
          <w:sz w:val="28"/>
          <w:szCs w:val="28"/>
        </w:rPr>
        <w:t xml:space="preserve">, </w:t>
      </w:r>
      <w:r w:rsidRPr="002060EA">
        <w:rPr>
          <w:rFonts w:ascii="Times New Roman" w:hAnsi="Times New Roman" w:cs="Times New Roman"/>
          <w:i/>
          <w:iCs/>
          <w:sz w:val="28"/>
          <w:szCs w:val="28"/>
        </w:rPr>
        <w:t>At-Risk</w:t>
      </w:r>
      <w:r w:rsidRPr="002060EA">
        <w:rPr>
          <w:rFonts w:ascii="Times New Roman" w:hAnsi="Times New Roman" w:cs="Times New Roman"/>
          <w:sz w:val="28"/>
          <w:szCs w:val="28"/>
        </w:rPr>
        <w:t xml:space="preserve">, and </w:t>
      </w:r>
      <w:r w:rsidRPr="002060EA">
        <w:rPr>
          <w:rFonts w:ascii="Times New Roman" w:hAnsi="Times New Roman" w:cs="Times New Roman"/>
          <w:i/>
          <w:iCs/>
          <w:sz w:val="28"/>
          <w:szCs w:val="28"/>
        </w:rPr>
        <w:t>Hibernating Users</w:t>
      </w:r>
      <w:r w:rsidRPr="002060EA">
        <w:rPr>
          <w:rFonts w:ascii="Times New Roman" w:hAnsi="Times New Roman" w:cs="Times New Roman"/>
          <w:sz w:val="28"/>
          <w:szCs w:val="28"/>
        </w:rPr>
        <w:t>.</w:t>
      </w:r>
    </w:p>
    <w:p w14:paraId="51E4866D" w14:textId="3D57E252" w:rsidR="002060EA" w:rsidRPr="002060EA" w:rsidRDefault="002060EA" w:rsidP="002060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>3. Core Business Conclusions</w:t>
      </w:r>
    </w:p>
    <w:p w14:paraId="4705E7A0" w14:textId="77777777" w:rsidR="002060EA" w:rsidRPr="002060EA" w:rsidRDefault="002060EA" w:rsidP="002060EA">
      <w:p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sz w:val="28"/>
          <w:szCs w:val="28"/>
        </w:rPr>
        <w:lastRenderedPageBreak/>
        <w:t>The deep-dive analytics uncovered a stark, highly disproportionate revenue distribution that completely shifts our business perspective:</w:t>
      </w:r>
    </w:p>
    <w:p w14:paraId="4893D1C5" w14:textId="77777777" w:rsidR="002060EA" w:rsidRPr="002060EA" w:rsidRDefault="002060EA" w:rsidP="002060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>The Power law of Revenue:</w:t>
      </w:r>
      <w:r w:rsidRPr="002060EA">
        <w:rPr>
          <w:rFonts w:ascii="Times New Roman" w:hAnsi="Times New Roman" w:cs="Times New Roman"/>
          <w:sz w:val="28"/>
          <w:szCs w:val="28"/>
        </w:rPr>
        <w:t xml:space="preserve"> The RFM model revealed that our </w:t>
      </w:r>
      <w:r w:rsidRPr="002060EA">
        <w:rPr>
          <w:rFonts w:ascii="Times New Roman" w:hAnsi="Times New Roman" w:cs="Times New Roman"/>
          <w:b/>
          <w:bCs/>
          <w:sz w:val="28"/>
          <w:szCs w:val="28"/>
        </w:rPr>
        <w:t>"Champions" segment</w:t>
      </w:r>
      <w:r w:rsidRPr="002060EA">
        <w:rPr>
          <w:rFonts w:ascii="Times New Roman" w:hAnsi="Times New Roman" w:cs="Times New Roman"/>
          <w:sz w:val="28"/>
          <w:szCs w:val="28"/>
        </w:rPr>
        <w:t xml:space="preserve"> represents only a small minority (approximately </w:t>
      </w:r>
      <w:r w:rsidRPr="002060EA">
        <w:rPr>
          <w:rFonts w:ascii="Times New Roman" w:hAnsi="Times New Roman" w:cs="Times New Roman"/>
          <w:b/>
          <w:bCs/>
          <w:sz w:val="28"/>
          <w:szCs w:val="28"/>
        </w:rPr>
        <w:t>10-15%</w:t>
      </w:r>
      <w:r w:rsidRPr="002060EA">
        <w:rPr>
          <w:rFonts w:ascii="Times New Roman" w:hAnsi="Times New Roman" w:cs="Times New Roman"/>
          <w:sz w:val="28"/>
          <w:szCs w:val="28"/>
        </w:rPr>
        <w:t xml:space="preserve">) of the total customer base, yet they actively generate over </w:t>
      </w:r>
      <w:r w:rsidRPr="002060EA">
        <w:rPr>
          <w:rFonts w:ascii="Times New Roman" w:hAnsi="Times New Roman" w:cs="Times New Roman"/>
          <w:b/>
          <w:bCs/>
          <w:sz w:val="28"/>
          <w:szCs w:val="28"/>
        </w:rPr>
        <w:t>40-45%</w:t>
      </w:r>
      <w:r w:rsidRPr="002060EA">
        <w:rPr>
          <w:rFonts w:ascii="Times New Roman" w:hAnsi="Times New Roman" w:cs="Times New Roman"/>
          <w:sz w:val="28"/>
          <w:szCs w:val="28"/>
        </w:rPr>
        <w:t xml:space="preserve"> of the company's total revenue.</w:t>
      </w:r>
    </w:p>
    <w:p w14:paraId="69E35AF0" w14:textId="77777777" w:rsidR="002060EA" w:rsidRPr="002060EA" w:rsidRDefault="002060EA" w:rsidP="002060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>The Retention Leak:</w:t>
      </w:r>
      <w:r w:rsidRPr="002060EA">
        <w:rPr>
          <w:rFonts w:ascii="Times New Roman" w:hAnsi="Times New Roman" w:cs="Times New Roman"/>
          <w:sz w:val="28"/>
          <w:szCs w:val="28"/>
        </w:rPr>
        <w:t xml:space="preserve"> A massive cluster of previously profitable users has shifted into the </w:t>
      </w:r>
      <w:r w:rsidRPr="002060EA">
        <w:rPr>
          <w:rFonts w:ascii="Times New Roman" w:hAnsi="Times New Roman" w:cs="Times New Roman"/>
          <w:b/>
          <w:bCs/>
          <w:sz w:val="28"/>
          <w:szCs w:val="28"/>
        </w:rPr>
        <w:t>"At-Risk" and "Hibernating" categories</w:t>
      </w:r>
      <w:r w:rsidRPr="002060EA">
        <w:rPr>
          <w:rFonts w:ascii="Times New Roman" w:hAnsi="Times New Roman" w:cs="Times New Roman"/>
          <w:sz w:val="28"/>
          <w:szCs w:val="28"/>
        </w:rPr>
        <w:t>, showing a steep drop-off in transaction recency. This indicates a critical breakdown in post-purchase customer engagement.</w:t>
      </w:r>
    </w:p>
    <w:p w14:paraId="5224AA5D" w14:textId="77777777" w:rsidR="002060EA" w:rsidRPr="002060EA" w:rsidRDefault="002060EA" w:rsidP="002060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>Operational Impact:</w:t>
      </w:r>
      <w:r w:rsidRPr="002060EA">
        <w:rPr>
          <w:rFonts w:ascii="Times New Roman" w:hAnsi="Times New Roman" w:cs="Times New Roman"/>
          <w:sz w:val="28"/>
          <w:szCs w:val="28"/>
        </w:rPr>
        <w:t xml:space="preserve"> Cross-referencing our Power BI operational KPIs revealed that regions suffering from extended shipping lead times correlated directly with higher concentrations of "At-Risk" customer clusters, proving that logistical delays damage long-term customer loyalty.</w:t>
      </w:r>
    </w:p>
    <w:p w14:paraId="63A89151" w14:textId="538AD1D8" w:rsidR="002060EA" w:rsidRPr="002060EA" w:rsidRDefault="002060EA" w:rsidP="002060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 xml:space="preserve"> 4. Strategic Call to Action (Data-Driven Recommendations)</w:t>
      </w:r>
    </w:p>
    <w:p w14:paraId="54DBC0F8" w14:textId="77777777" w:rsidR="002060EA" w:rsidRPr="002060EA" w:rsidRDefault="002060EA" w:rsidP="002060EA">
      <w:p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sz w:val="28"/>
          <w:szCs w:val="28"/>
        </w:rPr>
        <w:t>To maximize profitability and stop customer churn, Apex Planet must immediately pivot from mass marketing to highly targeted, segment-specific operational strategies:</w:t>
      </w:r>
    </w:p>
    <w:p w14:paraId="0D86BD31" w14:textId="77777777" w:rsidR="002060EA" w:rsidRPr="002060EA" w:rsidRDefault="002060EA" w:rsidP="002060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>Launch a VIP Retention Program for Champions:</w:t>
      </w:r>
      <w:r w:rsidRPr="002060EA">
        <w:rPr>
          <w:rFonts w:ascii="Times New Roman" w:hAnsi="Times New Roman" w:cs="Times New Roman"/>
          <w:sz w:val="28"/>
          <w:szCs w:val="28"/>
        </w:rPr>
        <w:t xml:space="preserve"> Allocate 15% of the reallocated marketing budget to create an exclusive, tier-based loyalty program. Offer early access to new product rollouts and zero-cost premium shipping to maximize their Lifetime Value ($LTV$) and defend them from competitors.</w:t>
      </w:r>
    </w:p>
    <w:p w14:paraId="0514C524" w14:textId="77777777" w:rsidR="002060EA" w:rsidRPr="002060EA" w:rsidRDefault="002060EA" w:rsidP="002060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>Automate an At-Risk "Win-Back" Campaign:</w:t>
      </w:r>
      <w:r w:rsidRPr="002060EA">
        <w:rPr>
          <w:rFonts w:ascii="Times New Roman" w:hAnsi="Times New Roman" w:cs="Times New Roman"/>
          <w:sz w:val="28"/>
          <w:szCs w:val="28"/>
        </w:rPr>
        <w:t xml:space="preserve"> Implement a trigger-based marketing sequence. The moment a customer’s transactional recency crosses into the "At-Risk" threshold, an automated email workflow must deploy a personalized, high-incentive discount code (e.g., 15% off their next order) to proactively prevent churn.</w:t>
      </w:r>
    </w:p>
    <w:p w14:paraId="08DB9C5F" w14:textId="77777777" w:rsidR="002060EA" w:rsidRPr="002060EA" w:rsidRDefault="002060EA" w:rsidP="002060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060EA">
        <w:rPr>
          <w:rFonts w:ascii="Times New Roman" w:hAnsi="Times New Roman" w:cs="Times New Roman"/>
          <w:b/>
          <w:bCs/>
          <w:sz w:val="28"/>
          <w:szCs w:val="28"/>
        </w:rPr>
        <w:t>Optimize Logistics via KPI Alignment:</w:t>
      </w:r>
      <w:r w:rsidRPr="002060EA">
        <w:rPr>
          <w:rFonts w:ascii="Times New Roman" w:hAnsi="Times New Roman" w:cs="Times New Roman"/>
          <w:sz w:val="28"/>
          <w:szCs w:val="28"/>
        </w:rPr>
        <w:t xml:space="preserve"> Address the shipping bottlenecks highlighted in the Power BI dashboard by renegotiating regional third-party logistics ($3PL$) contracts in high-churn territories to bring shipping lead times back under the critical baseline threshold.</w:t>
      </w:r>
    </w:p>
    <w:p w14:paraId="66D9830F" w14:textId="77777777" w:rsidR="001F177E" w:rsidRPr="002060EA" w:rsidRDefault="001F177E">
      <w:pPr>
        <w:rPr>
          <w:rFonts w:ascii="Times New Roman" w:hAnsi="Times New Roman" w:cs="Times New Roman"/>
          <w:sz w:val="28"/>
          <w:szCs w:val="28"/>
        </w:rPr>
      </w:pPr>
    </w:p>
    <w:sectPr w:rsidR="001F177E" w:rsidRPr="00206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5003C"/>
    <w:multiLevelType w:val="multilevel"/>
    <w:tmpl w:val="5DEC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05094"/>
    <w:multiLevelType w:val="multilevel"/>
    <w:tmpl w:val="0BE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E7C38"/>
    <w:multiLevelType w:val="multilevel"/>
    <w:tmpl w:val="8692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5509">
    <w:abstractNumId w:val="1"/>
  </w:num>
  <w:num w:numId="2" w16cid:durableId="1157650302">
    <w:abstractNumId w:val="0"/>
  </w:num>
  <w:num w:numId="3" w16cid:durableId="548498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EA"/>
    <w:rsid w:val="00036DA7"/>
    <w:rsid w:val="00051D4A"/>
    <w:rsid w:val="00114B35"/>
    <w:rsid w:val="00196554"/>
    <w:rsid w:val="001F177E"/>
    <w:rsid w:val="002060EA"/>
    <w:rsid w:val="0061166D"/>
    <w:rsid w:val="00A41282"/>
    <w:rsid w:val="00A9317B"/>
    <w:rsid w:val="00B12C9D"/>
    <w:rsid w:val="00C9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45F7"/>
  <w15:chartTrackingRefBased/>
  <w15:docId w15:val="{CCF92977-9702-4309-AF68-0FE07B48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nithish</dc:creator>
  <cp:keywords/>
  <dc:description/>
  <cp:lastModifiedBy>k nithish</cp:lastModifiedBy>
  <cp:revision>2</cp:revision>
  <dcterms:created xsi:type="dcterms:W3CDTF">2026-06-24T17:29:00Z</dcterms:created>
  <dcterms:modified xsi:type="dcterms:W3CDTF">2026-06-26T02:59:00Z</dcterms:modified>
</cp:coreProperties>
</file>