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4° ODS - Educação de Qualidade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     O crescimento da educação de qualidade tem sido difícil em algumas regiões em desenvolvimento devido a grande pobreza, conflitos armados e outros problemas.</w:t>
      </w:r>
    </w:p>
    <w:p w:rsidR="00000000" w:rsidDel="00000000" w:rsidP="00000000" w:rsidRDefault="00000000" w:rsidRPr="00000000" w14:paraId="00000005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     Na Ásia ocidental e no Norte da África, o conflito armado contínuo tem aumentado o número de crianças fora da escola. Este é um cenário muito preocupante. Enquanto a África subsaariana teve um grande progresso na matrícula do ensino primário em todas as regiões em desenvolvimento (de 52% em 1990, até 78% em 2012) ainda existe grande desequilíbrio.</w:t>
      </w:r>
    </w:p>
    <w:p w:rsidR="00000000" w:rsidDel="00000000" w:rsidP="00000000" w:rsidRDefault="00000000" w:rsidRPr="00000000" w14:paraId="00000006">
      <w:pPr>
        <w:rPr>
          <w:sz w:val="33"/>
          <w:szCs w:val="33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    </w:t>
      </w:r>
      <w:r w:rsidDel="00000000" w:rsidR="00000000" w:rsidRPr="00000000">
        <w:rPr>
          <w:sz w:val="33"/>
          <w:szCs w:val="33"/>
          <w:highlight w:val="white"/>
          <w:rtl w:val="0"/>
        </w:rPr>
        <w:t xml:space="preserve">Crianças dos lares mais pobres têm quatro vezes mais probabilidades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sz w:val="33"/>
          <w:szCs w:val="33"/>
          <w:highlight w:val="white"/>
          <w:rtl w:val="0"/>
        </w:rPr>
        <w:t xml:space="preserve">de estarem fora da escola do que as crianças dos lares mais ricos. A desigualdade entre áreas rurais e urbanas também permanece explícita.</w:t>
      </w:r>
    </w:p>
    <w:p w:rsidR="00000000" w:rsidDel="00000000" w:rsidP="00000000" w:rsidRDefault="00000000" w:rsidRPr="00000000" w14:paraId="00000007">
      <w:pPr>
        <w:rPr>
          <w:sz w:val="32"/>
          <w:szCs w:val="32"/>
          <w:highlight w:val="white"/>
        </w:rPr>
      </w:pPr>
      <w:r w:rsidDel="00000000" w:rsidR="00000000" w:rsidRPr="00000000">
        <w:rPr>
          <w:sz w:val="33"/>
          <w:szCs w:val="33"/>
          <w:highlight w:val="white"/>
          <w:rtl w:val="0"/>
        </w:rPr>
        <w:t xml:space="preserve">    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Esta ODS busca garantir que todas as crianças completem a educação primária e secundária gratuita até 2030. Também pretende proporcionar acesso a formação profissional de custo razoável, para eliminar disparidades de gênero e riqueza, e alcançar o acesso de todos a um ensino superior de qualidade.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