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DEA" w:rsidRDefault="00682DEA" w:rsidP="0033301C">
      <w:pPr>
        <w:ind w:left="-5"/>
      </w:pPr>
    </w:p>
    <w:p w:rsidR="00682DEA" w:rsidRDefault="0033301C">
      <w:pPr>
        <w:ind w:left="-5"/>
      </w:pPr>
      <w:r>
        <w:t>Course: ECA3101</w:t>
      </w:r>
    </w:p>
    <w:p w:rsidR="00682DEA" w:rsidRDefault="006C50BE">
      <w:pPr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3910330</wp:posOffset>
            </wp:positionV>
            <wp:extent cx="7555231" cy="2640330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5231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Nano electronics </w:t>
      </w:r>
    </w:p>
    <w:p w:rsidR="00682DEA" w:rsidRDefault="0033301C">
      <w:pPr>
        <w:ind w:left="-5"/>
      </w:pPr>
      <w:r>
        <w:t>Experiment 6</w:t>
      </w:r>
      <w:bookmarkStart w:id="0" w:name="_GoBack"/>
      <w:bookmarkEnd w:id="0"/>
      <w:r w:rsidR="006C50BE">
        <w:t xml:space="preserve">: Demonstration of Quantum Tunneling </w:t>
      </w:r>
    </w:p>
    <w:p w:rsidR="00682DEA" w:rsidRDefault="006C50BE">
      <w:pPr>
        <w:ind w:left="-5"/>
      </w:pPr>
      <w:r>
        <w:t xml:space="preserve">Aim: To demonstrate the concept of </w:t>
      </w:r>
      <w:r>
        <w:rPr>
          <w:b/>
        </w:rPr>
        <w:t>quantum tunneling</w:t>
      </w:r>
      <w:r>
        <w:t xml:space="preserve">, where electrons or other quantum particles pass through a potential energy barrier that cannot be crossed according to classical physics, and to study its applications in modern electronic devices. </w:t>
      </w:r>
      <w:r>
        <w:br w:type="page"/>
      </w:r>
    </w:p>
    <w:tbl>
      <w:tblPr>
        <w:tblStyle w:val="TableGrid"/>
        <w:tblpPr w:vertAnchor="text" w:tblpX="-89"/>
        <w:tblOverlap w:val="never"/>
        <w:tblW w:w="10140" w:type="dxa"/>
        <w:tblInd w:w="0" w:type="dxa"/>
        <w:tblCellMar>
          <w:top w:w="134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682DEA">
        <w:trPr>
          <w:trHeight w:val="3540"/>
        </w:trPr>
        <w:tc>
          <w:tcPr>
            <w:tcW w:w="10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DEA" w:rsidRDefault="006C50B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38" w:lineRule="auto"/>
              <w:ind w:left="0" w:firstLine="0"/>
            </w:pPr>
            <w:r>
              <w:lastRenderedPageBreak/>
              <w:t>Case study 1: Analysis of Transmission Co-efficient vs</w:t>
            </w:r>
            <w:r>
              <w:t xml:space="preserve"> Energy Characteristics on a Refined Grid Aim: To analyze the variation of the transmission coefficient (T) with respect to the incident particle energy (E) using a refined computational grid, and to study the quantum tunneling behavior through a potential</w:t>
            </w:r>
            <w:r>
              <w:t xml:space="preserve"> barrier with improved numerical accuracy. </w:t>
            </w:r>
          </w:p>
          <w:p w:rsidR="00682DEA" w:rsidRDefault="006C50B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Observation:  </w:t>
            </w:r>
          </w:p>
          <w:p w:rsidR="00682DEA" w:rsidRDefault="006C50BE"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hanging="360"/>
            </w:pPr>
            <w:r>
              <w:t xml:space="preserve">At low energies, the transmission coefficient is very small.  </w:t>
            </w:r>
          </w:p>
          <w:p w:rsidR="00682DEA" w:rsidRDefault="006C50BE"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hanging="360"/>
            </w:pPr>
            <w:r>
              <w:t xml:space="preserve">As the particle energy increases, the transmission coefficient gradually increases.  </w:t>
            </w:r>
          </w:p>
          <w:p w:rsidR="00682DEA" w:rsidRDefault="006C50BE">
            <w:pPr>
              <w:numPr>
                <w:ilvl w:val="0"/>
                <w:numId w:val="1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hanging="360"/>
            </w:pPr>
            <w:r>
              <w:t xml:space="preserve">Near and above the barrier energy, the transmission coefficient approaches 1 (100% transmission). </w:t>
            </w:r>
          </w:p>
        </w:tc>
      </w:tr>
    </w:tbl>
    <w:p w:rsidR="00682DEA" w:rsidRDefault="006C50B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-485" w:right="142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3580130</wp:posOffset>
            </wp:positionV>
            <wp:extent cx="7555738" cy="3531870"/>
            <wp:effectExtent l="0" t="0" r="0" b="0"/>
            <wp:wrapTopAndBottom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5738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tbl>
      <w:tblPr>
        <w:tblStyle w:val="TableGrid"/>
        <w:tblpPr w:vertAnchor="text" w:tblpX="-101"/>
        <w:tblOverlap w:val="never"/>
        <w:tblW w:w="10200" w:type="dxa"/>
        <w:tblInd w:w="0" w:type="dxa"/>
        <w:tblCellMar>
          <w:top w:w="134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0"/>
      </w:tblGrid>
      <w:tr w:rsidR="00682DEA">
        <w:trPr>
          <w:trHeight w:val="4596"/>
        </w:trPr>
        <w:tc>
          <w:tcPr>
            <w:tcW w:w="10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DEA" w:rsidRDefault="006C50B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lastRenderedPageBreak/>
              <w:t xml:space="preserve">Case study 2: Analysis of Reflection Co-efficient vs Energy on a Homogeneous Grid </w:t>
            </w:r>
          </w:p>
          <w:p w:rsidR="00682DEA" w:rsidRDefault="006C50B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39" w:lineRule="auto"/>
              <w:ind w:left="0" w:firstLine="0"/>
            </w:pPr>
            <w:r>
              <w:t xml:space="preserve">Aim: To analyze the variation of the </w:t>
            </w:r>
            <w:r>
              <w:rPr>
                <w:b/>
              </w:rPr>
              <w:t>reflection coefficient (R)</w:t>
            </w:r>
            <w:r>
              <w:t xml:space="preserve"> </w:t>
            </w:r>
            <w:r>
              <w:t xml:space="preserve">with respect to the </w:t>
            </w:r>
            <w:r>
              <w:rPr>
                <w:b/>
              </w:rPr>
              <w:t>incident particle energy (E)</w:t>
            </w:r>
            <w:r>
              <w:t xml:space="preserve"> using a </w:t>
            </w:r>
            <w:r>
              <w:rPr>
                <w:b/>
              </w:rPr>
              <w:t>homogeneous (uniform) computational grid</w:t>
            </w:r>
            <w:r>
              <w:t xml:space="preserve">, and to study the reflection characteristics of quantum particles interacting with a potential barrier. </w:t>
            </w:r>
          </w:p>
          <w:p w:rsidR="00682DEA" w:rsidRDefault="006C50B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t xml:space="preserve">Observation:  </w:t>
            </w:r>
          </w:p>
          <w:p w:rsidR="00682DEA" w:rsidRDefault="006C50BE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hanging="360"/>
            </w:pPr>
            <w:r>
              <w:t xml:space="preserve">At </w:t>
            </w:r>
            <w:r>
              <w:rPr>
                <w:b/>
              </w:rPr>
              <w:t>low energies</w:t>
            </w:r>
            <w:r>
              <w:t>, the reflection coeffi</w:t>
            </w:r>
            <w:r>
              <w:t xml:space="preserve">cient is close to </w:t>
            </w:r>
            <w:r>
              <w:rPr>
                <w:b/>
              </w:rPr>
              <w:t>1 (complete reflection)</w:t>
            </w:r>
            <w:r>
              <w:t xml:space="preserve">.  </w:t>
            </w:r>
          </w:p>
          <w:p w:rsidR="00682DEA" w:rsidRDefault="006C50BE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hanging="360"/>
            </w:pPr>
            <w:r>
              <w:t xml:space="preserve">As the particle energy increases, the reflection coefficient decreases.  </w:t>
            </w:r>
          </w:p>
          <w:p w:rsidR="00682DEA" w:rsidRDefault="006C50BE">
            <w:pPr>
              <w:numPr>
                <w:ilvl w:val="0"/>
                <w:numId w:val="2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hanging="360"/>
            </w:pPr>
            <w:r>
              <w:t xml:space="preserve">At energies higher than the barrier height, the reflection coefficient approaches </w:t>
            </w:r>
            <w:r>
              <w:rPr>
                <w:b/>
              </w:rPr>
              <w:t>0 (negligible reflection)</w:t>
            </w:r>
            <w:r>
              <w:t xml:space="preserve">. </w:t>
            </w:r>
          </w:p>
        </w:tc>
      </w:tr>
    </w:tbl>
    <w:p w:rsidR="00682DEA" w:rsidRDefault="006C50B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557" w:line="259" w:lineRule="auto"/>
        <w:ind w:left="-485" w:right="94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3947795</wp:posOffset>
            </wp:positionV>
            <wp:extent cx="7555357" cy="2796540"/>
            <wp:effectExtent l="0" t="0" r="0" b="0"/>
            <wp:wrapTopAndBottom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5357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9636" w:type="dxa"/>
        <w:tblInd w:w="343" w:type="dxa"/>
        <w:tblCellMar>
          <w:top w:w="135" w:type="dxa"/>
          <w:left w:w="1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6"/>
      </w:tblGrid>
      <w:tr w:rsidR="00682DEA">
        <w:trPr>
          <w:trHeight w:val="4752"/>
        </w:trPr>
        <w:tc>
          <w:tcPr>
            <w:tcW w:w="9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2DEA" w:rsidRDefault="006C50B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38" w:lineRule="auto"/>
              <w:ind w:left="0" w:firstLine="0"/>
            </w:pPr>
            <w:r>
              <w:lastRenderedPageBreak/>
              <w:t xml:space="preserve">Conclusion: The two case studies demonstrate the fundamental principle of quantum tunneling by analyzing the transmission and reflection behavior of particles encountering a potential barrier. </w:t>
            </w:r>
          </w:p>
          <w:p w:rsidR="00682DEA" w:rsidRDefault="006C50BE"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38" w:lineRule="auto"/>
              <w:ind w:hanging="360"/>
            </w:pPr>
            <w:r>
              <w:t xml:space="preserve">Case Study 1 </w:t>
            </w:r>
            <w:r>
              <w:t xml:space="preserve">shows that the transmission coefficient increases with increasing particle energy, indicating a higher probability of tunneling through the barrier.  </w:t>
            </w:r>
          </w:p>
          <w:p w:rsidR="00682DEA" w:rsidRDefault="006C50BE"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38" w:lineRule="auto"/>
              <w:ind w:hanging="360"/>
            </w:pPr>
            <w:r>
              <w:t xml:space="preserve">Case Study 2 shows that the reflection coefficient decreases as particle energy increases, meaning fewer </w:t>
            </w:r>
            <w:r>
              <w:t xml:space="preserve">particles are reflected when they possess higher energy.  </w:t>
            </w:r>
          </w:p>
          <w:p w:rsidR="00682DEA" w:rsidRDefault="006C50BE"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38" w:lineRule="auto"/>
              <w:ind w:hanging="360"/>
            </w:pPr>
            <w:r>
              <w:t xml:space="preserve">Since Transmission Co-efficient (T) + Reflection Co-efficient (R) = 1, the results satisfy the law of probability conservation in quantum mechanics.  </w:t>
            </w:r>
          </w:p>
          <w:p w:rsidR="00682DEA" w:rsidRDefault="006C50BE">
            <w:pPr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38" w:lineRule="auto"/>
              <w:ind w:hanging="360"/>
            </w:pPr>
            <w:r>
              <w:t>Overall, these analyses validate the quantum m</w:t>
            </w:r>
            <w:r>
              <w:t>echanical prediction that particles can tunnel through a barrier even when their energy is lower than the barrier height, a phenomenon that has important applications in tunnel diodes, scanning tunneling microscopes (STM), flash memory, quantum devices, an</w:t>
            </w:r>
            <w:r>
              <w:t xml:space="preserve">d semiconductor technology. </w:t>
            </w:r>
          </w:p>
          <w:p w:rsidR="00682DEA" w:rsidRDefault="006C50B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:rsidR="006C50BE" w:rsidRDefault="006C50BE"/>
    <w:sectPr w:rsidR="006C50BE">
      <w:pgSz w:w="11899" w:h="16841"/>
      <w:pgMar w:top="1440" w:right="1222" w:bottom="917" w:left="4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41A1C"/>
    <w:multiLevelType w:val="hybridMultilevel"/>
    <w:tmpl w:val="CC22EE0A"/>
    <w:lvl w:ilvl="0" w:tplc="76F043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0A4318">
      <w:start w:val="1"/>
      <w:numFmt w:val="bullet"/>
      <w:lvlText w:val="o"/>
      <w:lvlJc w:val="left"/>
      <w:pPr>
        <w:ind w:left="1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F406B0">
      <w:start w:val="1"/>
      <w:numFmt w:val="bullet"/>
      <w:lvlText w:val="▪"/>
      <w:lvlJc w:val="left"/>
      <w:pPr>
        <w:ind w:left="2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16C514">
      <w:start w:val="1"/>
      <w:numFmt w:val="bullet"/>
      <w:lvlText w:val="•"/>
      <w:lvlJc w:val="left"/>
      <w:pPr>
        <w:ind w:left="3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AA68D2">
      <w:start w:val="1"/>
      <w:numFmt w:val="bullet"/>
      <w:lvlText w:val="o"/>
      <w:lvlJc w:val="left"/>
      <w:pPr>
        <w:ind w:left="37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6A17F4">
      <w:start w:val="1"/>
      <w:numFmt w:val="bullet"/>
      <w:lvlText w:val="▪"/>
      <w:lvlJc w:val="left"/>
      <w:pPr>
        <w:ind w:left="4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02977C">
      <w:start w:val="1"/>
      <w:numFmt w:val="bullet"/>
      <w:lvlText w:val="•"/>
      <w:lvlJc w:val="left"/>
      <w:pPr>
        <w:ind w:left="5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F07698">
      <w:start w:val="1"/>
      <w:numFmt w:val="bullet"/>
      <w:lvlText w:val="o"/>
      <w:lvlJc w:val="left"/>
      <w:pPr>
        <w:ind w:left="5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D45E14">
      <w:start w:val="1"/>
      <w:numFmt w:val="bullet"/>
      <w:lvlText w:val="▪"/>
      <w:lvlJc w:val="left"/>
      <w:pPr>
        <w:ind w:left="6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485ED4"/>
    <w:multiLevelType w:val="hybridMultilevel"/>
    <w:tmpl w:val="50D448EE"/>
    <w:lvl w:ilvl="0" w:tplc="4F2EF046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40AACC">
      <w:start w:val="1"/>
      <w:numFmt w:val="lowerLetter"/>
      <w:lvlText w:val="%2"/>
      <w:lvlJc w:val="left"/>
      <w:pPr>
        <w:ind w:left="1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A86C5C">
      <w:start w:val="1"/>
      <w:numFmt w:val="lowerRoman"/>
      <w:lvlText w:val="%3"/>
      <w:lvlJc w:val="left"/>
      <w:pPr>
        <w:ind w:left="2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3EFBDC">
      <w:start w:val="1"/>
      <w:numFmt w:val="decimal"/>
      <w:lvlText w:val="%4"/>
      <w:lvlJc w:val="left"/>
      <w:pPr>
        <w:ind w:left="3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14F0EA">
      <w:start w:val="1"/>
      <w:numFmt w:val="lowerLetter"/>
      <w:lvlText w:val="%5"/>
      <w:lvlJc w:val="left"/>
      <w:pPr>
        <w:ind w:left="3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A06CB0">
      <w:start w:val="1"/>
      <w:numFmt w:val="lowerRoman"/>
      <w:lvlText w:val="%6"/>
      <w:lvlJc w:val="left"/>
      <w:pPr>
        <w:ind w:left="4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54E418">
      <w:start w:val="1"/>
      <w:numFmt w:val="decimal"/>
      <w:lvlText w:val="%7"/>
      <w:lvlJc w:val="left"/>
      <w:pPr>
        <w:ind w:left="5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8E459A">
      <w:start w:val="1"/>
      <w:numFmt w:val="lowerLetter"/>
      <w:lvlText w:val="%8"/>
      <w:lvlJc w:val="left"/>
      <w:pPr>
        <w:ind w:left="5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3C7274">
      <w:start w:val="1"/>
      <w:numFmt w:val="lowerRoman"/>
      <w:lvlText w:val="%9"/>
      <w:lvlJc w:val="left"/>
      <w:pPr>
        <w:ind w:left="6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2042C5F"/>
    <w:multiLevelType w:val="hybridMultilevel"/>
    <w:tmpl w:val="F1D64B60"/>
    <w:lvl w:ilvl="0" w:tplc="2E864328">
      <w:start w:val="1"/>
      <w:numFmt w:val="decimal"/>
      <w:lvlText w:val="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B0689A">
      <w:start w:val="1"/>
      <w:numFmt w:val="lowerLetter"/>
      <w:lvlText w:val="%2"/>
      <w:lvlJc w:val="left"/>
      <w:pPr>
        <w:ind w:left="1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0CB540">
      <w:start w:val="1"/>
      <w:numFmt w:val="lowerRoman"/>
      <w:lvlText w:val="%3"/>
      <w:lvlJc w:val="left"/>
      <w:pPr>
        <w:ind w:left="2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54B97A">
      <w:start w:val="1"/>
      <w:numFmt w:val="decimal"/>
      <w:lvlText w:val="%4"/>
      <w:lvlJc w:val="left"/>
      <w:pPr>
        <w:ind w:left="3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D25B9A">
      <w:start w:val="1"/>
      <w:numFmt w:val="lowerLetter"/>
      <w:lvlText w:val="%5"/>
      <w:lvlJc w:val="left"/>
      <w:pPr>
        <w:ind w:left="3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9EC19A">
      <w:start w:val="1"/>
      <w:numFmt w:val="lowerRoman"/>
      <w:lvlText w:val="%6"/>
      <w:lvlJc w:val="left"/>
      <w:pPr>
        <w:ind w:left="4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0EEDF2">
      <w:start w:val="1"/>
      <w:numFmt w:val="decimal"/>
      <w:lvlText w:val="%7"/>
      <w:lvlJc w:val="left"/>
      <w:pPr>
        <w:ind w:left="5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E657A">
      <w:start w:val="1"/>
      <w:numFmt w:val="lowerLetter"/>
      <w:lvlText w:val="%8"/>
      <w:lvlJc w:val="left"/>
      <w:pPr>
        <w:ind w:left="59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44F444">
      <w:start w:val="1"/>
      <w:numFmt w:val="lowerRoman"/>
      <w:lvlText w:val="%9"/>
      <w:lvlJc w:val="left"/>
      <w:pPr>
        <w:ind w:left="6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DEA"/>
    <w:rsid w:val="0033301C"/>
    <w:rsid w:val="00682DEA"/>
    <w:rsid w:val="006C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D943D"/>
  <w15:docId w15:val="{FCAD94C5-BB8C-4FE8-A725-90FFE651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cp:lastModifiedBy>ADMIN</cp:lastModifiedBy>
  <cp:revision>2</cp:revision>
  <dcterms:created xsi:type="dcterms:W3CDTF">2026-08-04T16:23:00Z</dcterms:created>
  <dcterms:modified xsi:type="dcterms:W3CDTF">2026-08-04T16:23:00Z</dcterms:modified>
</cp:coreProperties>
</file>