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Layout w:type="fixed"/>
        <w:tblLook w:val="01E0" w:firstRow="1" w:lastRow="1" w:firstColumn="1" w:lastColumn="1" w:noHBand="0" w:noVBand="0"/>
      </w:tblPr>
      <w:tblGrid>
        <w:gridCol w:w="5111"/>
        <w:gridCol w:w="4810"/>
      </w:tblGrid>
      <w:tr w:rsidR="00DB261E" w:rsidRPr="00E35109" w14:paraId="0FE6E238" w14:textId="77777777" w:rsidTr="00BC22F6">
        <w:trPr>
          <w:cantSplit/>
          <w:trHeight w:val="2550"/>
        </w:trPr>
        <w:tc>
          <w:tcPr>
            <w:tcW w:w="2576" w:type="pct"/>
          </w:tcPr>
          <w:p w14:paraId="651C95F7" w14:textId="77777777" w:rsidR="00DB261E" w:rsidRPr="001F7339" w:rsidRDefault="00DB261E" w:rsidP="00BC22F6">
            <w:pPr>
              <w:pStyle w:val="022"/>
            </w:pPr>
          </w:p>
        </w:tc>
        <w:tc>
          <w:tcPr>
            <w:tcW w:w="2424" w:type="pct"/>
          </w:tcPr>
          <w:p w14:paraId="14B2034B" w14:textId="77777777" w:rsidR="00DB261E" w:rsidRPr="00E35109" w:rsidRDefault="00DB261E" w:rsidP="00BC22F6">
            <w:pPr>
              <w:ind w:firstLine="0"/>
              <w:contextualSpacing w:val="0"/>
              <w:jc w:val="center"/>
            </w:pPr>
            <w:r w:rsidRPr="00E35109">
              <w:t xml:space="preserve">УТВЕРЖДАЮ</w:t>
            </w:r>
          </w:p>
          <w:p w14:paraId="0C351091" w14:textId="77777777" w:rsidR="00DB261E" w:rsidRPr="00E35109" w:rsidRDefault="00DB261E" w:rsidP="00BC22F6">
            <w:pPr>
              <w:ind w:firstLine="0"/>
              <w:jc w:val="center"/>
            </w:pPr>
            <w:r w:rsidRPr="00E35109">
              <w:t xml:space="preserve">[уточнить: должность]</w:t>
            </w:r>
          </w:p>
          <w:p w14:paraId="0C351091" w14:textId="77777777" w:rsidR="00DB261E" w:rsidRPr="00E35109" w:rsidRDefault="00DB261E" w:rsidP="00BC22F6">
            <w:pPr>
              <w:ind w:firstLine="0"/>
              <w:jc w:val="center"/>
            </w:pPr>
            <w:r w:rsidRPr="00E35109">
              <w:t xml:space="preserve">[уточнить: организация]</w:t>
            </w:r>
          </w:p>
          <w:p w14:paraId="0C351091" w14:textId="77777777" w:rsidR="00DB261E" w:rsidRPr="00E35109" w:rsidRDefault="00DB261E" w:rsidP="00BC22F6">
            <w:pPr>
              <w:ind w:firstLine="0"/>
              <w:jc w:val="center"/>
            </w:pPr>
            <w:r w:rsidRPr="00E35109">
              <w:t xml:space="preserve">___________________ [уточнить: И.О. Фамилия]</w:t>
            </w:r>
          </w:p>
        </w:tc>
      </w:tr>
      <w:tr w:rsidR="00DB261E" w:rsidRPr="00E35109" w14:paraId="2140FBBE" w14:textId="77777777" w:rsidTr="00BC22F6">
        <w:trPr>
          <w:cantSplit/>
          <w:trHeight w:val="1273"/>
        </w:trPr>
        <w:tc>
          <w:tcPr>
            <w:tcW w:w="2576" w:type="pct"/>
          </w:tcPr>
          <w:p w14:paraId="27813126" w14:textId="77777777" w:rsidR="00DB261E" w:rsidRPr="00E35109" w:rsidRDefault="00DB261E" w:rsidP="00BC22F6"/>
        </w:tc>
        <w:tc>
          <w:tcPr>
            <w:tcW w:w="2424" w:type="pct"/>
          </w:tcPr>
          <w:p w14:paraId="22473821" w14:textId="77777777" w:rsidR="00DB261E" w:rsidRPr="00E35109" w:rsidRDefault="00DB261E" w:rsidP="00BC22F6">
            <w:pPr>
              <w:ind w:firstLine="0"/>
              <w:jc w:val="center"/>
            </w:pPr>
            <w:r w:rsidRPr="00E35109">
              <w:rPr>
                <w:bCs/>
              </w:rPr>
              <w:t xml:space="preserve"> </w:t>
            </w:r>
          </w:p>
        </w:tc>
      </w:tr>
      <w:tr w:rsidR="00DB261E" w:rsidRPr="00E35109" w14:paraId="7E693990" w14:textId="77777777" w:rsidTr="00BC22F6">
        <w:trPr>
          <w:trHeight w:val="4678"/>
        </w:trPr>
        <w:tc>
          <w:tcPr>
            <w:tcW w:w="5000" w:type="pct"/>
            <w:gridSpan w:val="2"/>
          </w:tcPr>
          <w:p w14:paraId="550672E0" w14:textId="77777777" w:rsidR="00DB261E" w:rsidRPr="00E35109" w:rsidRDefault="00DB261E" w:rsidP="00BC22F6">
            <w:pPr>
              <w:ind w:left="33" w:firstLine="0"/>
              <w:jc w:val="center"/>
              <w:rPr>
                <w:sz w:val="24"/>
                <w:szCs w:val="24"/>
              </w:rPr>
            </w:pPr>
          </w:p>
          <w:p w14:paraId="7371E6D2" w14:textId="77777777" w:rsidR="00DB261E" w:rsidRPr="00E35109" w:rsidRDefault="00DB261E" w:rsidP="00BC22F6">
            <w:pPr>
              <w:ind w:left="33" w:firstLine="0"/>
              <w:jc w:val="center"/>
            </w:pPr>
          </w:p>
          <w:p w14:paraId="73B0F242" w14:textId="77777777" w:rsidR="00DB261E" w:rsidRPr="00E35109" w:rsidRDefault="00DB261E" w:rsidP="00BC22F6">
            <w:pPr>
              <w:ind w:left="33" w:firstLine="0"/>
              <w:jc w:val="center"/>
            </w:pPr>
            <w:r w:rsidRPr="00E35109">
              <w:t xml:space="preserve">СИСТЕМА ПРИЁМА И ПЕРВИЧНОЙ ПРОВЕРКИ</w:t>
            </w:r>
          </w:p>
          <w:p w14:paraId="73B0F242" w14:textId="77777777" w:rsidR="00DB261E" w:rsidRPr="00E35109" w:rsidRDefault="00DB261E" w:rsidP="00BC22F6">
            <w:pPr>
              <w:ind w:left="33" w:firstLine="0"/>
              <w:jc w:val="center"/>
            </w:pPr>
            <w:r w:rsidRPr="00E35109">
              <w:t xml:space="preserve">СТУДЕНЧЕСКИХ РАБОТ</w:t>
            </w:r>
          </w:p>
          <w:p w14:paraId="73B0F242" w14:textId="77777777" w:rsidR="00DB261E" w:rsidRPr="00E35109" w:rsidRDefault="00DB261E" w:rsidP="00BC22F6">
            <w:pPr>
              <w:ind w:left="33" w:firstLine="0"/>
              <w:jc w:val="center"/>
            </w:pPr>
            <w:r w:rsidRPr="00E35109">
              <w:t xml:space="preserve">LABSCANER</w:t>
            </w:r>
          </w:p>
          <w:p w14:paraId="1B5B7F14" w14:textId="77777777" w:rsidR="00DB261E" w:rsidRPr="00E35109" w:rsidRDefault="00DB261E" w:rsidP="00BC22F6">
            <w:pPr>
              <w:ind w:left="33" w:firstLine="0"/>
              <w:jc w:val="center"/>
              <w:rPr>
                <w:sz w:val="24"/>
                <w:szCs w:val="24"/>
              </w:rPr>
            </w:pPr>
          </w:p>
          <w:p w14:paraId="275A76C5" w14:textId="77777777" w:rsidR="00E24677" w:rsidRDefault="00E24677" w:rsidP="0006016D">
            <w:pPr>
              <w:ind w:left="33" w:firstLine="0"/>
              <w:jc w:val="center"/>
              <w:rPr>
                <w:b/>
                <w:caps/>
                <w:sz w:val="36"/>
                <w:szCs w:val="24"/>
              </w:rPr>
            </w:pPr>
            <w:r>
              <w:rPr>
                <w:b/>
                <w:caps/>
                <w:sz w:val="36"/>
                <w:szCs w:val="24"/>
              </w:rPr>
              <w:t xml:space="preserve">Технический паспорт</w:t>
            </w:r>
          </w:p>
        </w:tc>
      </w:tr>
      <w:tr w:rsidR="00DB261E" w:rsidRPr="00E35109" w14:paraId="0CEE3AA3" w14:textId="77777777" w:rsidTr="00BC22F6">
        <w:trPr>
          <w:trHeight w:val="1022"/>
        </w:trPr>
        <w:tc>
          <w:tcPr>
            <w:tcW w:w="5000" w:type="pct"/>
            <w:gridSpan w:val="2"/>
          </w:tcPr>
          <w:p w14:paraId="25D23955" w14:textId="20937E48" w:rsidR="00DB261E" w:rsidRPr="00E35109" w:rsidRDefault="00DB261E" w:rsidP="00BC22F6">
            <w:pPr>
              <w:ind w:firstLine="0"/>
              <w:jc w:val="center"/>
            </w:pPr>
            <w:r w:rsidRPr="00E35109">
              <w:t xml:space="preserve">На 30 листах</w:t>
            </w:r>
          </w:p>
        </w:tc>
      </w:tr>
      <w:tr w:rsidR="00DB261E" w:rsidRPr="00E35109" w14:paraId="5AAD07F6" w14:textId="77777777" w:rsidTr="00BC22F6">
        <w:trPr>
          <w:trHeight w:val="829"/>
        </w:trPr>
        <w:tc>
          <w:tcPr>
            <w:tcW w:w="2576" w:type="pct"/>
          </w:tcPr>
          <w:p w14:paraId="2A4C4101" w14:textId="77777777" w:rsidR="00DB261E" w:rsidRPr="00E35109" w:rsidRDefault="00DB261E" w:rsidP="00BC22F6">
            <w:pPr>
              <w:ind w:firstLine="0"/>
            </w:pPr>
          </w:p>
        </w:tc>
        <w:tc>
          <w:tcPr>
            <w:tcW w:w="2424" w:type="pct"/>
          </w:tcPr>
          <w:p w14:paraId="4A668945" w14:textId="77777777" w:rsidR="00DB261E" w:rsidRPr="00E35109" w:rsidRDefault="00DB261E" w:rsidP="00BC22F6">
            <w:pPr>
              <w:ind w:firstLine="0"/>
            </w:pPr>
          </w:p>
        </w:tc>
      </w:tr>
      <w:tr w:rsidR="00DB261E" w:rsidRPr="00E35109" w14:paraId="098F97AF" w14:textId="77777777" w:rsidTr="00BC22F6">
        <w:trPr>
          <w:trHeight w:val="3671"/>
        </w:trPr>
        <w:tc>
          <w:tcPr>
            <w:tcW w:w="5000" w:type="pct"/>
            <w:gridSpan w:val="2"/>
            <w:vAlign w:val="bottom"/>
          </w:tcPr>
          <w:p w14:paraId="3B1757C9" w14:textId="465E685A" w:rsidR="00DB261E" w:rsidRPr="00E35109" w:rsidRDefault="00DB261E" w:rsidP="00BC22F6">
            <w:pPr>
              <w:ind w:firstLine="0"/>
              <w:contextualSpacing w:val="0"/>
              <w:jc w:val="center"/>
            </w:pPr>
            <w:r w:rsidRPr="00E35109">
              <w:t xml:space="preserve">2026</w:t>
            </w:r>
          </w:p>
        </w:tc>
      </w:tr>
    </w:tbl>
    <w:p w14:paraId="387AC34B" w14:textId="77777777" w:rsidR="00F538E4" w:rsidRPr="00E35109" w:rsidRDefault="00F538E4">
      <w:pPr>
        <w:contextualSpacing w:val="0"/>
      </w:pPr>
      <w:r w:rsidRPr="00E35109">
        <w:br w:type="page"/>
      </w:r>
    </w:p>
    <w:p w14:paraId="722D10C7" w14:textId="77777777" w:rsidR="001D7CCF" w:rsidRPr="00E35109" w:rsidRDefault="001D7CCF" w:rsidP="001D7CCF">
      <w:pPr>
        <w:spacing w:before="0"/>
        <w:jc w:val="center"/>
        <w:rPr>
          <w:b/>
          <w:smallCaps/>
        </w:rPr>
      </w:pPr>
      <w:r w:rsidRPr="00E35109">
        <w:rPr>
          <w:b/>
          <w:smallCaps/>
        </w:rPr>
        <w:lastRenderedPageBreak/>
        <w:t>ОГЛАВЛЕНИЕ</w:t>
      </w:r>
    </w:p>
    <w:sdt>
      <w:sdtPr>
        <w:rPr>
          <w:lang w:eastAsia="ru-RU"/>
        </w:rPr>
        <w:id w:val="1204987653"/>
        <w:docPartObj>
          <w:docPartGallery w:val="Table of Contents"/>
          <w:docPartUnique/>
        </w:docPartObj>
      </w:sdtPr>
      <w:sdtEndPr/>
      <w:sdtContent>
        <w:p>
          <w:pPr>
            <w:pStyle w:val="12"/>
            <w:tabs>
              <w:tab w:val="right" w:leader="dot" w:pos="9911"/>
            </w:tabs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235046" w:history="1">
            <w:r>
              <w:rPr>
                <w:rStyle w:val="af3"/>
                <w:noProof/>
              </w:rPr>
              <w:t xml:space="preserve">Принятые термины и сокращения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_Toc238235046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2"/>
            <w:tabs>
              <w:tab w:val="left" w:pos="440"/>
              <w:tab w:val="right" w:leader="dot" w:pos="9911"/>
            </w:tabs>
          </w:pPr>
          <w:hyperlink w:anchor="_Toc00001001" w:history="1">
            <w:r>
              <w:rPr>
                <w:rStyle w:val="af3"/>
                <w:noProof/>
              </w:rPr>
              <w:t>1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_Toc00001001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02" w:history="1">
            <w:r>
              <w:rPr>
                <w:rStyle w:val="af3"/>
                <w:noProof/>
              </w:rPr>
              <w:t>1.1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Наименование и обозначение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_Toc00001002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03" w:history="1">
            <w:r>
              <w:rPr>
                <w:rStyle w:val="af3"/>
                <w:noProof/>
              </w:rPr>
              <w:t>1.2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Назначение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_Toc00001003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04" w:history="1">
            <w:r>
              <w:rPr>
                <w:rStyle w:val="af3"/>
                <w:noProof/>
              </w:rPr>
              <w:t>1.3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Пользователи и 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_Toc00001004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06" w:history="1">
            <w:r>
              <w:rPr>
                <w:rStyle w:val="af3"/>
                <w:noProof/>
              </w:rPr>
              <w:t>1.4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Исходные документы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_Toc00001006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07" w:history="1">
            <w:r>
              <w:rPr>
                <w:rStyle w:val="af3"/>
                <w:noProof/>
              </w:rPr>
              <w:t>1.5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Стадия создания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_Toc00001007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2"/>
            <w:tabs>
              <w:tab w:val="left" w:pos="440"/>
              <w:tab w:val="right" w:leader="dot" w:pos="9911"/>
            </w:tabs>
          </w:pPr>
          <w:hyperlink w:anchor="_Toc00001009" w:history="1">
            <w:r>
              <w:rPr>
                <w:rStyle w:val="af3"/>
                <w:noProof/>
              </w:rPr>
              <w:t>2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Основные характеристики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_Toc00001009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10" w:history="1">
            <w:r>
              <w:rPr>
                <w:rStyle w:val="af3"/>
                <w:noProof/>
              </w:rPr>
              <w:t>2.1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Функции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_Toc00001010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12" w:history="1">
            <w:r>
              <w:rPr>
                <w:rStyle w:val="af3"/>
                <w:noProof/>
              </w:rPr>
              <w:t>2.2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Архитектура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_Toc00001012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13" w:history="1">
            <w:r>
              <w:rPr>
                <w:rStyle w:val="af3"/>
                <w:noProof/>
              </w:rPr>
              <w:t>2.2.1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Общая схема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_Toc00001013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15" w:history="1">
            <w:r>
              <w:rPr>
                <w:rStyle w:val="af3"/>
                <w:noProof/>
              </w:rPr>
              <w:t>2.2.2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Состав программных компонентов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_Toc00001015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17" w:history="1">
            <w:r>
              <w:rPr>
                <w:rStyle w:val="af3"/>
                <w:noProof/>
              </w:rPr>
              <w:t>2.2.3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Структура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_Toc00001017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18" w:history="1">
            <w:r>
              <w:rPr>
                <w:rStyle w:val="af3"/>
                <w:noProof/>
              </w:rPr>
              <w:t>2.2.4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Разделение данных преподавателей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_Toc00001018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20" w:history="1">
            <w:r>
              <w:rPr>
                <w:rStyle w:val="af3"/>
                <w:noProof/>
              </w:rPr>
              <w:t>2.3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Логика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_Toc00001020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21" w:history="1">
            <w:r>
              <w:rPr>
                <w:rStyle w:val="af3"/>
                <w:noProof/>
              </w:rPr>
              <w:t>2.3.1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Конвейер обработки письма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_Toc00001021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24" w:history="1">
            <w:r>
              <w:rPr>
                <w:rStyle w:val="af3"/>
                <w:noProof/>
              </w:rPr>
              <w:t>2.3.2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Разбор темы письма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_Toc00001024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25" w:history="1">
            <w:r>
              <w:rPr>
                <w:rStyle w:val="af3"/>
                <w:noProof/>
              </w:rPr>
              <w:t>2.3.3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Несколько работ в одном письме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_Toc00001025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27" w:history="1">
            <w:r>
              <w:rPr>
                <w:rStyle w:val="af3"/>
                <w:noProof/>
              </w:rPr>
              <w:t>2.3.4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Хранение файлов на Яндекс Диске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_Toc00001027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28" w:history="1">
            <w:r>
              <w:rPr>
                <w:rStyle w:val="af3"/>
                <w:noProof/>
              </w:rPr>
              <w:t>2.3.5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Задания и перечень работ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_Toc00001028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29" w:history="1">
            <w:r>
              <w:rPr>
                <w:rStyle w:val="af3"/>
                <w:noProof/>
              </w:rPr>
              <w:t>2.3.6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Извлечение текста и ИИ-проверка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_Toc00001029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30" w:history="1">
            <w:r>
              <w:rPr>
                <w:rStyle w:val="af3"/>
                <w:noProof/>
              </w:rPr>
              <w:t>2.3.7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Журнал группы и решение преподавателя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_Toc00001030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32" w:history="1">
            <w:r>
              <w:rPr>
                <w:rStyle w:val="af3"/>
                <w:noProof/>
              </w:rPr>
              <w:t>2.3.8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Дедлайны и автоматы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_Toc00001032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33" w:history="1">
            <w:r>
              <w:rPr>
                <w:rStyle w:val="af3"/>
                <w:noProof/>
              </w:rPr>
              <w:t>2.3.9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Уведомления студентам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_Toc00001033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32"/>
            <w:tabs>
              <w:tab w:val="left" w:pos="1320"/>
              <w:tab w:val="right" w:leader="dot" w:pos="9911"/>
            </w:tabs>
          </w:pPr>
          <w:hyperlink w:anchor="_Toc00001034" w:history="1">
            <w:r>
              <w:rPr>
                <w:rStyle w:val="af3"/>
                <w:noProof/>
              </w:rPr>
              <w:t>2.3.10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Журналы Системы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_Toc00001034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36" w:history="1">
            <w:r>
              <w:rPr>
                <w:rStyle w:val="af3"/>
                <w:noProof/>
              </w:rPr>
              <w:t>2.4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Модель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_Toc00001036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38" w:history="1">
            <w:r>
              <w:rPr>
                <w:rStyle w:val="af3"/>
                <w:noProof/>
              </w:rPr>
              <w:t>2.5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Пользовательский интерфейс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_Toc00001038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40" w:history="1">
            <w:r>
              <w:rPr>
                <w:rStyle w:val="af3"/>
                <w:noProof/>
              </w:rPr>
              <w:t>2.6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Режимы функционирования и регламент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_Toc00001040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42" w:history="1">
            <w:r>
              <w:rPr>
                <w:rStyle w:val="af3"/>
                <w:noProof/>
              </w:rPr>
              <w:t>2.7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Взаимодействие с внешними системами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_Toc00001042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44" w:history="1">
            <w:r>
              <w:rPr>
                <w:rStyle w:val="af3"/>
                <w:noProof/>
              </w:rPr>
              <w:t>2.8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Информационная безопасность и персональные данные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_Toc00001044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45" w:history="1">
            <w:r>
              <w:rPr>
                <w:rStyle w:val="af3"/>
                <w:noProof/>
              </w:rPr>
              <w:t>2.9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Ограничения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_Toc00001045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2"/>
            <w:tabs>
              <w:tab w:val="left" w:pos="440"/>
              <w:tab w:val="right" w:leader="dot" w:pos="9911"/>
            </w:tabs>
          </w:pPr>
          <w:hyperlink w:anchor="_Toc00001046" w:history="1">
            <w:r>
              <w:rPr>
                <w:rStyle w:val="af3"/>
                <w:noProof/>
              </w:rPr>
              <w:t>3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Комплектность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_Toc00001046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47" w:history="1">
            <w:r>
              <w:rPr>
                <w:rStyle w:val="af3"/>
                <w:noProof/>
              </w:rPr>
              <w:t>3.1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Программное обеспечение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_Toc00001047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49" w:history="1">
            <w:r>
              <w:rPr>
                <w:rStyle w:val="af3"/>
                <w:noProof/>
              </w:rPr>
              <w:t>3.2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Технические средства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_Toc00001049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50" w:history="1">
            <w:r>
              <w:rPr>
                <w:rStyle w:val="af3"/>
                <w:noProof/>
              </w:rPr>
              <w:t>3.3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Состав развёртывания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_Toc00001050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24"/>
            <w:tabs>
              <w:tab w:val="left" w:pos="880"/>
              <w:tab w:val="right" w:leader="dot" w:pos="9911"/>
            </w:tabs>
          </w:pPr>
          <w:hyperlink w:anchor="_Toc00001052" w:history="1">
            <w:r>
              <w:rPr>
                <w:rStyle w:val="af3"/>
                <w:noProof/>
              </w:rPr>
              <w:t>3.4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Документация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_Toc00001052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2"/>
            <w:tabs>
              <w:tab w:val="left" w:pos="440"/>
              <w:tab w:val="right" w:leader="dot" w:pos="9911"/>
            </w:tabs>
          </w:pPr>
          <w:hyperlink w:anchor="_Toc00001053" w:history="1">
            <w:r>
              <w:rPr>
                <w:rStyle w:val="af3"/>
                <w:noProof/>
              </w:rPr>
              <w:t>4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Свидетельство о приёмке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_Toc00001053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2"/>
            <w:tabs>
              <w:tab w:val="left" w:pos="440"/>
              <w:tab w:val="right" w:leader="dot" w:pos="9911"/>
            </w:tabs>
          </w:pPr>
          <w:hyperlink w:anchor="_Toc00001054" w:history="1">
            <w:r>
              <w:rPr>
                <w:rStyle w:val="af3"/>
                <w:noProof/>
              </w:rPr>
              <w:t>5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Гарантии разработчика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_Toc00001054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2"/>
            <w:tabs>
              <w:tab w:val="left" w:pos="440"/>
              <w:tab w:val="right" w:leader="dot" w:pos="9911"/>
            </w:tabs>
          </w:pPr>
          <w:hyperlink w:anchor="_Toc00001055" w:history="1">
            <w:r>
              <w:rPr>
                <w:rStyle w:val="af3"/>
                <w:noProof/>
              </w:rPr>
              <w:t>6</w:t>
            </w:r>
            <w:r>
              <w:rPr>
                <w:noProof/>
                <w:webHidden/>
              </w:rPr>
              <w:tab/>
            </w:r>
            <w:r>
              <w:rPr>
                <w:rStyle w:val="af3"/>
                <w:noProof/>
              </w:rPr>
              <w:t xml:space="preserve">Сведения о рекламациях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_Toc00001055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2"/>
            <w:tabs>
              <w:tab w:val="right" w:leader="dot" w:pos="9911"/>
            </w:tabs>
          </w:pPr>
          <w:hyperlink w:anchor="_Toc00001057" w:history="1">
            <w:r>
              <w:rPr>
                <w:rStyle w:val="af3"/>
                <w:noProof/>
              </w:rPr>
              <w:t xml:space="preserve">Приложение А. Нерешённые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_Toc00001057 \h </w:instrText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>
          <w:pPr>
            <w:pStyle w:val="12"/>
          </w:pPr>
          <w:r>
            <w:fldChar w:fldCharType="end"/>
          </w:r>
        </w:p>
      </w:sdtContent>
    </w:sdt>
    <w:p w14:paraId="43239AC2" w14:textId="77777777" w:rsidR="000D7948" w:rsidRPr="00E35109" w:rsidRDefault="000D7948">
      <w:pPr>
        <w:contextualSpacing w:val="0"/>
        <w:rPr>
          <w:b/>
          <w:bCs/>
          <w:caps/>
          <w:szCs w:val="28"/>
        </w:rPr>
      </w:pPr>
      <w:bookmarkStart w:id="0" w:name="_Toc166529483"/>
      <w:r w:rsidRPr="00E35109">
        <w:br w:type="page"/>
      </w:r>
    </w:p>
    <w:p w14:paraId="45D0D18D" w14:textId="77777777" w:rsidR="00406BE7" w:rsidRPr="00E35109" w:rsidRDefault="00406BE7" w:rsidP="00406BE7">
      <w:pPr>
        <w:pStyle w:val="1"/>
        <w:numPr>
          <w:ilvl w:val="0"/>
          <w:numId w:val="0"/>
        </w:numPr>
        <w:ind w:left="851"/>
        <w:jc w:val="center"/>
        <w:rPr>
          <w:sz w:val="16"/>
          <w:szCs w:val="16"/>
        </w:rPr>
      </w:pPr>
      <w:bookmarkStart w:id="1" w:name="_Toc236504565"/>
      <w:bookmarkStart w:id="2" w:name="_Toc238235046"/>
      <w:bookmarkStart w:id="3" w:name="_Hlk217486943"/>
      <w:bookmarkEnd w:id="0"/>
      <w:r w:rsidRPr="00E35109">
        <w:lastRenderedPageBreak/>
        <w:t>Принятые термины и сокращения</w:t>
      </w:r>
      <w:bookmarkEnd w:id="1"/>
      <w:bookmarkEnd w:id="2"/>
    </w:p>
    <w:tbl>
      <w:tblPr>
        <w:tblW w:w="5000" w:type="pct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0"/>
        <w:gridCol w:w="8241"/>
      </w:tblGrid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БД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база данных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ИИ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искусственный интеллект; в Системе — проверка работы с помощью LLM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КР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курсовая работа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ЛР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лабораторная работа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ПДн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персональные данные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ПО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программное обеспечение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ФИО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фамилия, имя, отчество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ADR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Architecture Decision Record — запись об архитектурном решении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API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Application Programming Interface — программный интерфейс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CI/CD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Continuous Integration / Continuous Delivery — непрерывная интеграция и доставка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DOCX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формат текстовых документов Microsoft Word (Office Open XML)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EF Core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Entity Framework Core — ORM-библиотека платформы .NET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HTTPS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HyperText Transfer Protocol Secure — защищённый протокол передачи гипертекста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IMAP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Internet Message Access Protocol — протокол доступа к электронной почте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JSON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JavaScript Object Notation — текстовый формат обмена структурированными данными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LLM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Large Language Model — большая языковая модель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OAuth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Open Authorization — протокол авторизации доступа к ресурсам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OCR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Optical Character Recognition — оптическое распознавание символов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ORM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Object-Relational Mapping — объектно-реляционное отображение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PDF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Portable Document Format — формат электронных документов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SMTP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Simple Mail Transfer Protocol — протокол отправки электронной почты</w:t>
            </w:r>
          </w:p>
        </w:tc>
      </w:tr>
      <w:tr w:rsidR="00031704" w:rsidRPr="000061E9" w:rsidTr="005D7283">
        <w:tc>
          <w:tcPr>
            <w:tcW w:w="1680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VPS</w:t>
            </w:r>
          </w:p>
        </w:tc>
        <w:tc>
          <w:tcPr>
            <w:tcW w:w="8241" w:type="dxa"/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31704" w:rsidRPr="000061E9" w:rsidRDefault="00031704" w:rsidP="000061E9">
            <w:pPr>
              <w:pStyle w:val="033-"/>
            </w:pPr>
            <w:r w:rsidRPr="000061E9">
              <w:t xml:space="preserve">Virtual Private Server — виртуальный выделенный сервер</w:t>
            </w:r>
          </w:p>
        </w:tc>
      </w:tr>
    </w:tbl>
    <w:p>
      <w:r>
        <w:br w:type="page"/>
      </w:r>
    </w:p>
    <w:p>
      <w:pPr>
        <w:pStyle w:val="1"/>
      </w:pPr>
      <w:bookmarkStart w:id="1001" w:name="_Toc00001001"/>
      <w:r>
        <w:t xml:space="preserve">Общие сведения</w:t>
      </w:r>
      <w:bookmarkEnd w:id="1001"/>
    </w:p>
    <w:p>
      <w:pPr>
        <w:pStyle w:val="2"/>
      </w:pPr>
      <w:bookmarkStart w:id="1002" w:name="_Toc00001002"/>
      <w:r>
        <w:t xml:space="preserve">Наименование и обозначение</w:t>
      </w:r>
      <w:bookmarkEnd w:id="1002"/>
    </w:p>
    <w:p>
      <w:r>
        <w:t xml:space="preserve">Полное наименование: «Система приёма и первичной проверки студенческих работ labScaner» (далее — Система).</w:t>
      </w:r>
    </w:p>
    <w:p>
      <w:r>
        <w:t xml:space="preserve">Краткое наименование: labScaner.</w:t>
      </w:r>
    </w:p>
    <w:p>
      <w:pPr>
        <w:pStyle w:val="2"/>
      </w:pPr>
      <w:bookmarkStart w:id="1003" w:name="_Toc00001003"/>
      <w:r>
        <w:t xml:space="preserve">Назначение</w:t>
      </w:r>
      <w:bookmarkEnd w:id="1003"/>
    </w:p>
    <w:p>
      <w:r>
        <w:t xml:space="preserve">Система предназначена для автоматизации приёма, раскладки и первичной проверки студенческих работ (ЛР и КР) с сохранением окончательного решения за преподавателем.</w:t>
      </w:r>
    </w:p>
    <w:p>
      <w:r>
        <w:t xml:space="preserve">Система обеспечивает:</w:t>
      </w:r>
    </w:p>
    <w:p>
      <w:pPr>
        <w:pStyle w:val="05011"/>
      </w:pPr>
      <w:r>
        <w:t xml:space="preserve">приём писем студентов с вложениями PDF и DOCX из почтового ящика преподавателя по IMAP;</w:t>
      </w:r>
    </w:p>
    <w:p>
      <w:pPr>
        <w:pStyle w:val="05011"/>
      </w:pPr>
      <w:r>
        <w:t xml:space="preserve">распознавание группы, предмета, студента и работы по теме письма;</w:t>
      </w:r>
    </w:p>
    <w:p>
      <w:pPr>
        <w:pStyle w:val="05011"/>
      </w:pPr>
      <w:r>
        <w:t xml:space="preserve">сохранение файлов работ в папки преподавателя на Яндекс Диске;</w:t>
      </w:r>
    </w:p>
    <w:p>
      <w:pPr>
        <w:pStyle w:val="05011"/>
      </w:pPr>
      <w:r>
        <w:t xml:space="preserve">проверку работы на соответствие заданию с помощью LLM и запись результата в журнал;</w:t>
      </w:r>
    </w:p>
    <w:p>
      <w:pPr>
        <w:pStyle w:val="05011"/>
      </w:pPr>
      <w:r>
        <w:t xml:space="preserve">ведение журнала группы: сдача и принятие ЛР, КР, экзамен или зачёт, автоматы;</w:t>
      </w:r>
    </w:p>
    <w:p>
      <w:pPr>
        <w:pStyle w:val="05011"/>
      </w:pPr>
      <w:r>
        <w:t xml:space="preserve">отправку студенту письма с результатом рассмотрения каждой работы — только после подтверждения преподавателем.</w:t>
      </w:r>
    </w:p>
    <w:p>
      <w:r>
        <w:t xml:space="preserve">Основной принцип Системы: ИИ выполняет роль помощника-аудитора и предлагает оценку; решение принимает преподаватель. Ни одно письмо не отправляется студенту и ни одна итоговая оценка не выставляется без действия преподавателя (ADR-007).</w:t>
      </w:r>
    </w:p>
    <w:p>
      <w:pPr>
        <w:pStyle w:val="2"/>
      </w:pPr>
      <w:bookmarkStart w:id="1004" w:name="_Toc00001004"/>
      <w:r>
        <w:t xml:space="preserve">Пользователи и роли</w:t>
      </w:r>
      <w:bookmarkEnd w:id="1004"/>
    </w:p>
    <w:p>
      <w:r>
        <w:t xml:space="preserve">Роли пользователей приведены в таблице </w:t>
      </w:r>
      <w:r>
        <w:fldChar w:fldCharType="begin"/>
      </w:r>
      <w:r>
        <w:instrText xml:space="preserve"> REF _Ref_tbl_roles \h </w:instrText>
      </w:r>
      <w:r>
        <w:fldChar w:fldCharType="separate"/>
      </w:r>
      <w:r>
        <w:t xml:space="preserve">1.3.1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05" w:name="_Ref_tbl_roles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1.3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05"/>
      <w:r>
        <w:t xml:space="preserve"> – </w:t>
      </w:r>
      <w:r>
        <w:t xml:space="preserve">Роли пользователей Системы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281"/>
        <w:gridCol w:w="3869"/>
        <w:gridCol w:w="3771"/>
      </w:tblGrid>
      <w:tr>
        <w:trPr>
          <w:cantSplit/>
          <w:tblHeader/>
        </w:trPr>
        <w:tc>
          <w:tcPr>
            <w:tcW w:w="2281" w:type="dxa"/>
          </w:tcPr>
          <w:p>
            <w:pPr>
              <w:pStyle w:val="032-"/>
            </w:pPr>
            <w:r>
              <w:t xml:space="preserve">Роль</w:t>
            </w:r>
          </w:p>
        </w:tc>
        <w:tc>
          <w:tcPr>
            <w:tcW w:w="3869" w:type="dxa"/>
          </w:tcPr>
          <w:p>
            <w:pPr>
              <w:pStyle w:val="032-"/>
            </w:pPr>
            <w:r>
              <w:t xml:space="preserve">Состав</w:t>
            </w:r>
          </w:p>
        </w:tc>
        <w:tc>
          <w:tcPr>
            <w:tcW w:w="3771" w:type="dxa"/>
          </w:tcPr>
          <w:p>
            <w:pPr>
              <w:pStyle w:val="032-"/>
            </w:pPr>
            <w:r>
              <w:t xml:space="preserve">Способ работы с Системой</w:t>
            </w:r>
          </w:p>
        </w:tc>
      </w:tr>
      <w:tr>
        <w:trPr>
          <w:cantSplit/>
        </w:trPr>
        <w:tc>
          <w:tcPr>
            <w:tcW w:w="2281" w:type="dxa"/>
          </w:tcPr>
          <w:p>
            <w:pPr>
              <w:pStyle w:val="033-"/>
            </w:pPr>
            <w:r>
              <w:t xml:space="preserve">Преподаватель</w:t>
            </w:r>
          </w:p>
        </w:tc>
        <w:tc>
          <w:tcPr>
            <w:tcW w:w="3869" w:type="dxa"/>
          </w:tcPr>
          <w:p>
            <w:pPr>
              <w:pStyle w:val="033-"/>
            </w:pPr>
            <w:r>
              <w:t xml:space="preserve">Несколько пользователей; у каждого свои предметы, почтовый ящик и Яндекс Диск</w:t>
            </w:r>
          </w:p>
        </w:tc>
        <w:tc>
          <w:tcPr>
            <w:tcW w:w="3771" w:type="dxa"/>
          </w:tcPr>
          <w:p>
            <w:pPr>
              <w:pStyle w:val="033-"/>
            </w:pPr>
            <w:r>
              <w:t xml:space="preserve">Веб-интерфейс с входом по паролю; видит только свои данные</w:t>
            </w:r>
          </w:p>
        </w:tc>
      </w:tr>
      <w:tr>
        <w:trPr>
          <w:cantSplit/>
        </w:trPr>
        <w:tc>
          <w:tcPr>
            <w:tcW w:w="2281" w:type="dxa"/>
          </w:tcPr>
          <w:p>
            <w:pPr>
              <w:pStyle w:val="033-"/>
            </w:pPr>
            <w:r>
              <w:t xml:space="preserve">Администратор</w:t>
            </w:r>
          </w:p>
        </w:tc>
        <w:tc>
          <w:tcPr>
            <w:tcW w:w="3869" w:type="dxa"/>
          </w:tcPr>
          <w:p>
            <w:pPr>
              <w:pStyle w:val="033-"/>
            </w:pPr>
            <w:r>
              <w:t xml:space="preserve">Один из преподавателей с дополнительными правами</w:t>
            </w:r>
          </w:p>
        </w:tc>
        <w:tc>
          <w:tcPr>
            <w:tcW w:w="3771" w:type="dxa"/>
          </w:tcPr>
          <w:p>
            <w:pPr>
              <w:pStyle w:val="033-"/>
            </w:pPr>
            <w:r>
              <w:t xml:space="preserve">Пользователи, общие справочники (группы, студенты, учебный календарь), настройки LLM, панель фоновых задач</w:t>
            </w:r>
          </w:p>
        </w:tc>
      </w:tr>
      <w:tr>
        <w:trPr>
          <w:cantSplit/>
        </w:trPr>
        <w:tc>
          <w:tcPr>
            <w:tcW w:w="2281" w:type="dxa"/>
          </w:tcPr>
          <w:p>
            <w:pPr>
              <w:pStyle w:val="033-"/>
            </w:pPr>
            <w:r>
              <w:t xml:space="preserve">Студент</w:t>
            </w:r>
          </w:p>
        </w:tc>
        <w:tc>
          <w:tcPr>
            <w:tcW w:w="3869" w:type="dxa"/>
          </w:tcPr>
          <w:p>
            <w:pPr>
              <w:pStyle w:val="033-"/>
            </w:pPr>
            <w:r>
              <w:t xml:space="preserve">Отправитель писем</w:t>
            </w:r>
          </w:p>
        </w:tc>
        <w:tc>
          <w:tcPr>
            <w:tcW w:w="3771" w:type="dxa"/>
          </w:tcPr>
          <w:p>
            <w:pPr>
              <w:pStyle w:val="033-"/>
            </w:pPr>
            <w:r>
              <w:t xml:space="preserve">Только электронная почта: отправляет работы, получает ответы; в интерфейс не входит</w:t>
            </w:r>
          </w:p>
        </w:tc>
      </w:tr>
    </w:tbl>
    <w:p/>
    <w:p>
      <w:pPr>
        <w:pStyle w:val="2"/>
      </w:pPr>
      <w:bookmarkStart w:id="1006" w:name="_Toc00001006"/>
      <w:r>
        <w:t xml:space="preserve">Исходные документы</w:t>
      </w:r>
      <w:bookmarkEnd w:id="1006"/>
    </w:p>
    <w:p>
      <w:r>
        <w:t xml:space="preserve">Паспорт составлен на основании проектных материалов Системы:</w:t>
      </w:r>
    </w:p>
    <w:p>
      <w:pPr>
        <w:pStyle w:val="05011"/>
      </w:pPr>
      <w:r>
        <w:t xml:space="preserve">описание проекта и требования (docs/PROJECT.md);</w:t>
      </w:r>
    </w:p>
    <w:p>
      <w:pPr>
        <w:pStyle w:val="05011"/>
      </w:pPr>
      <w:r>
        <w:t xml:space="preserve">архитектура и модель данных (docs/ARCHITECTURE.md);</w:t>
      </w:r>
    </w:p>
    <w:p>
      <w:pPr>
        <w:pStyle w:val="05011"/>
      </w:pPr>
      <w:r>
        <w:t xml:space="preserve">журнал архитектурных решений ADR-001…ADR-022 (docs/DECISIONS.md);</w:t>
      </w:r>
    </w:p>
    <w:p>
      <w:pPr>
        <w:pStyle w:val="05011"/>
      </w:pPr>
      <w:r>
        <w:t xml:space="preserve">план работ (docs/ROADMAP.md);</w:t>
      </w:r>
    </w:p>
    <w:p>
      <w:pPr>
        <w:pStyle w:val="05011"/>
      </w:pPr>
      <w:r>
        <w:t xml:space="preserve">ревью макетов интерфейса (docs/design/DESIGN_REVIEW.md) от 03.10.2026.</w:t>
      </w:r>
    </w:p>
    <w:p>
      <w:r>
        <w:t xml:space="preserve">Ссылки вида «F14» указывают на функциональные требования, «НФ3» — на нефункциональные требования документа docs/PROJECT.md, «ADR-011» — на решения docs/DECISIONS.md.</w:t>
      </w:r>
    </w:p>
    <w:p>
      <w:pPr>
        <w:pStyle w:val="2"/>
      </w:pPr>
      <w:bookmarkStart w:id="1007" w:name="_Toc00001007"/>
      <w:r>
        <w:t xml:space="preserve">Стадия создания</w:t>
      </w:r>
      <w:bookmarkEnd w:id="1007"/>
    </w:p>
    <w:p>
      <w:r>
        <w:t xml:space="preserve">Система находится на стадии разработки: завершён этап 0 «Инфраструктура проекта», выполняется этап 1 «Макеты»: ревью и правки выполнены, вопрос о нескольких работах в одном письме решён (ADR-022), идёт дорисовка и утверждение макетов. Программный код Системы не разработан. Этапы создания приведены в таблице </w:t>
      </w:r>
      <w:r>
        <w:fldChar w:fldCharType="begin"/>
      </w:r>
      <w:r>
        <w:instrText xml:space="preserve"> REF _Ref_tbl_stages \h </w:instrText>
      </w:r>
      <w:r>
        <w:fldChar w:fldCharType="separate"/>
      </w:r>
      <w:r>
        <w:t xml:space="preserve">1.5.1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08" w:name="_Ref_tbl_stages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1.5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08"/>
      <w:r>
        <w:t xml:space="preserve"> – </w:t>
      </w:r>
      <w:r>
        <w:t xml:space="preserve">Этапы создания Системы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992"/>
        <w:gridCol w:w="2976"/>
        <w:gridCol w:w="5953"/>
      </w:tblGrid>
      <w:tr>
        <w:trPr>
          <w:cantSplit/>
          <w:tblHeader/>
        </w:trPr>
        <w:tc>
          <w:tcPr>
            <w:tcW w:w="992" w:type="dxa"/>
          </w:tcPr>
          <w:p>
            <w:pPr>
              <w:pStyle w:val="032-"/>
            </w:pPr>
            <w:r>
              <w:t xml:space="preserve">Этап</w:t>
            </w:r>
          </w:p>
        </w:tc>
        <w:tc>
          <w:tcPr>
            <w:tcW w:w="2976" w:type="dxa"/>
          </w:tcPr>
          <w:p>
            <w:pPr>
              <w:pStyle w:val="032-"/>
            </w:pPr>
            <w:r>
              <w:t xml:space="preserve">Наименование</w:t>
            </w:r>
          </w:p>
        </w:tc>
        <w:tc>
          <w:tcPr>
            <w:tcW w:w="5953" w:type="dxa"/>
          </w:tcPr>
          <w:p>
            <w:pPr>
              <w:pStyle w:val="032-"/>
            </w:pPr>
            <w:r>
              <w:t xml:space="preserve">Результат (критерий готовности)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0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Инфраструктура проекта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Требования, архитектура, ADR, репозиторий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1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Макеты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Утверждённые макеты экранов и состояний ячейки журнала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2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Скелет приложения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Развёртывание командой docker compose up, вход в Систему, сборка CI без ошибок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3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Справочники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Заведение предмета, группы из файла, отображение пустого журнала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4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Приём почты и хранение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Письмо из ящика за время не более 5 мин превращается в файл на Диске и ячейку журнала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5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Журнал и карточка сдачи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Ведение журнала полностью, без ИИ и уведомлений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6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ИИ-проверка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Стабильный результат на эталонном наборе работ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7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Уведомления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Письмо студенту уходит только после подтверждения преподавателя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8</w:t>
            </w:r>
          </w:p>
        </w:tc>
        <w:tc>
          <w:tcPr>
            <w:tcW w:w="2976" w:type="dxa"/>
          </w:tcPr>
          <w:p>
            <w:pPr>
              <w:pStyle w:val="033-"/>
            </w:pPr>
            <w:r>
              <w:t xml:space="preserve">Запуск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Работа на VPS, пилот на одной группе</w:t>
            </w:r>
          </w:p>
        </w:tc>
      </w:tr>
    </w:tbl>
    <w:p/>
    <w:p>
      <w:r>
        <w:br w:type="page"/>
      </w:r>
    </w:p>
    <w:p>
      <w:pPr>
        <w:pStyle w:val="1"/>
      </w:pPr>
      <w:bookmarkStart w:id="1009" w:name="_Toc00001009"/>
      <w:r>
        <w:t xml:space="preserve">Основные характеристики</w:t>
      </w:r>
      <w:bookmarkEnd w:id="1009"/>
    </w:p>
    <w:p>
      <w:pPr>
        <w:pStyle w:val="2"/>
      </w:pPr>
      <w:bookmarkStart w:id="1010" w:name="_Toc00001010"/>
      <w:r>
        <w:t xml:space="preserve">Функции Системы</w:t>
      </w:r>
      <w:bookmarkEnd w:id="1010"/>
    </w:p>
    <w:p>
      <w:r>
        <w:t xml:space="preserve">Функции Системы и соответствующие требования приведены в таблице </w:t>
      </w:r>
      <w:r>
        <w:fldChar w:fldCharType="begin"/>
      </w:r>
      <w:r>
        <w:instrText xml:space="preserve"> REF _Ref_tbl_func \h </w:instrText>
      </w:r>
      <w:r>
        <w:fldChar w:fldCharType="separate"/>
      </w:r>
      <w:r>
        <w:t xml:space="preserve">2.1.1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11" w:name="_Ref_tbl_func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2.1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11"/>
      <w:r>
        <w:t xml:space="preserve"> – </w:t>
      </w:r>
      <w:r>
        <w:t xml:space="preserve">Функции Системы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381"/>
        <w:gridCol w:w="5952"/>
        <w:gridCol w:w="1588"/>
      </w:tblGrid>
      <w:tr>
        <w:trPr>
          <w:cantSplit/>
          <w:tblHeader/>
        </w:trPr>
        <w:tc>
          <w:tcPr>
            <w:tcW w:w="2381" w:type="dxa"/>
          </w:tcPr>
          <w:p>
            <w:pPr>
              <w:pStyle w:val="032-"/>
            </w:pPr>
            <w:r>
              <w:t xml:space="preserve">Функция</w:t>
            </w:r>
          </w:p>
        </w:tc>
        <w:tc>
          <w:tcPr>
            <w:tcW w:w="5952" w:type="dxa"/>
          </w:tcPr>
          <w:p>
            <w:pPr>
              <w:pStyle w:val="032-"/>
            </w:pPr>
            <w:r>
              <w:t xml:space="preserve">Содержание</w:t>
            </w:r>
          </w:p>
        </w:tc>
        <w:tc>
          <w:tcPr>
            <w:tcW w:w="1588" w:type="dxa"/>
          </w:tcPr>
          <w:p>
            <w:pPr>
              <w:pStyle w:val="032-"/>
            </w:pPr>
            <w:r>
              <w:t xml:space="preserve">Требования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Приём почты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Чтение ящика по IMAP по расписанию (по умолчанию каждые 5 мин, отключаемо) и по кнопке «Проверить почту сейчас»; показ результата и статуса приёма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F1, F5, F6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Разбор темы письма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Определение группы, предмета, студента и одной или нескольких работ; сопоставление каждого файла письма с работой; нераспознанные письма и файлы — в очередь ручного сопоставления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F2, F4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Хранение файлов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Сохранение вложений PDF и DOCX на Яндекс Диск в папки предмета; повторная сдача — новая версия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F3, F7, F8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Извлечение текста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DOCX, PDF с текстовым слоем, PDF без текста — локальное OCR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F9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ИИ-проверка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Проверка по заданию и чек-листу, результат по JSON-схеме, предлагаемая оценка; отключаемо для предмета или работы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F10–F13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Журнал группы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Статусы работ, оценки, КР, экзамен или зачёт, автоматы, история комментариев, экспорт в Excel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F13a, F14, F16–F16b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Решение преподавателя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Карточка сдачи и быстрая отметка в ячейке журнала: «Лаба ОК», оценка, «На доработку», замечания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F15, F15a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Уведомления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Одно письмо на студента по предмету в семестре; отправка после предпросмотра и явного подтверждения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F17–F19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Администрирование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Справочники, задания, подключения, шаблоны писем, пользователи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F20, F21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Журналы системы</w:t>
            </w:r>
          </w:p>
        </w:tc>
        <w:tc>
          <w:tcPr>
            <w:tcW w:w="5952" w:type="dxa"/>
          </w:tcPr>
          <w:p>
            <w:pPr>
              <w:pStyle w:val="033-"/>
            </w:pPr>
            <w:r>
              <w:t xml:space="preserve">Журнал событий с лентой «Что ждёт от меня», журнал проверки работы</w:t>
            </w:r>
          </w:p>
        </w:tc>
        <w:tc>
          <w:tcPr>
            <w:tcW w:w="1588" w:type="dxa"/>
          </w:tcPr>
          <w:p>
            <w:pPr>
              <w:pStyle w:val="033-"/>
            </w:pPr>
            <w:r>
              <w:t xml:space="preserve">F22, F23</w:t>
            </w:r>
          </w:p>
        </w:tc>
      </w:tr>
    </w:tbl>
    <w:p/>
    <w:p>
      <w:pPr>
        <w:pStyle w:val="2"/>
      </w:pPr>
      <w:bookmarkStart w:id="1012" w:name="_Toc00001012"/>
      <w:r>
        <w:t xml:space="preserve">Архитектура</w:t>
      </w:r>
      <w:bookmarkEnd w:id="1012"/>
    </w:p>
    <w:p>
      <w:pPr>
        <w:pStyle w:val="3"/>
      </w:pPr>
      <w:bookmarkStart w:id="1013" w:name="_Toc00001013"/>
      <w:r>
        <w:t xml:space="preserve">Общая схема</w:t>
      </w:r>
      <w:bookmarkEnd w:id="1013"/>
    </w:p>
    <w:p>
      <w:r>
        <w:t xml:space="preserve">Система построена как модульный монолит: один процесс ASP.NET Core содержит веб-интерфейс и фоновые задачи Hangfire; данные и очередь задач хранятся в PostgreSQL. Взаимодействие компонентов Системы и внешних сервисов представлено на рисунке </w:t>
      </w:r>
      <w:r>
        <w:fldChar w:fldCharType="begin"/>
      </w:r>
      <w:r>
        <w:instrText xml:space="preserve"> REF _Ref_fig_arch \h </w:instrText>
      </w:r>
      <w:r>
        <w:fldChar w:fldCharType="separate"/>
      </w:r>
      <w:r>
        <w:t xml:space="preserve">2.2.1</w:t>
      </w:r>
      <w:r>
        <w:fldChar w:fldCharType="end"/>
      </w:r>
      <w:r>
        <w:t xml:space="preserve">.</w:t>
      </w:r>
    </w:p>
    <w:p xmlns:a="http://schemas.openxmlformats.org/drawingml/2006/main" xmlns:pic="http://schemas.openxmlformats.org/drawingml/2006/picture">
      <w:pPr>
        <w:pStyle w:val="022"/>
        <w:keepNext/>
      </w:pPr>
      <w:r>
        <w:drawing>
          <wp:inline distT="0" distB="0" distL="0" distR="0">
            <wp:extent cx="5399405" cy="4766936"/>
            <wp:docPr id="5001" name="Рисунок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1" name="fig1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47669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22"/>
      </w:pPr>
      <w:r>
        <w:t xml:space="preserve">Рисунок </w:t>
      </w:r>
      <w:bookmarkStart w:id="1014" w:name="_Ref_fig_arch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Рисунок_п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14"/>
      <w:r>
        <w:t xml:space="preserve"> – </w:t>
      </w:r>
      <w:r>
        <w:t xml:space="preserve">Архитектура Системы</w:t>
      </w:r>
    </w:p>
    <w:p>
      <w:pPr>
        <w:pStyle w:val="3"/>
      </w:pPr>
      <w:bookmarkStart w:id="1015" w:name="_Toc00001015"/>
      <w:r>
        <w:t xml:space="preserve">Состав программных компонентов</w:t>
      </w:r>
      <w:bookmarkEnd w:id="1015"/>
    </w:p>
    <w:p>
      <w:r>
        <w:t xml:space="preserve">Программные компоненты Системы приведены в таблице </w:t>
      </w:r>
      <w:r>
        <w:fldChar w:fldCharType="begin"/>
      </w:r>
      <w:r>
        <w:instrText xml:space="preserve"> REF _Ref_tbl_comp \h </w:instrText>
      </w:r>
      <w:r>
        <w:fldChar w:fldCharType="separate"/>
      </w:r>
      <w:r>
        <w:t xml:space="preserve">2.2.1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16" w:name="_Ref_tbl_comp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16"/>
      <w:r>
        <w:t xml:space="preserve"> – </w:t>
      </w:r>
      <w:r>
        <w:t xml:space="preserve">Программные компоненты Системы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777"/>
        <w:gridCol w:w="7144"/>
      </w:tblGrid>
      <w:tr>
        <w:trPr>
          <w:cantSplit/>
          <w:tblHeader/>
        </w:trPr>
        <w:tc>
          <w:tcPr>
            <w:tcW w:w="2777" w:type="dxa"/>
          </w:tcPr>
          <w:p>
            <w:pPr>
              <w:pStyle w:val="032-"/>
            </w:pPr>
            <w:r>
              <w:t xml:space="preserve">Компонент</w:t>
            </w:r>
          </w:p>
        </w:tc>
        <w:tc>
          <w:tcPr>
            <w:tcW w:w="7144" w:type="dxa"/>
          </w:tcPr>
          <w:p>
            <w:pPr>
              <w:pStyle w:val="032-"/>
            </w:pPr>
            <w:r>
              <w:t xml:space="preserve">Назначение</w:t>
            </w:r>
          </w:p>
        </w:tc>
      </w:tr>
      <w:tr>
        <w:trPr>
          <w:cantSplit/>
        </w:trPr>
        <w:tc>
          <w:tcPr>
            <w:tcW w:w="2777" w:type="dxa"/>
          </w:tcPr>
          <w:p>
            <w:pPr>
              <w:pStyle w:val="033-"/>
            </w:pPr>
            <w:r>
              <w:t xml:space="preserve">LabScaner.Web</w:t>
            </w:r>
          </w:p>
        </w:tc>
        <w:tc>
          <w:tcPr>
            <w:tcW w:w="7144" w:type="dxa"/>
          </w:tcPr>
          <w:p>
            <w:pPr>
              <w:pStyle w:val="033-"/>
            </w:pPr>
            <w:r>
              <w:t xml:space="preserve">Веб-интерфейс Razor Pages, эндпоинты htmx для частичного обновления страниц, аутентификация и роли (ASP.NET Core Identity), панель Hangfire Dashboard (только для администратора)</w:t>
            </w:r>
          </w:p>
        </w:tc>
      </w:tr>
      <w:tr>
        <w:trPr>
          <w:cantSplit/>
        </w:trPr>
        <w:tc>
          <w:tcPr>
            <w:tcW w:w="2777" w:type="dxa"/>
          </w:tcPr>
          <w:p>
            <w:pPr>
              <w:pStyle w:val="033-"/>
            </w:pPr>
            <w:r>
              <w:t xml:space="preserve">LabScaner.Core</w:t>
            </w:r>
          </w:p>
        </w:tc>
        <w:tc>
          <w:tcPr>
            <w:tcW w:w="7144" w:type="dxa"/>
          </w:tcPr>
          <w:p>
            <w:pPr>
              <w:pStyle w:val="033-"/>
            </w:pPr>
            <w:r>
              <w:t xml:space="preserve">Предметная область: сущности, статусы, правила (срок, автомат, разбор темы), интерфейсы портов к внешним сервисам</w:t>
            </w:r>
          </w:p>
        </w:tc>
      </w:tr>
      <w:tr>
        <w:trPr>
          <w:cantSplit/>
        </w:trPr>
        <w:tc>
          <w:tcPr>
            <w:tcW w:w="2777" w:type="dxa"/>
          </w:tcPr>
          <w:p>
            <w:pPr>
              <w:pStyle w:val="033-"/>
            </w:pPr>
            <w:r>
              <w:t xml:space="preserve">LabScaner.Infrastructure</w:t>
            </w:r>
          </w:p>
        </w:tc>
        <w:tc>
          <w:tcPr>
            <w:tcW w:w="7144" w:type="dxa"/>
          </w:tcPr>
          <w:p>
            <w:pPr>
              <w:pStyle w:val="033-"/>
            </w:pPr>
            <w:r>
              <w:t xml:space="preserve">Реализации портов: EF Core и миграции БД, MailKit (IMAP, SMTP), клиент Яндекс Диска, клиент LLM, извлечение текста (OpenXml, PdfPig), OCR (Tesseract)</w:t>
            </w:r>
          </w:p>
        </w:tc>
      </w:tr>
      <w:tr>
        <w:trPr>
          <w:cantSplit/>
        </w:trPr>
        <w:tc>
          <w:tcPr>
            <w:tcW w:w="2777" w:type="dxa"/>
          </w:tcPr>
          <w:p>
            <w:pPr>
              <w:pStyle w:val="033-"/>
            </w:pPr>
            <w:r>
              <w:t xml:space="preserve">LabScaner.Jobs</w:t>
            </w:r>
          </w:p>
        </w:tc>
        <w:tc>
          <w:tcPr>
            <w:tcW w:w="7144" w:type="dxa"/>
          </w:tcPr>
          <w:p>
            <w:pPr>
              <w:pStyle w:val="033-"/>
            </w:pPr>
            <w:r>
              <w:t xml:space="preserve">Задачи конвейера обработки письма на Hangfire (допускается объединение с LabScaner.Infrastructure)</w:t>
            </w:r>
          </w:p>
        </w:tc>
      </w:tr>
      <w:tr>
        <w:trPr>
          <w:cantSplit/>
        </w:trPr>
        <w:tc>
          <w:tcPr>
            <w:tcW w:w="2777" w:type="dxa"/>
          </w:tcPr>
          <w:p>
            <w:pPr>
              <w:pStyle w:val="033-"/>
            </w:pPr>
            <w:r>
              <w:t xml:space="preserve">PostgreSQL 17</w:t>
            </w:r>
          </w:p>
        </w:tc>
        <w:tc>
          <w:tcPr>
            <w:tcW w:w="7144" w:type="dxa"/>
          </w:tcPr>
          <w:p>
            <w:pPr>
              <w:pStyle w:val="033-"/>
            </w:pPr>
            <w:r>
              <w:t xml:space="preserve">Данные Системы и очередь фоновых задач Hangfire</w:t>
            </w:r>
          </w:p>
        </w:tc>
      </w:tr>
    </w:tbl>
    <w:p/>
    <w:p>
      <w:r>
        <w:t xml:space="preserve">Внешние сервисы подключаются только через порты, объявленные в LabScaner.Core: IMailInbox, IMailSender, IFileStorage, ITextExtractor, IOcrEngine, ILlmClient, IClock. В тестах порты заменяются фейковыми реализациями.</w:t>
      </w:r>
    </w:p>
    <w:p>
      <w:pPr>
        <w:pStyle w:val="3"/>
      </w:pPr>
      <w:bookmarkStart w:id="1017" w:name="_Toc00001017"/>
      <w:r>
        <w:t xml:space="preserve">Структура решения</w:t>
      </w:r>
      <w:bookmarkEnd w:id="1017"/>
    </w:p>
    <w:p>
      <w:r>
        <w:t xml:space="preserve">Структура исходного кода решения:</w:t>
      </w:r>
    </w:p>
    <w:p>
      <w:pPr>
        <w:pStyle w:val="021"/>
      </w:pPr>
      <w:r>
        <w:t xml:space="preserve">labScaner/</w:t>
      </w:r>
    </w:p>
    <w:p>
      <w:pPr>
        <w:pStyle w:val="021"/>
      </w:pPr>
      <w:r>
        <w:t xml:space="preserve">  src/</w:t>
      </w:r>
    </w:p>
    <w:p>
      <w:pPr>
        <w:pStyle w:val="021"/>
      </w:pPr>
      <w:r>
        <w:t xml:space="preserve">    LabScaner.Web/</w:t>
      </w:r>
    </w:p>
    <w:p>
      <w:pPr>
        <w:pStyle w:val="021"/>
      </w:pPr>
      <w:r>
        <w:t xml:space="preserve">    LabScaner.Core/</w:t>
      </w:r>
    </w:p>
    <w:p>
      <w:pPr>
        <w:pStyle w:val="021"/>
      </w:pPr>
      <w:r>
        <w:t xml:space="preserve">    LabScaner.Infrastructure/</w:t>
      </w:r>
    </w:p>
    <w:p>
      <w:pPr>
        <w:pStyle w:val="021"/>
      </w:pPr>
      <w:r>
        <w:t xml:space="preserve">    LabScaner.Jobs/</w:t>
      </w:r>
    </w:p>
    <w:p>
      <w:pPr>
        <w:pStyle w:val="021"/>
      </w:pPr>
      <w:r>
        <w:t xml:space="preserve">  tests/</w:t>
      </w:r>
    </w:p>
    <w:p>
      <w:pPr>
        <w:pStyle w:val="021"/>
      </w:pPr>
      <w:r>
        <w:t xml:space="preserve">    LabScaner.Core.Tests/</w:t>
      </w:r>
    </w:p>
    <w:p>
      <w:pPr>
        <w:pStyle w:val="021"/>
      </w:pPr>
      <w:r>
        <w:t xml:space="preserve">    LabScaner.Integration.Tests/</w:t>
      </w:r>
    </w:p>
    <w:p>
      <w:pPr>
        <w:pStyle w:val="021"/>
      </w:pPr>
      <w:r>
        <w:t xml:space="preserve">    LabScaner.E2E.Tests/</w:t>
      </w:r>
    </w:p>
    <w:p>
      <w:pPr>
        <w:pStyle w:val="021"/>
      </w:pPr>
      <w:r>
        <w:t xml:space="preserve">    fixtures/</w:t>
      </w:r>
    </w:p>
    <w:p>
      <w:pPr>
        <w:pStyle w:val="021"/>
      </w:pPr>
      <w:r>
        <w:t xml:space="preserve">  deploy/</w:t>
      </w:r>
    </w:p>
    <w:p>
      <w:pPr>
        <w:pStyle w:val="021"/>
      </w:pPr>
      <w:r>
        <w:t xml:space="preserve">  docs/</w:t>
      </w:r>
    </w:p>
    <w:p>
      <w:pPr>
        <w:pStyle w:val="021"/>
      </w:pPr>
      <w:r>
        <w:t xml:space="preserve">  .github/workflows/</w:t>
      </w:r>
    </w:p>
    <w:p>
      <w:r>
        <w:t xml:space="preserve">Каталог tests содержит модульные тесты, интеграционные тесты с PostgreSQL в Testcontainers и фейковыми внешними сервисами, сквозные тесты Playwright и образцы писем (.eml), PDF и DOCX. Каталог deploy содержит docker-compose.yml, Caddyfile и .env.example.</w:t>
      </w:r>
    </w:p>
    <w:p>
      <w:pPr>
        <w:pStyle w:val="3"/>
      </w:pPr>
      <w:bookmarkStart w:id="1018" w:name="_Toc00001018"/>
      <w:r>
        <w:t xml:space="preserve">Разделение данных преподавателей</w:t>
      </w:r>
      <w:bookmarkEnd w:id="1018"/>
    </w:p>
    <w:p>
      <w:r>
        <w:t xml:space="preserve">Данные изолированы по преподавателю глобальным фильтром запросов EF Core по полю teacher_id (ADR-016). Разделение данных приведено в таблице </w:t>
      </w:r>
      <w:r>
        <w:fldChar w:fldCharType="begin"/>
      </w:r>
      <w:r>
        <w:instrText xml:space="preserve"> REF _Ref_tbl_tenant \h </w:instrText>
      </w:r>
      <w:r>
        <w:fldChar w:fldCharType="separate"/>
      </w:r>
      <w:r>
        <w:t xml:space="preserve">2.2.2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19" w:name="_Ref_tbl_tenant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2.2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2</w:t>
      </w:r>
      <w:r>
        <w:fldChar w:fldCharType="end"/>
      </w:r>
      <w:bookmarkEnd w:id="1019"/>
      <w:r>
        <w:t xml:space="preserve"> – </w:t>
      </w:r>
      <w:r>
        <w:t xml:space="preserve">Принадлежность данных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976"/>
        <w:gridCol w:w="6945"/>
      </w:tblGrid>
      <w:tr>
        <w:trPr>
          <w:cantSplit/>
          <w:tblHeader/>
        </w:trPr>
        <w:tc>
          <w:tcPr>
            <w:tcW w:w="2976" w:type="dxa"/>
          </w:tcPr>
          <w:p>
            <w:pPr>
              <w:pStyle w:val="032-"/>
            </w:pPr>
            <w:r>
              <w:t xml:space="preserve">Принадлежность</w:t>
            </w:r>
          </w:p>
        </w:tc>
        <w:tc>
          <w:tcPr>
            <w:tcW w:w="6945" w:type="dxa"/>
          </w:tcPr>
          <w:p>
            <w:pPr>
              <w:pStyle w:val="032-"/>
            </w:pPr>
            <w:r>
              <w:t xml:space="preserve">Данные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Преподаватель</w:t>
            </w:r>
          </w:p>
        </w:tc>
        <w:tc>
          <w:tcPr>
            <w:tcW w:w="6945" w:type="dxa"/>
          </w:tcPr>
          <w:p>
            <w:pPr>
              <w:pStyle w:val="033-"/>
            </w:pPr>
            <w:r>
              <w:t xml:space="preserve">Предметы и всё, что к ним относится: предметы в семестре, работы, сдачи, решения, комментарии, уведомления; входящие письма; подключения (почтовый ящик IMAP/SMTP, токен Яндекс Диска); шаблоны писем; задачи «Что ждёт от меня»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Общие для Системы</w:t>
            </w:r>
          </w:p>
        </w:tc>
        <w:tc>
          <w:tcPr>
            <w:tcW w:w="6945" w:type="dxa"/>
          </w:tcPr>
          <w:p>
            <w:pPr>
              <w:pStyle w:val="033-"/>
            </w:pPr>
            <w:r>
              <w:t xml:space="preserve">Группы и студенты, учебный календарь (зачётная неделя, сессия), настройки LLM (адрес шлюза, ключ, модель, лимиты)</w:t>
            </w:r>
          </w:p>
        </w:tc>
      </w:tr>
    </w:tbl>
    <w:p/>
    <w:p>
      <w:r>
        <w:t xml:space="preserve">Конвейер обрабатывает каждый подключённый почтовый ящик отдельно; предмет по письму ищется только среди предметов владельца ящика. Коды предметов уникальны в пределах преподавателя.</w:t>
      </w:r>
    </w:p>
    <w:p>
      <w:pPr>
        <w:pStyle w:val="2"/>
      </w:pPr>
      <w:bookmarkStart w:id="1020" w:name="_Toc00001020"/>
      <w:r>
        <w:t xml:space="preserve">Логика работы</w:t>
      </w:r>
      <w:bookmarkEnd w:id="1020"/>
    </w:p>
    <w:p>
      <w:pPr>
        <w:pStyle w:val="3"/>
      </w:pPr>
      <w:bookmarkStart w:id="1021" w:name="_Toc00001021"/>
      <w:r>
        <w:t xml:space="preserve">Конвейер обработки письма</w:t>
      </w:r>
      <w:bookmarkEnd w:id="1021"/>
    </w:p>
    <w:p>
      <w:r>
        <w:t xml:space="preserve">Обработка письма выполняется последовательностью фоновых задач Hangfire. Состояние каждой сдачи хранится в БД, поэтому любой шаг повторяется без потери данных. Последовательность шагов представлена на рисунке </w:t>
      </w:r>
      <w:r>
        <w:fldChar w:fldCharType="begin"/>
      </w:r>
      <w:r>
        <w:instrText xml:space="preserve"> REF _Ref_fig_pipe \h </w:instrText>
      </w:r>
      <w:r>
        <w:fldChar w:fldCharType="separate"/>
      </w:r>
      <w:r>
        <w:t xml:space="preserve">2.3.1</w:t>
      </w:r>
      <w:r>
        <w:fldChar w:fldCharType="end"/>
      </w:r>
      <w:r>
        <w:t xml:space="preserve">, содержание шагов — в таблице </w:t>
      </w:r>
      <w:r>
        <w:fldChar w:fldCharType="begin"/>
      </w:r>
      <w:r>
        <w:instrText xml:space="preserve"> REF _Ref_tbl_pipe \h </w:instrText>
      </w:r>
      <w:r>
        <w:fldChar w:fldCharType="separate"/>
      </w:r>
      <w:r>
        <w:t xml:space="preserve">2.3.1</w:t>
      </w:r>
      <w:r>
        <w:fldChar w:fldCharType="end"/>
      </w:r>
      <w:r>
        <w:t xml:space="preserve">.</w:t>
      </w:r>
    </w:p>
    <w:p xmlns:a="http://schemas.openxmlformats.org/drawingml/2006/main" xmlns:pic="http://schemas.openxmlformats.org/drawingml/2006/picture">
      <w:pPr>
        <w:pStyle w:val="022"/>
        <w:keepNext/>
      </w:pPr>
      <w:r>
        <w:drawing>
          <wp:inline distT="0" distB="0" distL="0" distR="0">
            <wp:extent cx="5399405" cy="3222010"/>
            <wp:docPr id="5002" name="Рисунок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5002" name="fig2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5399405" cy="322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022"/>
      </w:pPr>
      <w:r>
        <w:t xml:space="preserve">Рисунок </w:t>
      </w:r>
      <w:bookmarkStart w:id="1022" w:name="_Ref_fig_pipe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2.3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Рисунок_п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22"/>
      <w:r>
        <w:t xml:space="preserve"> – </w:t>
      </w:r>
      <w:r>
        <w:t xml:space="preserve">Конвейер обработки письма</w:t>
      </w:r>
    </w:p>
    <w:p>
      <w:pPr>
        <w:pStyle w:val="031-"/>
      </w:pPr>
      <w:r>
        <w:t xml:space="preserve">Таблица </w:t>
      </w:r>
      <w:bookmarkStart w:id="1023" w:name="_Ref_tbl_pipe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2.3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23"/>
      <w:r>
        <w:t xml:space="preserve"> – </w:t>
      </w:r>
      <w:r>
        <w:t xml:space="preserve">Шаги конвейера обработки письма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595"/>
        <w:gridCol w:w="2480"/>
        <w:gridCol w:w="4266"/>
        <w:gridCol w:w="2580"/>
      </w:tblGrid>
      <w:tr>
        <w:trPr>
          <w:cantSplit/>
          <w:tblHeader/>
        </w:trPr>
        <w:tc>
          <w:tcPr>
            <w:tcW w:w="595" w:type="dxa"/>
          </w:tcPr>
          <w:p>
            <w:pPr>
              <w:pStyle w:val="032-"/>
            </w:pPr>
            <w:r>
              <w:t xml:space="preserve">№</w:t>
            </w:r>
          </w:p>
        </w:tc>
        <w:tc>
          <w:tcPr>
            <w:tcW w:w="2480" w:type="dxa"/>
          </w:tcPr>
          <w:p>
            <w:pPr>
              <w:pStyle w:val="032-"/>
            </w:pPr>
            <w:r>
              <w:t xml:space="preserve">Шаг</w:t>
            </w:r>
          </w:p>
        </w:tc>
        <w:tc>
          <w:tcPr>
            <w:tcW w:w="4266" w:type="dxa"/>
          </w:tcPr>
          <w:p>
            <w:pPr>
              <w:pStyle w:val="032-"/>
            </w:pPr>
            <w:r>
              <w:t xml:space="preserve">Вход → выход</w:t>
            </w:r>
          </w:p>
        </w:tc>
        <w:tc>
          <w:tcPr>
            <w:tcW w:w="2580" w:type="dxa"/>
          </w:tcPr>
          <w:p>
            <w:pPr>
              <w:pStyle w:val="032-"/>
            </w:pPr>
            <w:r>
              <w:t xml:space="preserve">Статус сдачи после шага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pStyle w:val="033-"/>
            </w:pPr>
            <w:r>
              <w:t xml:space="preserve">1</w:t>
            </w:r>
          </w:p>
        </w:tc>
        <w:tc>
          <w:tcPr>
            <w:tcW w:w="2480" w:type="dxa"/>
          </w:tcPr>
          <w:p>
            <w:pPr>
              <w:pStyle w:val="033-"/>
            </w:pPr>
            <w:r>
              <w:t xml:space="preserve">PollInboxJob</w:t>
            </w:r>
          </w:p>
        </w:tc>
        <w:tc>
          <w:tcPr>
            <w:tcW w:w="4266" w:type="dxa"/>
          </w:tcPr>
          <w:p>
            <w:pPr>
              <w:pStyle w:val="033-"/>
            </w:pPr>
            <w:r>
              <w:t xml:space="preserve">IMAP → InboxMessage и InboxAttachment (заголовки, вложения во временной папке Диска); по расписанию или вручную</w:t>
            </w:r>
          </w:p>
        </w:tc>
        <w:tc>
          <w:tcPr>
            <w:tcW w:w="2580" w:type="dxa"/>
          </w:tcPr>
          <w:p>
            <w:pPr>
              <w:pStyle w:val="033-"/>
            </w:pPr>
            <w:r>
              <w:t xml:space="preserve">—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pStyle w:val="033-"/>
            </w:pPr>
            <w:r>
              <w:t xml:space="preserve">2</w:t>
            </w:r>
          </w:p>
        </w:tc>
        <w:tc>
          <w:tcPr>
            <w:tcW w:w="2480" w:type="dxa"/>
          </w:tcPr>
          <w:p>
            <w:pPr>
              <w:pStyle w:val="033-"/>
            </w:pPr>
            <w:r>
              <w:t xml:space="preserve">ParseMessageJob</w:t>
            </w:r>
          </w:p>
        </w:tc>
        <w:tc>
          <w:tcPr>
            <w:tcW w:w="4266" w:type="dxa"/>
          </w:tcPr>
          <w:p>
            <w:pPr>
              <w:pStyle w:val="033-"/>
            </w:pPr>
            <w:r>
              <w:t xml:space="preserve">Тема → группа, предмет, студент, набор работ; каждый файл → работа; по одной Submission на работу; несопоставленные файлы → «Нераспознанные»</w:t>
            </w:r>
          </w:p>
        </w:tc>
        <w:tc>
          <w:tcPr>
            <w:tcW w:w="2580" w:type="dxa"/>
          </w:tcPr>
          <w:p>
            <w:pPr>
              <w:pStyle w:val="033-"/>
            </w:pPr>
            <w:r>
              <w:t xml:space="preserve">Received / письмо Unrecognized или PartiallyParsed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pStyle w:val="033-"/>
            </w:pPr>
            <w:r>
              <w:t xml:space="preserve">3</w:t>
            </w:r>
          </w:p>
        </w:tc>
        <w:tc>
          <w:tcPr>
            <w:tcW w:w="2480" w:type="dxa"/>
          </w:tcPr>
          <w:p>
            <w:pPr>
              <w:pStyle w:val="033-"/>
            </w:pPr>
            <w:r>
              <w:t xml:space="preserve">StoreFilesJob</w:t>
            </w:r>
          </w:p>
        </w:tc>
        <w:tc>
          <w:tcPr>
            <w:tcW w:w="4266" w:type="dxa"/>
          </w:tcPr>
          <w:p>
            <w:pPr>
              <w:pStyle w:val="033-"/>
            </w:pPr>
            <w:r>
              <w:t xml:space="preserve">Временная папка → постоянная папка предмета; запись SubmissionFile</w:t>
            </w:r>
          </w:p>
        </w:tc>
        <w:tc>
          <w:tcPr>
            <w:tcW w:w="2580" w:type="dxa"/>
          </w:tcPr>
          <w:p>
            <w:pPr>
              <w:pStyle w:val="033-"/>
            </w:pPr>
            <w:r>
              <w:t xml:space="preserve">Stored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pStyle w:val="033-"/>
            </w:pPr>
            <w:r>
              <w:t xml:space="preserve">4</w:t>
            </w:r>
          </w:p>
        </w:tc>
        <w:tc>
          <w:tcPr>
            <w:tcW w:w="2480" w:type="dxa"/>
          </w:tcPr>
          <w:p>
            <w:pPr>
              <w:pStyle w:val="033-"/>
            </w:pPr>
            <w:r>
              <w:t xml:space="preserve">ExtractTextJob</w:t>
            </w:r>
          </w:p>
        </w:tc>
        <w:tc>
          <w:tcPr>
            <w:tcW w:w="4266" w:type="dxa"/>
          </w:tcPr>
          <w:p>
            <w:pPr>
              <w:pStyle w:val="033-"/>
            </w:pPr>
            <w:r>
              <w:t xml:space="preserve">DOCX — OpenXml; PDF — PdfPig; PDF без текста — растр и Tesseract</w:t>
            </w:r>
          </w:p>
        </w:tc>
        <w:tc>
          <w:tcPr>
            <w:tcW w:w="2580" w:type="dxa"/>
          </w:tcPr>
          <w:p>
            <w:pPr>
              <w:pStyle w:val="033-"/>
            </w:pPr>
            <w:r>
              <w:t xml:space="preserve">TextReady / NeedsManual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pStyle w:val="033-"/>
            </w:pPr>
            <w:r>
              <w:t xml:space="preserve">5</w:t>
            </w:r>
          </w:p>
        </w:tc>
        <w:tc>
          <w:tcPr>
            <w:tcW w:w="2480" w:type="dxa"/>
          </w:tcPr>
          <w:p>
            <w:pPr>
              <w:pStyle w:val="033-"/>
            </w:pPr>
            <w:r>
              <w:t xml:space="preserve">AiCheckJob</w:t>
            </w:r>
          </w:p>
        </w:tc>
        <w:tc>
          <w:tcPr>
            <w:tcW w:w="4266" w:type="dxa"/>
          </w:tcPr>
          <w:p>
            <w:pPr>
              <w:pStyle w:val="033-"/>
            </w:pPr>
            <w:r>
              <w:t xml:space="preserve">Обезличенный текст, задание, чек-лист → AiCheck; пропускается, если ИИ выключен</w:t>
            </w:r>
          </w:p>
        </w:tc>
        <w:tc>
          <w:tcPr>
            <w:tcW w:w="2580" w:type="dxa"/>
          </w:tcPr>
          <w:p>
            <w:pPr>
              <w:pStyle w:val="033-"/>
            </w:pPr>
            <w:r>
              <w:t xml:space="preserve">AiChecked / AiFailed / AwaitingReview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pStyle w:val="033-"/>
            </w:pPr>
            <w:r>
              <w:t xml:space="preserve">6</w:t>
            </w:r>
          </w:p>
        </w:tc>
        <w:tc>
          <w:tcPr>
            <w:tcW w:w="2480" w:type="dxa"/>
          </w:tcPr>
          <w:p>
            <w:pPr>
              <w:pStyle w:val="033-"/>
            </w:pPr>
            <w:r>
              <w:t xml:space="preserve">Решение преподавателя</w:t>
            </w:r>
          </w:p>
        </w:tc>
        <w:tc>
          <w:tcPr>
            <w:tcW w:w="4266" w:type="dxa"/>
          </w:tcPr>
          <w:p>
            <w:pPr>
              <w:pStyle w:val="033-"/>
            </w:pPr>
            <w:r>
              <w:t xml:space="preserve">Review: принято или на доработку, оценка, замечания, флажок «отправить уведомление»</w:t>
            </w:r>
          </w:p>
        </w:tc>
        <w:tc>
          <w:tcPr>
            <w:tcW w:w="2580" w:type="dxa"/>
          </w:tcPr>
          <w:p>
            <w:pPr>
              <w:pStyle w:val="033-"/>
            </w:pPr>
            <w:r>
              <w:t xml:space="preserve">Accepted / Returned</w:t>
            </w:r>
          </w:p>
        </w:tc>
      </w:tr>
      <w:tr>
        <w:trPr>
          <w:cantSplit/>
        </w:trPr>
        <w:tc>
          <w:tcPr>
            <w:tcW w:w="595" w:type="dxa"/>
          </w:tcPr>
          <w:p>
            <w:pPr>
              <w:pStyle w:val="033-"/>
            </w:pPr>
            <w:r>
              <w:t xml:space="preserve">7</w:t>
            </w:r>
          </w:p>
        </w:tc>
        <w:tc>
          <w:tcPr>
            <w:tcW w:w="2480" w:type="dxa"/>
          </w:tcPr>
          <w:p>
            <w:pPr>
              <w:pStyle w:val="033-"/>
            </w:pPr>
            <w:r>
              <w:t xml:space="preserve">SendNotificationJob</w:t>
            </w:r>
          </w:p>
        </w:tc>
        <w:tc>
          <w:tcPr>
            <w:tcW w:w="4266" w:type="dxa"/>
          </w:tcPr>
          <w:p>
            <w:pPr>
              <w:pStyle w:val="033-"/>
            </w:pPr>
            <w:r>
              <w:t xml:space="preserve">Notification → SMTP, только после явной отправки преподавателем</w:t>
            </w:r>
          </w:p>
        </w:tc>
        <w:tc>
          <w:tcPr>
            <w:tcW w:w="2580" w:type="dxa"/>
          </w:tcPr>
          <w:p>
            <w:pPr>
              <w:pStyle w:val="033-"/>
            </w:pPr>
            <w:r>
              <w:t xml:space="preserve">— (отметка в журнале)</w:t>
            </w:r>
          </w:p>
        </w:tc>
      </w:tr>
    </w:tbl>
    <w:p/>
    <w:p>
      <w:r>
        <w:t xml:space="preserve">Каждый шаг фиксируется в журнале проверки работы (ProcessingStep) со статусом (ожидает, выполняется, готово, ошибка, пропущен), временем начала и окончания, числом попыток и текстом ошибки.</w:t>
      </w:r>
    </w:p>
    <w:p>
      <w:r>
        <w:t xml:space="preserve">Правила надёжности конвейера:</w:t>
      </w:r>
    </w:p>
    <w:p>
      <w:pPr>
        <w:pStyle w:val="05011"/>
      </w:pPr>
      <w:r>
        <w:t xml:space="preserve">обработка идемпотентна по заголовку Message-ID письма и номеру вложения: уникальные индексы в БД исключают дубли при повторном прогоне; каждая задача проверяет текущий статус перед выполнением (F5);</w:t>
      </w:r>
    </w:p>
    <w:p>
      <w:pPr>
        <w:pStyle w:val="05011"/>
      </w:pPr>
      <w:r>
        <w:t xml:space="preserve">обработанное письмо помечается в почтовом ящике флагом или переносом в папку;</w:t>
      </w:r>
    </w:p>
    <w:p>
      <w:pPr>
        <w:pStyle w:val="05011"/>
      </w:pPr>
      <w:r>
        <w:t xml:space="preserve">повторы с нарастающей задержкой выполняются только для временных сбоев: сеть, таймаут, недоступность почты, Яндекс Диска или LLM (ADR-021);</w:t>
      </w:r>
    </w:p>
    <w:p>
      <w:pPr>
        <w:pStyle w:val="05011"/>
      </w:pPr>
      <w:r>
        <w:t xml:space="preserve">отсутствие текста после OCR — штатная ситуация: статус «Нужна ручная проверка» без повторов;</w:t>
      </w:r>
    </w:p>
    <w:p>
      <w:pPr>
        <w:pStyle w:val="05011"/>
      </w:pPr>
      <w:r>
        <w:t xml:space="preserve">сбой одного внешнего сервиса не останавливает обработку остальных писем (НФ4).</w:t>
      </w:r>
    </w:p>
    <w:p>
      <w:pPr>
        <w:pStyle w:val="3"/>
      </w:pPr>
      <w:bookmarkStart w:id="1024" w:name="_Toc00001024"/>
      <w:r>
        <w:t xml:space="preserve">Разбор темы письма</w:t>
      </w:r>
      <w:bookmarkEnd w:id="1024"/>
    </w:p>
    <w:p>
      <w:r>
        <w:t xml:space="preserve">Тема письма имеет формат (ADR-010):</w:t>
      </w:r>
    </w:p>
    <w:p>
      <w:pPr>
        <w:pStyle w:val="021"/>
      </w:pPr>
      <w:r>
        <w:t xml:space="preserve">{Группа} – {Предмет} – {ФИО} – Лаб №{номер}</w:t>
      </w:r>
    </w:p>
    <w:p>
      <w:pPr>
        <w:pStyle w:val="021"/>
      </w:pPr>
      <w:r>
        <w:t xml:space="preserve">{Группа} – {Предмет} – {ФИО} – Курсовая</w:t>
      </w:r>
    </w:p>
    <w:p>
      <w:r>
        <w:t xml:space="preserve">Пример: «ИСТ-41 – КорпИС – Иванов Иван Иванович – Лаб №3».</w:t>
      </w:r>
    </w:p>
    <w:p>
      <w:r>
        <w:t xml:space="preserve">Правила разбора:</w:t>
      </w:r>
    </w:p>
    <w:p>
      <w:pPr>
        <w:pStyle w:val="05011"/>
      </w:pPr>
      <w:r>
        <w:t xml:space="preserve">разделитель — тире «–», «—» или дефис «-» с пробелами с обеих сторон; дефис без пробелов относится к названию группы или двойной фамилии;</w:t>
      </w:r>
    </w:p>
    <w:p>
      <w:pPr>
        <w:pStyle w:val="05011"/>
      </w:pPr>
      <w:r>
        <w:t xml:space="preserve">префиксы «Re:», «Fwd:», «Fw:», «[SPAM]» отбрасываются; закодированные темы (Base64, windows-1251) декодируются;</w:t>
      </w:r>
    </w:p>
    <w:p>
      <w:pPr>
        <w:pStyle w:val="05011"/>
      </w:pPr>
      <w:r>
        <w:t xml:space="preserve">предмет определяется по коду и списку допустимых написаний без учёта регистра;</w:t>
      </w:r>
    </w:p>
    <w:p>
      <w:pPr>
        <w:pStyle w:val="05011"/>
      </w:pPr>
      <w:r>
        <w:t xml:space="preserve">варианты «Лаб №3», «Лаб № 3», «Лаб.3», «Лаб 3», «ЛР3», «Лабораторная 3» означают ЛР № 3; «Курсовая», «КР», «Курсовой проект» — КР;</w:t>
      </w:r>
    </w:p>
    <w:p>
      <w:pPr>
        <w:pStyle w:val="05011"/>
      </w:pPr>
      <w:r>
        <w:t xml:space="preserve">ФИО принимается полностью или в виде «Фамилия И.О.», буквы «ё» и «е» не различаются; студент ищется в указанной группе, при неудаче или неоднозначности — по адресу отправителя;</w:t>
      </w:r>
    </w:p>
    <w:p>
      <w:pPr>
        <w:pStyle w:val="05011"/>
      </w:pPr>
      <w:r>
        <w:t xml:space="preserve">при нарушении разделителей группа и предмет ищутся по словарю известных значений;</w:t>
      </w:r>
    </w:p>
    <w:p>
      <w:pPr>
        <w:pStyle w:val="05011"/>
      </w:pPr>
      <w:r>
        <w:t xml:space="preserve">письмо, которое не удалось разобрать, попадает в очередь «Нераспознанные» с указанием причины («не найден предмет», «студент не найден в группе», «нет вложений»); преподаватель сопоставляет его вручную (предмет → группа → студент → работа) или игнорирует.</w:t>
      </w:r>
    </w:p>
    <w:p>
      <w:r>
        <w:t xml:space="preserve">Вложения PDF и DOCX обрабатываются; прочие форматы фиксируются предупреждением в журнале событий (F3).</w:t>
      </w:r>
    </w:p>
    <w:p>
      <w:pPr>
        <w:pStyle w:val="3"/>
      </w:pPr>
      <w:bookmarkStart w:id="1025" w:name="_Toc00001025"/>
      <w:r>
        <w:t xml:space="preserve">Несколько работ в одном письме</w:t>
      </w:r>
      <w:bookmarkEnd w:id="1025"/>
    </w:p>
    <w:p>
      <w:r>
        <w:t xml:space="preserve">Студент отправляет несколько ЛР одним письмом: одна тема, несколько файлов с разными именами (ADR-022). Каждая ЛР раскладывается, проверяется и принимается отдельно.</w:t>
      </w:r>
    </w:p>
    <w:p>
      <w:r>
        <w:t xml:space="preserve">В теме работа указывается списком или диапазоном: «Лаб №3, 4», «Лаб №3 и 4», «ЛР 3,4,5», «Лаб 3-5», «Лаб №3, Лаб №4». Тема разбирается в набор номеров ЛР. Если номеров в теме нет, а группа, предмет и студент распознаны, номера определяются по файлам.</w:t>
      </w:r>
    </w:p>
    <w:p>
      <w:r>
        <w:t xml:space="preserve">Работа для каждого файла определяется по правилам в следующем порядке (применяется первое сработавшее правило):</w:t>
      </w:r>
    </w:p>
    <w:p>
      <w:pPr>
        <w:pStyle w:val="04011"/>
        <w:numPr>
          <w:ilvl w:val="0"/>
          <w:numId w:val="900"/>
        </w:numPr>
      </w:pPr>
      <w:r>
        <w:t xml:space="preserve">Номер в имени файла: «лаб3», «Лаб_03», «lab-3», «ЛР3», «лабораторная 3», «3.docx».</w:t>
      </w:r>
    </w:p>
    <w:p>
      <w:pPr>
        <w:pStyle w:val="04011"/>
        <w:numPr>
          <w:ilvl w:val="0"/>
          <w:numId w:val="900"/>
        </w:numPr>
      </w:pPr>
      <w:r>
        <w:t xml:space="preserve">Заголовок «Лабораторная работа №N» в начале документа (первые 1500 символов текста).</w:t>
      </w:r>
    </w:p>
    <w:p>
      <w:pPr>
        <w:pStyle w:val="04011"/>
        <w:numPr>
          <w:ilvl w:val="0"/>
          <w:numId w:val="900"/>
        </w:numPr>
      </w:pPr>
      <w:r>
        <w:t xml:space="preserve">Исключение: если после правил 1–2 остались одна ЛР из темы и один файл, файл относится к этой ЛР.</w:t>
      </w:r>
    </w:p>
    <w:p>
      <w:pPr>
        <w:pStyle w:val="04011"/>
        <w:numPr>
          <w:ilvl w:val="0"/>
          <w:numId w:val="900"/>
        </w:numPr>
      </w:pPr>
      <w:r>
        <w:t xml:space="preserve">Если в теме указана одна ЛР, все файлы письма относятся к ней (отчёт и приложения).</w:t>
      </w:r>
    </w:p>
    <w:p>
      <w:r>
        <w:t xml:space="preserve">Способы сопоставления файла с работой приведены в таблице </w:t>
      </w:r>
      <w:r>
        <w:fldChar w:fldCharType="begin"/>
      </w:r>
      <w:r>
        <w:instrText xml:space="preserve"> REF _Ref_tbl_match \h </w:instrText>
      </w:r>
      <w:r>
        <w:fldChar w:fldCharType="separate"/>
      </w:r>
      <w:r>
        <w:t xml:space="preserve">2.3.2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26" w:name="_Ref_tbl_match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2.3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2</w:t>
      </w:r>
      <w:r>
        <w:fldChar w:fldCharType="end"/>
      </w:r>
      <w:bookmarkEnd w:id="1026"/>
      <w:r>
        <w:t xml:space="preserve"> – </w:t>
      </w:r>
      <w:r>
        <w:t xml:space="preserve">Способы сопоставления файла с работой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182"/>
        <w:gridCol w:w="7739"/>
      </w:tblGrid>
      <w:tr>
        <w:trPr>
          <w:cantSplit/>
          <w:tblHeader/>
        </w:trPr>
        <w:tc>
          <w:tcPr>
            <w:tcW w:w="2182" w:type="dxa"/>
          </w:tcPr>
          <w:p>
            <w:pPr>
              <w:pStyle w:val="032-"/>
            </w:pPr>
            <w:r>
              <w:t xml:space="preserve">Способ (match_method)</w:t>
            </w:r>
          </w:p>
        </w:tc>
        <w:tc>
          <w:tcPr>
            <w:tcW w:w="7739" w:type="dxa"/>
          </w:tcPr>
          <w:p>
            <w:pPr>
              <w:pStyle w:val="032-"/>
            </w:pPr>
            <w:r>
              <w:t xml:space="preserve">Условие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033-"/>
            </w:pPr>
            <w:r>
              <w:t xml:space="preserve">Subject</w:t>
            </w:r>
          </w:p>
        </w:tc>
        <w:tc>
          <w:tcPr>
            <w:tcW w:w="7739" w:type="dxa"/>
          </w:tcPr>
          <w:p>
            <w:pPr>
              <w:pStyle w:val="033-"/>
            </w:pPr>
            <w:r>
              <w:t xml:space="preserve">В теме одна работа, файлы отнесены к ней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033-"/>
            </w:pPr>
            <w:r>
              <w:t xml:space="preserve">FileName</w:t>
            </w:r>
          </w:p>
        </w:tc>
        <w:tc>
          <w:tcPr>
            <w:tcW w:w="7739" w:type="dxa"/>
          </w:tcPr>
          <w:p>
            <w:pPr>
              <w:pStyle w:val="033-"/>
            </w:pPr>
            <w:r>
              <w:t xml:space="preserve">Номер работы найден в имени файла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033-"/>
            </w:pPr>
            <w:r>
              <w:t xml:space="preserve">Content</w:t>
            </w:r>
          </w:p>
        </w:tc>
        <w:tc>
          <w:tcPr>
            <w:tcW w:w="7739" w:type="dxa"/>
          </w:tcPr>
          <w:p>
            <w:pPr>
              <w:pStyle w:val="033-"/>
            </w:pPr>
            <w:r>
              <w:t xml:space="preserve">Номер работы найден в заголовке в начале документа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033-"/>
            </w:pPr>
            <w:r>
              <w:t xml:space="preserve">Elimination</w:t>
            </w:r>
          </w:p>
        </w:tc>
        <w:tc>
          <w:tcPr>
            <w:tcW w:w="7739" w:type="dxa"/>
          </w:tcPr>
          <w:p>
            <w:pPr>
              <w:pStyle w:val="033-"/>
            </w:pPr>
            <w:r>
              <w:t xml:space="preserve">Остались одна работа из темы и один файл</w:t>
            </w:r>
          </w:p>
        </w:tc>
      </w:tr>
      <w:tr>
        <w:trPr>
          <w:cantSplit/>
        </w:trPr>
        <w:tc>
          <w:tcPr>
            <w:tcW w:w="2182" w:type="dxa"/>
          </w:tcPr>
          <w:p>
            <w:pPr>
              <w:pStyle w:val="033-"/>
            </w:pPr>
            <w:r>
              <w:t xml:space="preserve">Manual</w:t>
            </w:r>
          </w:p>
        </w:tc>
        <w:tc>
          <w:tcPr>
            <w:tcW w:w="7739" w:type="dxa"/>
          </w:tcPr>
          <w:p>
            <w:pPr>
              <w:pStyle w:val="033-"/>
            </w:pPr>
            <w:r>
              <w:t xml:space="preserve">Работу для файла указал преподаватель</w:t>
            </w:r>
          </w:p>
        </w:tc>
      </w:tr>
    </w:tbl>
    <w:p/>
    <w:p>
      <w:r>
        <w:t xml:space="preserve">Правила обработки письма с несколькими работами:</w:t>
      </w:r>
    </w:p>
    <w:p>
      <w:pPr>
        <w:pStyle w:val="05011"/>
      </w:pPr>
      <w:r>
        <w:t xml:space="preserve">каждая ЛР из письма образует отдельную сдачу со своей версией, своим прохождением конвейера и своей ячейкой журнала; все сдачи ссылаются на одно входящее письмо; несколько файлов одной ЛР образуют несколько файлов одной сдачи;</w:t>
      </w:r>
    </w:p>
    <w:p>
      <w:pPr>
        <w:pStyle w:val="05011"/>
      </w:pPr>
      <w:r>
        <w:t xml:space="preserve">распознанные файлы обрабатываются сразу; остальные файлы письма попадают в «Нераспознанные» с причиной («номер лабы не найден», «лаба №7 есть в файле, но не в теме», «два файла на лабу №4»), преподаватель указывает работу для каждого файла;</w:t>
      </w:r>
    </w:p>
    <w:p>
      <w:pPr>
        <w:pStyle w:val="05011"/>
      </w:pPr>
      <w:r>
        <w:t xml:space="preserve">номер работы из имени файла, отсутствующий в теме, автоматически не принимается: файл направляется на ручное сопоставление с подсказкой;</w:t>
      </w:r>
    </w:p>
    <w:p>
      <w:pPr>
        <w:pStyle w:val="05011"/>
      </w:pPr>
      <w:r>
        <w:t xml:space="preserve">исходное имя каждого файла и способ сопоставления сохраняются и выводятся в карточке сдачи.</w:t>
      </w:r>
    </w:p>
    <w:p>
      <w:pPr>
        <w:pStyle w:val="3"/>
      </w:pPr>
      <w:bookmarkStart w:id="1027" w:name="_Toc00001027"/>
      <w:r>
        <w:t xml:space="preserve">Хранение файлов на Яндекс Диске</w:t>
      </w:r>
      <w:bookmarkEnd w:id="1027"/>
    </w:p>
    <w:p>
      <w:r>
        <w:t xml:space="preserve">Система работает с существующей структурой папок преподавателя на Яндекс Диске (ADR-011). Для каждого предмета в семестре хранится корневая папка — полный путь на Диске; Система предлагает путь по шаблону предмета, преподаватель подтверждает или исправляет его, Система проверяет существование папки. Пример корневой папки: «30 Политех/03 КорпИС/10 КорпИС - Отчетные документы/2026-2027 КорпИС ИСТ - 7 сем». Структура корневой папки:</w:t>
      </w:r>
    </w:p>
    <w:p>
      <w:pPr>
        <w:pStyle w:val="021"/>
      </w:pPr>
      <w:r>
        <w:t xml:space="preserve">2026-2027 КорпИС ИСТ - 7 сем/</w:t>
      </w:r>
    </w:p>
    <w:p>
      <w:pPr>
        <w:pStyle w:val="021"/>
      </w:pPr>
      <w:r>
        <w:t xml:space="preserve">    ИСТ-41 - ЛР/</w:t>
      </w:r>
    </w:p>
    <w:p>
      <w:pPr>
        <w:pStyle w:val="021"/>
      </w:pPr>
      <w:r>
        <w:t xml:space="preserve">      Лаб 03 - Иванов И.И. - v1.docx</w:t>
      </w:r>
    </w:p>
    <w:p>
      <w:pPr>
        <w:pStyle w:val="021"/>
      </w:pPr>
      <w:r>
        <w:t xml:space="preserve">    ИСТ-41 - Кр/</w:t>
      </w:r>
    </w:p>
    <w:p>
      <w:pPr>
        <w:pStyle w:val="021"/>
      </w:pPr>
      <w:r>
        <w:t xml:space="preserve">      Курсовая - Иванов И.И. - v1.docx</w:t>
      </w:r>
    </w:p>
    <w:p>
      <w:pPr>
        <w:pStyle w:val="021"/>
      </w:pPr>
      <w:r>
        <w:t xml:space="preserve">    ИСТ-42 - ЛР/</w:t>
      </w:r>
    </w:p>
    <w:p>
      <w:pPr>
        <w:pStyle w:val="021"/>
      </w:pPr>
      <w:r>
        <w:t xml:space="preserve">    ИСТ-42 - Кр/</w:t>
      </w:r>
    </w:p>
    <w:p>
      <w:pPr>
        <w:pStyle w:val="021"/>
      </w:pPr>
      <w:r>
        <w:t xml:space="preserve">    Задания/</w:t>
      </w:r>
    </w:p>
    <w:p>
      <w:r>
        <w:t xml:space="preserve">Правила хранения:</w:t>
      </w:r>
    </w:p>
    <w:p>
      <w:pPr>
        <w:pStyle w:val="05011"/>
      </w:pPr>
      <w:r>
        <w:t xml:space="preserve">вложения сначала загружаются во временную папку «Приложения/LabScaner/_incoming/{идентификатор письма}/», затем переносятся в постоянную папку;</w:t>
      </w:r>
    </w:p>
    <w:p>
      <w:pPr>
        <w:pStyle w:val="05011"/>
      </w:pPr>
      <w:r>
        <w:t xml:space="preserve">имя файла формируется по настраиваемому шаблону; номер ЛР дополняется ведущим нулём для сортировки; второй и следующие файлы одной сдачи получают суффикс («Лаб 03 - Иванов И.И. - v1 (2).pdf»); исходное имя файла студента сохраняется в БД;</w:t>
      </w:r>
    </w:p>
    <w:p>
      <w:pPr>
        <w:pStyle w:val="05011"/>
      </w:pPr>
      <w:r>
        <w:t xml:space="preserve">повторная сдача создаёт новую версию (v2, v3…) без перезаписи предыдущей; актуальной считается последняя версия (ADR-006);</w:t>
      </w:r>
    </w:p>
    <w:p>
      <w:pPr>
        <w:pStyle w:val="05011"/>
      </w:pPr>
      <w:r>
        <w:t xml:space="preserve">несопоставленные файлы остаются во временной папке до ручного сопоставления;</w:t>
      </w:r>
    </w:p>
    <w:p>
      <w:pPr>
        <w:pStyle w:val="05011"/>
      </w:pPr>
      <w:r>
        <w:t xml:space="preserve">недостающие папки создаются автоматически; имена папок очищаются от запрещённых символов;</w:t>
      </w:r>
    </w:p>
    <w:p>
      <w:pPr>
        <w:pStyle w:val="05011"/>
      </w:pPr>
      <w:r>
        <w:t xml:space="preserve">адаптер IFileStorage не содержит операций удаления и перезаписи — только создание папок, загрузку новых файлов и перенос из временной папки (проверяется тестом).</w:t>
      </w:r>
    </w:p>
    <w:p>
      <w:pPr>
        <w:pStyle w:val="3"/>
      </w:pPr>
      <w:bookmarkStart w:id="1028" w:name="_Toc00001028"/>
      <w:r>
        <w:t xml:space="preserve">Задания и перечень работ</w:t>
      </w:r>
      <w:bookmarkEnd w:id="1028"/>
    </w:p>
    <w:p>
      <w:r>
        <w:t xml:space="preserve">Перечень работ принадлежит предмету в семестре: состав ЛР меняется от года к году (ADR-012). Для предмета в семестре загружаются два файла DOCX: «Задания на лабораторные» (один файл на все ЛР) и «Задание на курсовую». Файлы хранятся в папке «Задания» корневой папки.</w:t>
      </w:r>
    </w:p>
    <w:p>
      <w:r>
        <w:t xml:space="preserve">Файл с ЛР делится по заголовкам «Лабораторная работа №N» (стиль заголовка или полужирный абзац); по результату создаются или обновляются работы ЛР1…ЛРn. Преподаватель просматривает результат деления (номер, название, начало текста), исправляет границы и подтверждает. Для каждой работы задаются чек-лист, признак ИИ-проверки и при необходимости собственный дедлайн. Предусмотрено копирование перечня работ из прошлого семестра.</w:t>
      </w:r>
    </w:p>
    <w:p>
      <w:pPr>
        <w:pStyle w:val="3"/>
      </w:pPr>
      <w:bookmarkStart w:id="1029" w:name="_Toc00001029"/>
      <w:r>
        <w:t xml:space="preserve">Извлечение текста и ИИ-проверка</w:t>
      </w:r>
      <w:bookmarkEnd w:id="1029"/>
    </w:p>
    <w:p>
      <w:r>
        <w:t xml:space="preserve">Для сопоставления файла с работой на шаге разбора письма читаются первые 1500 символов текста; полный текст извлекается на шаге 4 конвейера. Порядок проверки работы:</w:t>
      </w:r>
    </w:p>
    <w:p>
      <w:pPr>
        <w:pStyle w:val="04011"/>
        <w:numPr>
          <w:ilvl w:val="0"/>
          <w:numId w:val="901"/>
        </w:numPr>
      </w:pPr>
      <w:r>
        <w:t xml:space="preserve">Текст извлекается: DOCX — библиотекой DocumentFormat.OpenXml, PDF — UglyToad.PdfPig.</w:t>
      </w:r>
    </w:p>
    <w:p>
      <w:pPr>
        <w:pStyle w:val="04011"/>
        <w:numPr>
          <w:ilvl w:val="0"/>
          <w:numId w:val="901"/>
        </w:numPr>
      </w:pPr>
      <w:r>
        <w:t xml:space="preserve">Если в PDF символов на страницу меньше порога, документ считается сканом: страницы растрируются и распознаются локально Tesseract (языки rus+eng); изображения страниц за пределы сервера не передаются (ADR-019).</w:t>
      </w:r>
    </w:p>
    <w:p>
      <w:pPr>
        <w:pStyle w:val="04011"/>
        <w:numPr>
          <w:ilvl w:val="0"/>
          <w:numId w:val="901"/>
        </w:numPr>
      </w:pPr>
      <w:r>
        <w:t xml:space="preserve">Источник текста сохраняется (Docx, PdfText, Ocr); для текста со скана в карточке выводится пометка «текст распознан со скана — возможны ошибки».</w:t>
      </w:r>
    </w:p>
    <w:p>
      <w:pPr>
        <w:pStyle w:val="04011"/>
        <w:numPr>
          <w:ilvl w:val="0"/>
          <w:numId w:val="901"/>
        </w:numPr>
      </w:pPr>
      <w:r>
        <w:t xml:space="preserve">Из текста удаляются ФИО студента (по справочнику), адреса электронной почты и номер группы (ADR-008).</w:t>
      </w:r>
    </w:p>
    <w:p>
      <w:pPr>
        <w:pStyle w:val="04011"/>
        <w:numPr>
          <w:ilvl w:val="0"/>
          <w:numId w:val="901"/>
        </w:numPr>
      </w:pPr>
      <w:r>
        <w:t xml:space="preserve">В LLM передаются задание, чек-лист, справочные материалы предмета и обезличенный текст работы.</w:t>
      </w:r>
    </w:p>
    <w:p>
      <w:pPr>
        <w:pStyle w:val="04011"/>
        <w:numPr>
          <w:ilvl w:val="0"/>
          <w:numId w:val="901"/>
        </w:numPr>
      </w:pPr>
      <w:r>
        <w:t xml:space="preserve">LLM возвращает результат строго по JSON-схеме: пункты чек-листа (выполнен, частично, не выполнен, комментарий), общие замечания, предлагаемая оценка, уверенность.</w:t>
      </w:r>
    </w:p>
    <w:p>
      <w:pPr>
        <w:pStyle w:val="04011"/>
        <w:numPr>
          <w:ilvl w:val="0"/>
          <w:numId w:val="901"/>
        </w:numPr>
      </w:pPr>
      <w:r>
        <w:t xml:space="preserve">При невалидном JSON выполняется одна повторная попытка, затем сдача получает статус «Нужна ручная проверка».</w:t>
      </w:r>
    </w:p>
    <w:p>
      <w:r>
        <w:t xml:space="preserve">Модель и версия промта сохраняются в AiCheck для сравнения результатов. Длинные работы усекаются или сжимаются по разделам в пределах лимита токенов из настроек. Повторная проверка запускается преподавателем вручную. Для работы с выключенной ИИ-проверкой сдача после извлечения текста сразу переходит в статус «Ждёт проверки».</w:t>
      </w:r>
    </w:p>
    <w:p>
      <w:pPr>
        <w:pStyle w:val="3"/>
      </w:pPr>
      <w:bookmarkStart w:id="1030" w:name="_Toc00001030"/>
      <w:r>
        <w:t xml:space="preserve">Журнал группы и решение преподавателя</w:t>
      </w:r>
      <w:bookmarkEnd w:id="1030"/>
    </w:p>
    <w:p>
      <w:r>
        <w:t xml:space="preserve">Журнал строится по группе и предмету в семестре: строки — студенты, столбцы — ЛР № 1…N, КР (дата, оценка), автомат, экзамен (дата, оценка) или зачёт (дата, отметка) в зависимости от вида итоговой аттестации. Журнал не хранится отдельной таблицей — это представление над студентами и работами с последней сдачей, её ИИ-проверкой и решением, а также итоговой аттестацией.</w:t>
      </w:r>
    </w:p>
    <w:p>
      <w:r>
        <w:t xml:space="preserve">Статус ячейки показывает, где находится работа; статусы приведены в таблице </w:t>
      </w:r>
      <w:r>
        <w:fldChar w:fldCharType="begin"/>
      </w:r>
      <w:r>
        <w:instrText xml:space="preserve"> REF _Ref_tbl_cell \h </w:instrText>
      </w:r>
      <w:r>
        <w:fldChar w:fldCharType="separate"/>
      </w:r>
      <w:r>
        <w:t xml:space="preserve">2.3.3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31" w:name="_Ref_tbl_cell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2.3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3</w:t>
      </w:r>
      <w:r>
        <w:fldChar w:fldCharType="end"/>
      </w:r>
      <w:bookmarkEnd w:id="1031"/>
      <w:r>
        <w:t xml:space="preserve"> – </w:t>
      </w:r>
      <w:r>
        <w:t xml:space="preserve">Статусы ячейки журнала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579"/>
        <w:gridCol w:w="3373"/>
        <w:gridCol w:w="3969"/>
      </w:tblGrid>
      <w:tr>
        <w:trPr>
          <w:cantSplit/>
          <w:tblHeader/>
        </w:trPr>
        <w:tc>
          <w:tcPr>
            <w:tcW w:w="2579" w:type="dxa"/>
          </w:tcPr>
          <w:p>
            <w:pPr>
              <w:pStyle w:val="032-"/>
            </w:pPr>
            <w:r>
              <w:t xml:space="preserve">Статус ячейки</w:t>
            </w:r>
          </w:p>
        </w:tc>
        <w:tc>
          <w:tcPr>
            <w:tcW w:w="3373" w:type="dxa"/>
          </w:tcPr>
          <w:p>
            <w:pPr>
              <w:pStyle w:val="032-"/>
            </w:pPr>
            <w:r>
              <w:t xml:space="preserve">Статусы сдачи</w:t>
            </w:r>
          </w:p>
        </w:tc>
        <w:tc>
          <w:tcPr>
            <w:tcW w:w="3969" w:type="dxa"/>
          </w:tcPr>
          <w:p>
            <w:pPr>
              <w:pStyle w:val="032-"/>
            </w:pPr>
            <w:r>
              <w:t xml:space="preserve">Условие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Не сдано</w:t>
            </w:r>
          </w:p>
        </w:tc>
        <w:tc>
          <w:tcPr>
            <w:tcW w:w="3373" w:type="dxa"/>
          </w:tcPr>
          <w:p>
            <w:pPr>
              <w:pStyle w:val="033-"/>
            </w:pPr>
            <w:r>
              <w:t xml:space="preserve">—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Сдачи нет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В обработке</w:t>
            </w:r>
          </w:p>
        </w:tc>
        <w:tc>
          <w:tcPr>
            <w:tcW w:w="3373" w:type="dxa"/>
          </w:tcPr>
          <w:p>
            <w:pPr>
              <w:pStyle w:val="033-"/>
            </w:pPr>
            <w:r>
              <w:t xml:space="preserve">Received, Stored, TextReady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Письмо получено, конвейер не завершён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Ждёт проверки</w:t>
            </w:r>
          </w:p>
        </w:tc>
        <w:tc>
          <w:tcPr>
            <w:tcW w:w="3373" w:type="dxa"/>
          </w:tcPr>
          <w:p>
            <w:pPr>
              <w:pStyle w:val="033-"/>
            </w:pPr>
            <w:r>
              <w:t xml:space="preserve">AiChecked, AwaitingReview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ИИ проверил (метка «ИИ», предлагаемая оценка) или ИИ выключен (без метки)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Нужна ручная проверка</w:t>
            </w:r>
          </w:p>
        </w:tc>
        <w:tc>
          <w:tcPr>
            <w:tcW w:w="3373" w:type="dxa"/>
          </w:tcPr>
          <w:p>
            <w:pPr>
              <w:pStyle w:val="033-"/>
            </w:pPr>
            <w:r>
              <w:t xml:space="preserve">NeedsManual, AiFailed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Текст не получен или ИИ не справился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Принято в срок</w:t>
            </w:r>
          </w:p>
        </w:tc>
        <w:tc>
          <w:tcPr>
            <w:tcW w:w="3373" w:type="dxa"/>
          </w:tcPr>
          <w:p>
            <w:pPr>
              <w:pStyle w:val="033-"/>
            </w:pPr>
            <w:r>
              <w:t xml:space="preserve">Accepted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Дата принятия не позже дедлайна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Принято после срока</w:t>
            </w:r>
          </w:p>
        </w:tc>
        <w:tc>
          <w:tcPr>
            <w:tcW w:w="3373" w:type="dxa"/>
          </w:tcPr>
          <w:p>
            <w:pPr>
              <w:pStyle w:val="033-"/>
            </w:pPr>
            <w:r>
              <w:t xml:space="preserve">Accepted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Дата принятия позже дедлайна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На доработку</w:t>
            </w:r>
          </w:p>
        </w:tc>
        <w:tc>
          <w:tcPr>
            <w:tcW w:w="3373" w:type="dxa"/>
          </w:tcPr>
          <w:p>
            <w:pPr>
              <w:pStyle w:val="033-"/>
            </w:pPr>
            <w:r>
              <w:t xml:space="preserve">Returned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Работа возвращена, новая версия не поступила</w:t>
            </w:r>
          </w:p>
        </w:tc>
      </w:tr>
    </w:tbl>
    <w:p/>
    <w:p>
      <w:r>
        <w:t xml:space="preserve">Поверх статуса выводятся пометки: номер версии (v2, v3…), «уведомление отправлено», «есть комментарии» (ADR-017).</w:t>
      </w:r>
    </w:p>
    <w:p>
      <w:r>
        <w:t xml:space="preserve">Решение принимается в карточке сдачи (файлы, версии, результат ИИ, оценка, замечания, кнопки «Лаба ОК» и «На доработку», флажок «Отправить уведомление студенту») или быстрой отметкой в ячейке журнала («ОК» или оценка — для работ, принятых устно). По каждой ЛР хранится история комментариев: замечания ИИ, замечания преподавателя, текст, отправленный студенту, пересдачи, заметки преподавателя.</w:t>
      </w:r>
    </w:p>
    <w:p>
      <w:r>
        <w:t xml:space="preserve">Итоговые оценки вводятся только вручную. Оценка за КР хранится в решении по принятой версии КР; итоговая аттестация ссылается на это решение (ADR-020). Дата и оценка экзамена или отметка о зачёте хранятся в итоговой аттестации.</w:t>
      </w:r>
    </w:p>
    <w:p>
      <w:pPr>
        <w:pStyle w:val="3"/>
      </w:pPr>
      <w:bookmarkStart w:id="1032" w:name="_Toc00001032"/>
      <w:r>
        <w:t xml:space="preserve">Дедлайны и автоматы</w:t>
      </w:r>
      <w:bookmarkEnd w:id="1032"/>
    </w:p>
    <w:p>
      <w:r>
        <w:t xml:space="preserve">Правила дедлайнов и автоматов (ADR-013):</w:t>
      </w:r>
    </w:p>
    <w:p>
      <w:pPr>
        <w:pStyle w:val="05011"/>
      </w:pPr>
      <w:r>
        <w:t xml:space="preserve">учебный семестр хранит календарь: начало зачётной недели и начало сессии;</w:t>
      </w:r>
    </w:p>
    <w:p>
      <w:pPr>
        <w:pStyle w:val="05011"/>
      </w:pPr>
      <w:r>
        <w:t xml:space="preserve">дедлайн ЛР — начало зачётной недели, КР — начало сессии; дедлайн отдельной работы переопределяется;</w:t>
      </w:r>
    </w:p>
    <w:p>
      <w:pPr>
        <w:pStyle w:val="05011"/>
      </w:pPr>
      <w:r>
        <w:t xml:space="preserve">работа принята в срок, если преподаватель принял её не позже дедлайна; дата сдачи студентом на признак не влияет;</w:t>
      </w:r>
    </w:p>
    <w:p>
      <w:pPr>
        <w:pStyle w:val="05011"/>
      </w:pPr>
      <w:r>
        <w:t xml:space="preserve">претендент на автомат — студент, у которого все ЛР приняты в срок и, если в предмете есть КР, КР принята в срок; признак вычисляется, а не хранится;</w:t>
      </w:r>
    </w:p>
    <w:p>
      <w:pPr>
        <w:pStyle w:val="05011"/>
      </w:pPr>
      <w:r>
        <w:t xml:space="preserve">автомат выставляет преподаватель одним действием для выбранных претендентов с подтверждением: «зачтено» для зачёта, «5» для экзамена и дифференцированного зачёта;</w:t>
      </w:r>
    </w:p>
    <w:p>
      <w:pPr>
        <w:pStyle w:val="05011"/>
      </w:pPr>
      <w:r>
        <w:t xml:space="preserve">за 7 и за 2 дня до дедлайна в ленте «Что ждёт от меня» появляется задача «N работ сданы, но не приняты».</w:t>
      </w:r>
    </w:p>
    <w:p>
      <w:pPr>
        <w:pStyle w:val="3"/>
      </w:pPr>
      <w:bookmarkStart w:id="1033" w:name="_Toc00001033"/>
      <w:r>
        <w:t xml:space="preserve">Уведомления студентам</w:t>
      </w:r>
      <w:bookmarkEnd w:id="1033"/>
    </w:p>
    <w:p>
      <w:r>
        <w:t xml:space="preserve">Решения с флажком «отправить уведомление» накапливаются в черновике письма на пару «студент — предмет в семестре» (ADR-018). Письмо содержит блок по каждой работе: статус, оценку (если есть), замечания (если есть). Пока черновик не отправлен, новые решения по этому студенту и предмету добавляются в него.</w:t>
      </w:r>
    </w:p>
    <w:p>
      <w:r>
        <w:t xml:space="preserve">Письмо отправляется с ящика преподавателя, ведущего предмет, по SMTP только после явной отправки с экрана «Уведомления» или массовой отправки из журнала с предпросмотром. Решение «Лаба ОК» письмо не отправляет. Отправка выполняется через очередь с повторами; статусы письма: черновик, в очереди, отправлено, ошибка. Отметка «уведомление отправлено» с датой отображается в журнале (F19).</w:t>
      </w:r>
    </w:p>
    <w:p>
      <w:pPr>
        <w:pStyle w:val="3"/>
      </w:pPr>
      <w:bookmarkStart w:id="1034" w:name="_Toc00001034"/>
      <w:r>
        <w:t xml:space="preserve">Журналы Системы</w:t>
      </w:r>
      <w:bookmarkEnd w:id="1034"/>
    </w:p>
    <w:p>
      <w:r>
        <w:t xml:space="preserve">Система ведёт три журнала (ADR-015), приведённые в таблице </w:t>
      </w:r>
      <w:r>
        <w:fldChar w:fldCharType="begin"/>
      </w:r>
      <w:r>
        <w:instrText xml:space="preserve"> REF _Ref_tbl_logs \h </w:instrText>
      </w:r>
      <w:r>
        <w:fldChar w:fldCharType="separate"/>
      </w:r>
      <w:r>
        <w:t xml:space="preserve">2.3.4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35" w:name="_Ref_tbl_logs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2.3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4</w:t>
      </w:r>
      <w:r>
        <w:fldChar w:fldCharType="end"/>
      </w:r>
      <w:bookmarkEnd w:id="1035"/>
      <w:r>
        <w:t xml:space="preserve"> – </w:t>
      </w:r>
      <w:r>
        <w:t xml:space="preserve">Журналы Системы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381"/>
        <w:gridCol w:w="7540"/>
      </w:tblGrid>
      <w:tr>
        <w:trPr>
          <w:cantSplit/>
          <w:tblHeader/>
        </w:trPr>
        <w:tc>
          <w:tcPr>
            <w:tcW w:w="2381" w:type="dxa"/>
          </w:tcPr>
          <w:p>
            <w:pPr>
              <w:pStyle w:val="032-"/>
            </w:pPr>
            <w:r>
              <w:t xml:space="preserve">Журнал</w:t>
            </w:r>
          </w:p>
        </w:tc>
        <w:tc>
          <w:tcPr>
            <w:tcW w:w="7540" w:type="dxa"/>
          </w:tcPr>
          <w:p>
            <w:pPr>
              <w:pStyle w:val="032-"/>
            </w:pPr>
            <w:r>
              <w:t xml:space="preserve">Содержание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Журнал событий</w:t>
            </w:r>
          </w:p>
        </w:tc>
        <w:tc>
          <w:tcPr>
            <w:tcW w:w="7540" w:type="dxa"/>
          </w:tcPr>
          <w:p>
            <w:pPr>
              <w:pStyle w:val="033-"/>
            </w:pPr>
            <w:r>
              <w:t xml:space="preserve">Лента «Что ждёт от меня» (работы на проверку, ручная проверка, нераспознанные письма, претенденты на автомат, готовые уведомления, приближение дедлайна, ошибки сервисов, истечение токена Диска) и полная лента событий с уровнем, источником и ссылкой на объект; история запусков проверки почты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Журнал проверки работы</w:t>
            </w:r>
          </w:p>
        </w:tc>
        <w:tc>
          <w:tcPr>
            <w:tcW w:w="7540" w:type="dxa"/>
          </w:tcPr>
          <w:p>
            <w:pPr>
              <w:pStyle w:val="033-"/>
            </w:pPr>
            <w:r>
              <w:t xml:space="preserve">Ход обработки сдачи по шагам конвейера со временем, длительностью, попытками, ошибками и кнопкой «Повторить шаг»; список «Обработка» всех сдач в пути</w:t>
            </w:r>
          </w:p>
        </w:tc>
      </w:tr>
      <w:tr>
        <w:trPr>
          <w:cantSplit/>
        </w:trPr>
        <w:tc>
          <w:tcPr>
            <w:tcW w:w="2381" w:type="dxa"/>
          </w:tcPr>
          <w:p>
            <w:pPr>
              <w:pStyle w:val="033-"/>
            </w:pPr>
            <w:r>
              <w:t xml:space="preserve">Журнал группы</w:t>
            </w:r>
          </w:p>
        </w:tc>
        <w:tc>
          <w:tcPr>
            <w:tcW w:w="7540" w:type="dxa"/>
          </w:tcPr>
          <w:p>
            <w:pPr>
              <w:pStyle w:val="033-"/>
            </w:pPr>
            <w:r>
              <w:t xml:space="preserve">Оценки и отметки по ЛР, КР, экзамену или зачёту, автоматы, история комментариев по каждой ЛР</w:t>
            </w:r>
          </w:p>
        </w:tc>
      </w:tr>
    </w:tbl>
    <w:p/>
    <w:p>
      <w:pPr>
        <w:pStyle w:val="2"/>
      </w:pPr>
      <w:bookmarkStart w:id="1036" w:name="_Toc00001036"/>
      <w:r>
        <w:t xml:space="preserve">Модель данных</w:t>
      </w:r>
      <w:bookmarkEnd w:id="1036"/>
    </w:p>
    <w:p>
      <w:r>
        <w:t xml:space="preserve">Основные сущности модели данных приведены в таблице </w:t>
      </w:r>
      <w:r>
        <w:fldChar w:fldCharType="begin"/>
      </w:r>
      <w:r>
        <w:instrText xml:space="preserve"> REF _Ref_tbl_data \h </w:instrText>
      </w:r>
      <w:r>
        <w:fldChar w:fldCharType="separate"/>
      </w:r>
      <w:r>
        <w:t xml:space="preserve">2.4.1</w:t>
      </w:r>
      <w:r>
        <w:fldChar w:fldCharType="end"/>
      </w:r>
      <w:r>
        <w:t xml:space="preserve">. Модель данных — черновая, уточняется на этапах 2–3.</w:t>
      </w:r>
    </w:p>
    <w:p>
      <w:pPr>
        <w:pStyle w:val="031-"/>
      </w:pPr>
      <w:r>
        <w:t xml:space="preserve">Таблица </w:t>
      </w:r>
      <w:bookmarkStart w:id="1037" w:name="_Ref_tbl_data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2.4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37"/>
      <w:r>
        <w:t xml:space="preserve"> – </w:t>
      </w:r>
      <w:r>
        <w:t xml:space="preserve">Основные сущности модели данных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579"/>
        <w:gridCol w:w="7342"/>
      </w:tblGrid>
      <w:tr>
        <w:trPr>
          <w:cantSplit/>
          <w:tblHeader/>
        </w:trPr>
        <w:tc>
          <w:tcPr>
            <w:tcW w:w="2579" w:type="dxa"/>
          </w:tcPr>
          <w:p>
            <w:pPr>
              <w:pStyle w:val="032-"/>
            </w:pPr>
            <w:r>
              <w:t xml:space="preserve">Сущность</w:t>
            </w:r>
          </w:p>
        </w:tc>
        <w:tc>
          <w:tcPr>
            <w:tcW w:w="7342" w:type="dxa"/>
          </w:tcPr>
          <w:p>
            <w:pPr>
              <w:pStyle w:val="032-"/>
            </w:pPr>
            <w:r>
              <w:t xml:space="preserve">Содержание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User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Пользователь (ASP.NET Core Identity): логин, хеш пароля, отображаемое имя, роли Teacher / Admin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TeacherConnection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Подключения преподавателя: IMAP, SMTP, зашифрованный токен Яндекс Диска, интервал и признак автопроверки почты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Subject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Предмет: код (КорпИС, ОС, СПП), допустимые написания, вид итоговой аттестации (экзамен, зачёт, дифференцированный зачёт), справочные материалы для ИИ, шаблон пути на Диске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Group, Student, StudentEmail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Группа (название, направление, год набора), студент (ФИО, признак активности), адреса электронной почты студента (один или несколько)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Term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Учебный семестр: учебный год, осень или весна, начало зачётной недели, начало сессии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SubjectTerm, SubjectTermGroup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Предмет в семестре: номер семестра, корневая папка на Диске, файлы заданий; группы, которым читается предмет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Assignment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Работа: ЛР или КР, номер, название, текст задания, чек-лист, признак ИИ-проверки, переопределённый дедлайн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InboxMessage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Входящее письмо: Message-ID (уникальный), отправитель, исходная тема, дата, распознанные группа, предмет в семестре, студент и номера работ, статус разбора (в том числе «распознано частично»)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InboxAttachment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Вложение письма: порядковый номер, имя, тип, размер, SHA-256, путь во временной папке, работа и сдача по результату сопоставления, способ сопоставления, причина отказа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Submission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Сдача одной работы: студент, работа, версия, дата получения, входящее письмо (одно письмо — несколько сдач), статус, признак актуальной версии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SubmissionFile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Файл сдачи: вложение письма, имя, тип, размер, SHA-256, путь на Диске, извлечённый текст, источник текста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AiCheck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ИИ-проверка: провайдер, модель, версия промта, время, результат JSON, предлагаемая оценка, статус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Review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Решение преподавателя: принято или на доработку, оценка, замечания, дата, флажок уведомления, источник (карточка или быстрая отметка)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FinalAssessment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Итоговая аттестация: признак автомата, ссылка на решение по КР, экзамен (дата, оценка) или зачёт (дата, отметка)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Notification, NotificationItem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Письмо студенту по предмету в семестре (текст, статус, попытки, ошибка) и решения, вошедшие в письмо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ProcessingStep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Шаг конвейера по сдаче: статус, время, попытки, ошибка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Comment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Комментарий по сдаче: автор (ИИ, преподаватель, система), вид (замечание, отправлено студенту, заметка), текст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AttentionItem, EventLog, MailPollRun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Задачи «Что ждёт от меня», лента событий, история запусков проверки почты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Setting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Настройки Системы, секретные значения — в зашифрованном виде</w:t>
            </w:r>
          </w:p>
        </w:tc>
      </w:tr>
    </w:tbl>
    <w:p/>
    <w:p>
      <w:pPr>
        <w:pStyle w:val="2"/>
      </w:pPr>
      <w:bookmarkStart w:id="1038" w:name="_Toc00001038"/>
      <w:r>
        <w:t xml:space="preserve">Пользовательский интерфейс</w:t>
      </w:r>
      <w:bookmarkEnd w:id="1038"/>
    </w:p>
    <w:p>
      <w:r>
        <w:t xml:space="preserve">Интерфейс — серверные страницы Razor Pages с частичным обновлением через htmx и точечным применением Alpine.js, без отдельной клиентской сборки (ADR-004). Язык интерфейса — русский. Основное рабочее место — ноутбук с разрешением 1440×900; мобильная версия предусмотрена для сводки, журнала группы и карточки сдачи. Экраны интерфейса приведены в таблице </w:t>
      </w:r>
      <w:r>
        <w:fldChar w:fldCharType="begin"/>
      </w:r>
      <w:r>
        <w:instrText xml:space="preserve"> REF _Ref_tbl_ui \h </w:instrText>
      </w:r>
      <w:r>
        <w:fldChar w:fldCharType="separate"/>
      </w:r>
      <w:r>
        <w:t xml:space="preserve">2.5.1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39" w:name="_Ref_tbl_ui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2.5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39"/>
      <w:r>
        <w:t xml:space="preserve"> – </w:t>
      </w:r>
      <w:r>
        <w:t xml:space="preserve">Экраны интерфейса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579"/>
        <w:gridCol w:w="7342"/>
      </w:tblGrid>
      <w:tr>
        <w:trPr>
          <w:cantSplit/>
          <w:tblHeader/>
        </w:trPr>
        <w:tc>
          <w:tcPr>
            <w:tcW w:w="2579" w:type="dxa"/>
          </w:tcPr>
          <w:p>
            <w:pPr>
              <w:pStyle w:val="032-"/>
            </w:pPr>
            <w:r>
              <w:t xml:space="preserve">Экран</w:t>
            </w:r>
          </w:p>
        </w:tc>
        <w:tc>
          <w:tcPr>
            <w:tcW w:w="7342" w:type="dxa"/>
          </w:tcPr>
          <w:p>
            <w:pPr>
              <w:pStyle w:val="032-"/>
            </w:pPr>
            <w:r>
              <w:t xml:space="preserve">Назначение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Вход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Логин и пароль, сообщение об ошибке, временная блокировка после нескольких неудачных попыток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Сводка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Стартовый экран: «Что ждёт от меня», лента «Что система сделала», панель приёма почты с кнопкой «Проверить почту сейчас», ближайшие дедлайны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Журнал группы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Таблица студентов и работ, быстрые отметки, итоговые ячейки, автоматы, фильтры, массовая отправка уведомлений, экспорт в Excel; боковая панель лабы с вкладками «Решение» и «Комментарии»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Карточка сдачи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Файлы и версии, исходное имя файла и способ сопоставления, блок «Предварительная проверка ИИ» (визуально отделён), блок «Решение преподавателя», предпросмотр письма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Обработка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Список сдач в конвейере и ход проверки одной сдачи по шагам с повтором шага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Журнал событий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Лента событий с фильтрами по уровню, источнику, дате, предмету; история проверок почты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Нераспознанные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Письма и отдельные файлы писем с причиной отказа и формой ручного сопоставления (предмет → группа → студент → работа; для файла — выбор работы)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Уведомления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Очередь писем, полный предпросмотр, отправка, удаление из очереди, повтор при ошибке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Предметы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Карточка предмета, семестры, корневая папка на Диске, загрузка и деление заданий, перечень работ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Группы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Группы и студенты, импорт из CSV или XLSX с предпросмотром ошибок</w:t>
            </w:r>
          </w:p>
        </w:tc>
      </w:tr>
      <w:tr>
        <w:trPr>
          <w:cantSplit/>
        </w:trPr>
        <w:tc>
          <w:tcPr>
            <w:tcW w:w="2579" w:type="dxa"/>
          </w:tcPr>
          <w:p>
            <w:pPr>
              <w:pStyle w:val="033-"/>
            </w:pPr>
            <w:r>
              <w:t xml:space="preserve">Настройки</w:t>
            </w:r>
          </w:p>
        </w:tc>
        <w:tc>
          <w:tcPr>
            <w:tcW w:w="7342" w:type="dxa"/>
          </w:tcPr>
          <w:p>
            <w:pPr>
              <w:pStyle w:val="033-"/>
            </w:pPr>
            <w:r>
              <w:t xml:space="preserve">«Мои настройки» (почта, Диск, шаблоны писем, пароль) и «Администрирование» (пользователи, календарь, ИИ, справочники)</w:t>
            </w:r>
          </w:p>
        </w:tc>
      </w:tr>
    </w:tbl>
    <w:p/>
    <w:p>
      <w:pPr>
        <w:pStyle w:val="2"/>
      </w:pPr>
      <w:bookmarkStart w:id="1040" w:name="_Toc00001040"/>
      <w:r>
        <w:t xml:space="preserve">Режимы функционирования и регламент</w:t>
      </w:r>
      <w:bookmarkEnd w:id="1040"/>
    </w:p>
    <w:p>
      <w:r>
        <w:t xml:space="preserve">Система функционирует круглосуточно в автоматическом режиме приёма и обработки писем и в интерактивном режиме работы преподавателя. Параметры регламента приведены в таблице </w:t>
      </w:r>
      <w:r>
        <w:fldChar w:fldCharType="begin"/>
      </w:r>
      <w:r>
        <w:instrText xml:space="preserve"> REF _Ref_tbl_reg \h </w:instrText>
      </w:r>
      <w:r>
        <w:fldChar w:fldCharType="separate"/>
      </w:r>
      <w:r>
        <w:t xml:space="preserve">2.6.1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41" w:name="_Ref_tbl_reg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2.6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41"/>
      <w:r>
        <w:t xml:space="preserve"> – </w:t>
      </w:r>
      <w:r>
        <w:t xml:space="preserve">Регламент работы Системы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3968"/>
        <w:gridCol w:w="5953"/>
      </w:tblGrid>
      <w:tr>
        <w:trPr>
          <w:cantSplit/>
          <w:tblHeader/>
        </w:trPr>
        <w:tc>
          <w:tcPr>
            <w:tcW w:w="3968" w:type="dxa"/>
          </w:tcPr>
          <w:p>
            <w:pPr>
              <w:pStyle w:val="032-"/>
            </w:pPr>
            <w:r>
              <w:t xml:space="preserve">Параметр</w:t>
            </w:r>
          </w:p>
        </w:tc>
        <w:tc>
          <w:tcPr>
            <w:tcW w:w="5953" w:type="dxa"/>
          </w:tcPr>
          <w:p>
            <w:pPr>
              <w:pStyle w:val="032-"/>
            </w:pPr>
            <w:r>
              <w:t xml:space="preserve">Значение</w:t>
            </w:r>
          </w:p>
        </w:tc>
      </w:tr>
      <w:tr>
        <w:trPr>
          <w:cantSplit/>
        </w:trPr>
        <w:tc>
          <w:tcPr>
            <w:tcW w:w="3968" w:type="dxa"/>
          </w:tcPr>
          <w:p>
            <w:pPr>
              <w:pStyle w:val="033-"/>
            </w:pPr>
            <w:r>
              <w:t xml:space="preserve">Интервал автоматической проверки почты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5 мин по умолчанию, настраивается преподавателем, отключаемо</w:t>
            </w:r>
          </w:p>
        </w:tc>
      </w:tr>
      <w:tr>
        <w:trPr>
          <w:cantSplit/>
        </w:trPr>
        <w:tc>
          <w:tcPr>
            <w:tcW w:w="3968" w:type="dxa"/>
          </w:tcPr>
          <w:p>
            <w:pPr>
              <w:pStyle w:val="033-"/>
            </w:pPr>
            <w:r>
              <w:t xml:space="preserve">Ручная проверка почты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По кнопке «Проверить почту сейчас», с выводом числа полученных, распознанных и нераспознанных писем</w:t>
            </w:r>
          </w:p>
        </w:tc>
      </w:tr>
      <w:tr>
        <w:trPr>
          <w:cantSplit/>
        </w:trPr>
        <w:tc>
          <w:tcPr>
            <w:tcW w:w="3968" w:type="dxa"/>
          </w:tcPr>
          <w:p>
            <w:pPr>
              <w:pStyle w:val="033-"/>
            </w:pPr>
            <w:r>
              <w:t xml:space="preserve">Повторы при временных сбоях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С нарастающей задержкой; [уточнить: число попыток и интервалы]</w:t>
            </w:r>
          </w:p>
        </w:tc>
      </w:tr>
      <w:tr>
        <w:trPr>
          <w:cantSplit/>
        </w:trPr>
        <w:tc>
          <w:tcPr>
            <w:tcW w:w="3968" w:type="dxa"/>
          </w:tcPr>
          <w:p>
            <w:pPr>
              <w:pStyle w:val="033-"/>
            </w:pPr>
            <w:r>
              <w:t xml:space="preserve">Напоминания о непринятых работах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За 7 и за 2 дня до дедлайна</w:t>
            </w:r>
          </w:p>
        </w:tc>
      </w:tr>
      <w:tr>
        <w:trPr>
          <w:cantSplit/>
        </w:trPr>
        <w:tc>
          <w:tcPr>
            <w:tcW w:w="3968" w:type="dxa"/>
          </w:tcPr>
          <w:p>
            <w:pPr>
              <w:pStyle w:val="033-"/>
            </w:pPr>
            <w:r>
              <w:t xml:space="preserve">Предупреждение об истечении токена Яндекс Диска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За 7 дней до истечения</w:t>
            </w:r>
          </w:p>
        </w:tc>
      </w:tr>
      <w:tr>
        <w:trPr>
          <w:cantSplit/>
        </w:trPr>
        <w:tc>
          <w:tcPr>
            <w:tcW w:w="3968" w:type="dxa"/>
          </w:tcPr>
          <w:p>
            <w:pPr>
              <w:pStyle w:val="033-"/>
            </w:pPr>
            <w:r>
              <w:t xml:space="preserve">Резервное копирование БД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Ежедневно, pg_dump; [уточнить: место хранения и срок хранения копий]</w:t>
            </w:r>
          </w:p>
        </w:tc>
      </w:tr>
      <w:tr>
        <w:trPr>
          <w:cantSplit/>
        </w:trPr>
        <w:tc>
          <w:tcPr>
            <w:tcW w:w="3968" w:type="dxa"/>
          </w:tcPr>
          <w:p>
            <w:pPr>
              <w:pStyle w:val="033-"/>
            </w:pPr>
            <w:r>
              <w:t xml:space="preserve">Расчётная нагрузка</w:t>
            </w:r>
          </w:p>
        </w:tc>
        <w:tc>
          <w:tcPr>
            <w:tcW w:w="5953" w:type="dxa"/>
          </w:tcPr>
          <w:p>
            <w:pPr>
              <w:pStyle w:val="033-"/>
            </w:pPr>
            <w:r>
              <w:t xml:space="preserve">До 10 групп, до 300 студентов, до 3000 сдач за семестр (НФ6)</w:t>
            </w:r>
          </w:p>
        </w:tc>
      </w:tr>
    </w:tbl>
    <w:p/>
    <w:p>
      <w:pPr>
        <w:pStyle w:val="2"/>
      </w:pPr>
      <w:bookmarkStart w:id="1042" w:name="_Toc00001042"/>
      <w:r>
        <w:t xml:space="preserve">Взаимодействие с внешними системами</w:t>
      </w:r>
      <w:bookmarkEnd w:id="1042"/>
    </w:p>
    <w:p>
      <w:r>
        <w:t xml:space="preserve">Внешние системы и параметры обмена приведены в таблице </w:t>
      </w:r>
      <w:r>
        <w:fldChar w:fldCharType="begin"/>
      </w:r>
      <w:r>
        <w:instrText xml:space="preserve"> REF _Ref_tbl_ext \h </w:instrText>
      </w:r>
      <w:r>
        <w:fldChar w:fldCharType="separate"/>
      </w:r>
      <w:r>
        <w:t xml:space="preserve">2.7.1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43" w:name="_Ref_tbl_ext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2.7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43"/>
      <w:r>
        <w:t xml:space="preserve"> – </w:t>
      </w:r>
      <w:r>
        <w:t xml:space="preserve">Взаимодействие с внешними системами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1984"/>
        <w:gridCol w:w="2182"/>
        <w:gridCol w:w="5755"/>
      </w:tblGrid>
      <w:tr>
        <w:trPr>
          <w:cantSplit/>
          <w:tblHeader/>
        </w:trPr>
        <w:tc>
          <w:tcPr>
            <w:tcW w:w="1984" w:type="dxa"/>
          </w:tcPr>
          <w:p>
            <w:pPr>
              <w:pStyle w:val="032-"/>
            </w:pPr>
            <w:r>
              <w:t xml:space="preserve">Система</w:t>
            </w:r>
          </w:p>
        </w:tc>
        <w:tc>
          <w:tcPr>
            <w:tcW w:w="2182" w:type="dxa"/>
          </w:tcPr>
          <w:p>
            <w:pPr>
              <w:pStyle w:val="032-"/>
            </w:pPr>
            <w:r>
              <w:t xml:space="preserve">Протокол</w:t>
            </w:r>
          </w:p>
        </w:tc>
        <w:tc>
          <w:tcPr>
            <w:tcW w:w="5755" w:type="dxa"/>
          </w:tcPr>
          <w:p>
            <w:pPr>
              <w:pStyle w:val="032-"/>
            </w:pPr>
            <w:r>
              <w:t xml:space="preserve">Передаваемые данные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pStyle w:val="033-"/>
            </w:pPr>
            <w:r>
              <w:t xml:space="preserve">Почтовый ящик преподавателя (почтовый сервер вуза)</w:t>
            </w:r>
          </w:p>
        </w:tc>
        <w:tc>
          <w:tcPr>
            <w:tcW w:w="2182" w:type="dxa"/>
          </w:tcPr>
          <w:p>
            <w:pPr>
              <w:pStyle w:val="033-"/>
            </w:pPr>
            <w:r>
              <w:t xml:space="preserve">IMAP (приём), SMTP (отправка)</w:t>
            </w:r>
          </w:p>
        </w:tc>
        <w:tc>
          <w:tcPr>
            <w:tcW w:w="5755" w:type="dxa"/>
          </w:tcPr>
          <w:p>
            <w:pPr>
              <w:pStyle w:val="033-"/>
            </w:pPr>
            <w:r>
              <w:t xml:space="preserve">Входящие письма студентов с вложениями; исходящие уведомления. Параметры SMTP — [уточнить у администраторов вуза]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pStyle w:val="033-"/>
            </w:pPr>
            <w:r>
              <w:t xml:space="preserve">Яндекс Диск преподавателя</w:t>
            </w:r>
          </w:p>
        </w:tc>
        <w:tc>
          <w:tcPr>
            <w:tcW w:w="2182" w:type="dxa"/>
          </w:tcPr>
          <w:p>
            <w:pPr>
              <w:pStyle w:val="033-"/>
            </w:pPr>
            <w:r>
              <w:t xml:space="preserve">HTTPS, REST API, OAuth (права cloud_api:disk.read, cloud_api:disk.write)</w:t>
            </w:r>
          </w:p>
        </w:tc>
        <w:tc>
          <w:tcPr>
            <w:tcW w:w="5755" w:type="dxa"/>
          </w:tcPr>
          <w:p>
            <w:pPr>
              <w:pStyle w:val="033-"/>
            </w:pPr>
            <w:r>
              <w:t xml:space="preserve">Файлы работ, файлы заданий, создание папок, проверка существования корневой папки</w:t>
            </w:r>
          </w:p>
        </w:tc>
      </w:tr>
      <w:tr>
        <w:trPr>
          <w:cantSplit/>
        </w:trPr>
        <w:tc>
          <w:tcPr>
            <w:tcW w:w="1984" w:type="dxa"/>
          </w:tcPr>
          <w:p>
            <w:pPr>
              <w:pStyle w:val="033-"/>
            </w:pPr>
            <w:r>
              <w:t xml:space="preserve">Timeweb Cloud AI Gateway</w:t>
            </w:r>
          </w:p>
        </w:tc>
        <w:tc>
          <w:tcPr>
            <w:tcW w:w="2182" w:type="dxa"/>
          </w:tcPr>
          <w:p>
            <w:pPr>
              <w:pStyle w:val="033-"/>
            </w:pPr>
            <w:r>
              <w:t xml:space="preserve">HTTPS, OpenAI-совместимый API (Chat Completions)</w:t>
            </w:r>
          </w:p>
        </w:tc>
        <w:tc>
          <w:tcPr>
            <w:tcW w:w="5755" w:type="dxa"/>
          </w:tcPr>
          <w:p>
            <w:pPr>
              <w:pStyle w:val="033-"/>
            </w:pPr>
            <w:r>
              <w:t xml:space="preserve">Обезличенный текст работы, задание, чек-лист, справочные материалы; ответ в формате JSON. Доступные модели, поддержка JSON-схемы, лимит контекста, стоимость — [уточнить на этапе 6]</w:t>
            </w:r>
          </w:p>
        </w:tc>
      </w:tr>
    </w:tbl>
    <w:p/>
    <w:p>
      <w:pPr>
        <w:pStyle w:val="2"/>
      </w:pPr>
      <w:bookmarkStart w:id="1044" w:name="_Toc00001044"/>
      <w:r>
        <w:t xml:space="preserve">Информационная безопасность и персональные данные</w:t>
      </w:r>
      <w:bookmarkEnd w:id="1044"/>
    </w:p>
    <w:p>
      <w:r>
        <w:t xml:space="preserve">Меры защиты:</w:t>
      </w:r>
    </w:p>
    <w:p>
      <w:pPr>
        <w:pStyle w:val="05011"/>
      </w:pPr>
      <w:r>
        <w:t xml:space="preserve">доступ к интерфейсу — только по HTTPS (Caddy с автоматическим сертификатом);</w:t>
      </w:r>
    </w:p>
    <w:p>
      <w:pPr>
        <w:pStyle w:val="05011"/>
      </w:pPr>
      <w:r>
        <w:t xml:space="preserve">аутентификация ASP.NET Core Identity: хранится только хеш пароля, блокировка после неудачных попыток, ограничение частоты запросов к странице входа;</w:t>
      </w:r>
    </w:p>
    <w:p>
      <w:pPr>
        <w:pStyle w:val="05011"/>
      </w:pPr>
      <w:r>
        <w:t xml:space="preserve">разграничение доступа по ролям; панель Hangfire Dashboard и раздел «Администрирование» — только для администратора;</w:t>
      </w:r>
    </w:p>
    <w:p>
      <w:pPr>
        <w:pStyle w:val="05011"/>
      </w:pPr>
      <w:r>
        <w:t xml:space="preserve">изоляция данных преподавателей глобальным фильтром по teacher_id, проверяется тестами;</w:t>
      </w:r>
    </w:p>
    <w:p>
      <w:pPr>
        <w:pStyle w:val="05011"/>
      </w:pPr>
      <w:r>
        <w:t xml:space="preserve">токены и пароли IMAP, SMTP, Яндекс Диска и LLM хранятся в переменных окружения или в зашифрованном виде (ASP.NET Core Data Protection); секреты в репозиторий не помещаются;</w:t>
      </w:r>
    </w:p>
    <w:p>
      <w:pPr>
        <w:pStyle w:val="05011"/>
      </w:pPr>
      <w:r>
        <w:t xml:space="preserve">ПДн студентов (ФИО, адреса электронной почты, номер группы) удаляются из текста перед отправкой в LLM; обезличивание включено и не отключается в настройках (ADR-008, НФ3);</w:t>
      </w:r>
    </w:p>
    <w:p>
      <w:pPr>
        <w:pStyle w:val="05011"/>
      </w:pPr>
      <w:r>
        <w:t xml:space="preserve">изображения страниц работ в LLM не передаются; OCR выполняется локально на сервере (ADR-019);</w:t>
      </w:r>
    </w:p>
    <w:p>
      <w:pPr>
        <w:pStyle w:val="05011"/>
      </w:pPr>
      <w:r>
        <w:t xml:space="preserve">Система не удаляет, не переименовывает и не перезаписывает файлы на Яндекс Диске преподавателя.</w:t>
      </w:r>
    </w:p>
    <w:p>
      <w:r>
        <w:t xml:space="preserve">Обработка ПДн осуществляется с учётом требований Федерального закона от 27.07.2006 № 152-ФЗ «О персональных данных». [уточнить: оператор ПДн и основание обработки ПДн студентов].</w:t>
      </w:r>
    </w:p>
    <w:p>
      <w:pPr>
        <w:pStyle w:val="2"/>
      </w:pPr>
      <w:bookmarkStart w:id="1045" w:name="_Toc00001045"/>
      <w:r>
        <w:t xml:space="preserve">Ограничения</w:t>
      </w:r>
      <w:bookmarkEnd w:id="1045"/>
    </w:p>
    <w:p>
      <w:r>
        <w:t xml:space="preserve">В первую версию Системы не входят:</w:t>
      </w:r>
    </w:p>
    <w:p>
      <w:pPr>
        <w:pStyle w:val="05011"/>
      </w:pPr>
      <w:r>
        <w:t xml:space="preserve">личный кабинет студента;</w:t>
      </w:r>
    </w:p>
    <w:p>
      <w:pPr>
        <w:pStyle w:val="05011"/>
      </w:pPr>
      <w:r>
        <w:t xml:space="preserve">проверка на заимствования;</w:t>
      </w:r>
    </w:p>
    <w:p>
      <w:pPr>
        <w:pStyle w:val="05011"/>
      </w:pPr>
      <w:r>
        <w:t xml:space="preserve">учёт посещаемости;</w:t>
      </w:r>
    </w:p>
    <w:p>
      <w:pPr>
        <w:pStyle w:val="05011"/>
      </w:pPr>
      <w:r>
        <w:t xml:space="preserve">передача изображений работ в мультимодальную LLM.</w:t>
      </w:r>
    </w:p>
    <w:p>
      <w:r>
        <w:br w:type="page"/>
      </w:r>
    </w:p>
    <w:p>
      <w:pPr>
        <w:pStyle w:val="1"/>
      </w:pPr>
      <w:bookmarkStart w:id="1046" w:name="_Toc00001046"/>
      <w:r>
        <w:t xml:space="preserve">Комплектность</w:t>
      </w:r>
      <w:bookmarkEnd w:id="1046"/>
    </w:p>
    <w:p>
      <w:pPr>
        <w:pStyle w:val="2"/>
      </w:pPr>
      <w:bookmarkStart w:id="1047" w:name="_Toc00001047"/>
      <w:r>
        <w:t xml:space="preserve">Программное обеспечение</w:t>
      </w:r>
      <w:bookmarkEnd w:id="1047"/>
    </w:p>
    <w:p>
      <w:r>
        <w:t xml:space="preserve">Состав ПО Системы приведён в таблице </w:t>
      </w:r>
      <w:r>
        <w:fldChar w:fldCharType="begin"/>
      </w:r>
      <w:r>
        <w:instrText xml:space="preserve"> REF _Ref_tbl_sw \h </w:instrText>
      </w:r>
      <w:r>
        <w:fldChar w:fldCharType="separate"/>
      </w:r>
      <w:r>
        <w:t xml:space="preserve">3.1.1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48" w:name="_Ref_tbl_sw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3.1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48"/>
      <w:r>
        <w:t xml:space="preserve"> – </w:t>
      </w:r>
      <w:r>
        <w:t xml:space="preserve">Состав программного обеспечения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2976"/>
        <w:gridCol w:w="3968"/>
        <w:gridCol w:w="2977"/>
      </w:tblGrid>
      <w:tr>
        <w:trPr>
          <w:cantSplit/>
          <w:tblHeader/>
        </w:trPr>
        <w:tc>
          <w:tcPr>
            <w:tcW w:w="2976" w:type="dxa"/>
          </w:tcPr>
          <w:p>
            <w:pPr>
              <w:pStyle w:val="032-"/>
            </w:pPr>
            <w:r>
              <w:t xml:space="preserve">Назначение</w:t>
            </w:r>
          </w:p>
        </w:tc>
        <w:tc>
          <w:tcPr>
            <w:tcW w:w="3968" w:type="dxa"/>
          </w:tcPr>
          <w:p>
            <w:pPr>
              <w:pStyle w:val="032-"/>
            </w:pPr>
            <w:r>
              <w:t xml:space="preserve">Продукт</w:t>
            </w:r>
          </w:p>
        </w:tc>
        <w:tc>
          <w:tcPr>
            <w:tcW w:w="2977" w:type="dxa"/>
          </w:tcPr>
          <w:p>
            <w:pPr>
              <w:pStyle w:val="032-"/>
            </w:pPr>
            <w:r>
              <w:t xml:space="preserve">Версия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Платформа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.NET, ASP.NET Core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10 (LTS)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СУБД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PostgreSQL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17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Доступ к БД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EF Core, Npgsql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Фоновые задачи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Hangfire, Hangfire.PostgreSql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Почта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MailKit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Извлечение текста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DocumentFormat.OpenXml, UglyToad.PdfPig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OCR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Tesseract (tesseract-ocr, tesseract-ocr-rus)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Интерфейс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Razor Pages, htmx, Alpine.js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Обратный прокси, HTTPS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Caddy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Тестирование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xUnit, Testcontainers, Playwright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  <w:tr>
        <w:trPr>
          <w:cantSplit/>
        </w:trPr>
        <w:tc>
          <w:tcPr>
            <w:tcW w:w="2976" w:type="dxa"/>
          </w:tcPr>
          <w:p>
            <w:pPr>
              <w:pStyle w:val="033-"/>
            </w:pPr>
            <w:r>
              <w:t xml:space="preserve">Контейнеризация</w:t>
            </w:r>
          </w:p>
        </w:tc>
        <w:tc>
          <w:tcPr>
            <w:tcW w:w="3968" w:type="dxa"/>
          </w:tcPr>
          <w:p>
            <w:pPr>
              <w:pStyle w:val="033-"/>
            </w:pPr>
            <w:r>
              <w:t xml:space="preserve">Docker, Docker Compose</w:t>
            </w:r>
          </w:p>
        </w:tc>
        <w:tc>
          <w:tcPr>
            <w:tcW w:w="2977" w:type="dxa"/>
          </w:tcPr>
          <w:p>
            <w:pPr>
              <w:pStyle w:val="033-"/>
            </w:pPr>
            <w:r>
              <w:t xml:space="preserve">[уточнить]</w:t>
            </w:r>
          </w:p>
        </w:tc>
      </w:tr>
    </w:tbl>
    <w:p/>
    <w:p>
      <w:pPr>
        <w:pStyle w:val="2"/>
      </w:pPr>
      <w:bookmarkStart w:id="1049" w:name="_Toc00001049"/>
      <w:r>
        <w:t xml:space="preserve">Технические средства</w:t>
      </w:r>
      <w:bookmarkEnd w:id="1049"/>
    </w:p>
    <w:p>
      <w:r>
        <w:t xml:space="preserve">Система размещается на VPS Timeweb Cloud (Российская Федерация). Требования к ресурсам сервера — [уточнить: число процессорных ядер, объём оперативной памяти, объём диска, операционная система]. Рабочее место преподавателя — компьютер или мобильное устройство с веб-браузером и доступом в Интернет.</w:t>
      </w:r>
    </w:p>
    <w:p>
      <w:pPr>
        <w:pStyle w:val="2"/>
      </w:pPr>
      <w:bookmarkStart w:id="1050" w:name="_Toc00001050"/>
      <w:r>
        <w:t xml:space="preserve">Состав развёртывания</w:t>
      </w:r>
      <w:bookmarkEnd w:id="1050"/>
    </w:p>
    <w:p>
      <w:r>
        <w:t xml:space="preserve">Система развёртывается средствами Docker Compose; состав контейнеров приведён в таблице </w:t>
      </w:r>
      <w:r>
        <w:fldChar w:fldCharType="begin"/>
      </w:r>
      <w:r>
        <w:instrText xml:space="preserve"> REF _Ref_tbl_deploy \h </w:instrText>
      </w:r>
      <w:r>
        <w:fldChar w:fldCharType="separate"/>
      </w:r>
      <w:r>
        <w:t xml:space="preserve">3.3.1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51" w:name="_Ref_tbl_deploy"/>
      <w:r>
        <w:fldChar w:fldCharType="begin"/>
      </w:r>
      <w:r>
        <w:instrText xml:space="preserve"> STYLEREF 2 \s </w:instrText>
      </w:r>
      <w:r>
        <w:fldChar w:fldCharType="separate"/>
      </w:r>
      <w:r>
        <w:t xml:space="preserve">3.3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Таблица_п \* ARABIC \s 2 </w:instrText>
      </w:r>
      <w:r>
        <w:fldChar w:fldCharType="separate"/>
      </w:r>
      <w:r>
        <w:t xml:space="preserve">1</w:t>
      </w:r>
      <w:r>
        <w:fldChar w:fldCharType="end"/>
      </w:r>
      <w:bookmarkEnd w:id="1051"/>
      <w:r>
        <w:t xml:space="preserve"> – </w:t>
      </w:r>
      <w:r>
        <w:t xml:space="preserve">Состав контейнеров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1785"/>
        <w:gridCol w:w="8136"/>
      </w:tblGrid>
      <w:tr>
        <w:trPr>
          <w:cantSplit/>
          <w:tblHeader/>
        </w:trPr>
        <w:tc>
          <w:tcPr>
            <w:tcW w:w="1785" w:type="dxa"/>
          </w:tcPr>
          <w:p>
            <w:pPr>
              <w:pStyle w:val="032-"/>
            </w:pPr>
            <w:r>
              <w:t xml:space="preserve">Контейнер</w:t>
            </w:r>
          </w:p>
        </w:tc>
        <w:tc>
          <w:tcPr>
            <w:tcW w:w="8136" w:type="dxa"/>
          </w:tcPr>
          <w:p>
            <w:pPr>
              <w:pStyle w:val="032-"/>
            </w:pPr>
            <w:r>
              <w:t xml:space="preserve">Содержание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033-"/>
            </w:pPr>
            <w:r>
              <w:t xml:space="preserve">app</w:t>
            </w:r>
          </w:p>
        </w:tc>
        <w:tc>
          <w:tcPr>
            <w:tcW w:w="8136" w:type="dxa"/>
          </w:tcPr>
          <w:p>
            <w:pPr>
              <w:pStyle w:val="033-"/>
            </w:pPr>
            <w:r>
              <w:t xml:space="preserve">Приложение labScaner (веб-интерфейс и фоновые задачи), включая tesseract-ocr и tesseract-ocr-rus; миграции БД применяются при старте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033-"/>
            </w:pPr>
            <w:r>
              <w:t xml:space="preserve">db</w:t>
            </w:r>
          </w:p>
        </w:tc>
        <w:tc>
          <w:tcPr>
            <w:tcW w:w="8136" w:type="dxa"/>
          </w:tcPr>
          <w:p>
            <w:pPr>
              <w:pStyle w:val="033-"/>
            </w:pPr>
            <w:r>
              <w:t xml:space="preserve">PostgreSQL 17, данные в постоянном томе</w:t>
            </w:r>
          </w:p>
        </w:tc>
      </w:tr>
      <w:tr>
        <w:trPr>
          <w:cantSplit/>
        </w:trPr>
        <w:tc>
          <w:tcPr>
            <w:tcW w:w="1785" w:type="dxa"/>
          </w:tcPr>
          <w:p>
            <w:pPr>
              <w:pStyle w:val="033-"/>
            </w:pPr>
            <w:r>
              <w:t xml:space="preserve">caddy</w:t>
            </w:r>
          </w:p>
        </w:tc>
        <w:tc>
          <w:tcPr>
            <w:tcW w:w="8136" w:type="dxa"/>
          </w:tcPr>
          <w:p>
            <w:pPr>
              <w:pStyle w:val="033-"/>
            </w:pPr>
            <w:r>
              <w:t xml:space="preserve">Обратный прокси с автоматическим получением сертификата HTTPS</w:t>
            </w:r>
          </w:p>
        </w:tc>
      </w:tr>
    </w:tbl>
    <w:p/>
    <w:p>
      <w:r>
        <w:t xml:space="preserve">Сборка и поставка: GitHub Actions выполняет сборку и тесты (в том числе с Testcontainers) и публикует образ в GitHub Container Registry; развёртывание по тегу версии выполняется по SSH командами docker compose pull и docker compose up -d. Ключи Data Protection хранятся в постоянном томе.</w:t>
      </w:r>
    </w:p>
    <w:p>
      <w:pPr>
        <w:pStyle w:val="2"/>
      </w:pPr>
      <w:bookmarkStart w:id="1052" w:name="_Toc00001052"/>
      <w:r>
        <w:t xml:space="preserve">Документация</w:t>
      </w:r>
      <w:bookmarkEnd w:id="1052"/>
    </w:p>
    <w:p>
      <w:r>
        <w:t xml:space="preserve">В комплект документации входят:</w:t>
      </w:r>
    </w:p>
    <w:p>
      <w:pPr>
        <w:pStyle w:val="05011"/>
      </w:pPr>
      <w:r>
        <w:t xml:space="preserve">технический паспорт (настоящий документ);</w:t>
      </w:r>
    </w:p>
    <w:p>
      <w:pPr>
        <w:pStyle w:val="05011"/>
      </w:pPr>
      <w:r>
        <w:t xml:space="preserve">описание проекта и требования, архитектура, журнал архитектурных решений, план работ;</w:t>
      </w:r>
    </w:p>
    <w:p>
      <w:pPr>
        <w:pStyle w:val="05011"/>
      </w:pPr>
      <w:r>
        <w:t xml:space="preserve">макеты интерфейса и их ревью;</w:t>
      </w:r>
    </w:p>
    <w:p>
      <w:pPr>
        <w:pStyle w:val="05011"/>
      </w:pPr>
      <w:r>
        <w:t xml:space="preserve">руководство преподавателя — [уточнить: разрабатывается после этапа 5];</w:t>
      </w:r>
    </w:p>
    <w:p>
      <w:pPr>
        <w:pStyle w:val="05011"/>
      </w:pPr>
      <w:r>
        <w:t xml:space="preserve">руководство по развёртыванию и администрированию — [уточнить: разрабатывается на этапе 8].</w:t>
      </w:r>
    </w:p>
    <w:p>
      <w:r>
        <w:br w:type="page"/>
      </w:r>
    </w:p>
    <w:p>
      <w:pPr>
        <w:pStyle w:val="1"/>
      </w:pPr>
      <w:bookmarkStart w:id="1053" w:name="_Toc00001053"/>
      <w:r>
        <w:t xml:space="preserve">Свидетельство о приёмке</w:t>
      </w:r>
      <w:bookmarkEnd w:id="1053"/>
    </w:p>
    <w:p>
      <w:r>
        <w:t xml:space="preserve">Акт о вводе Системы в эксплуатацию не оформлен: Система находится на стадии разработки (этап 1). Сведения вносятся после пилотной эксплуатации (этап 8): дата акта, подписанты, версия Системы — [уточнить].</w:t>
      </w:r>
    </w:p>
    <w:p>
      <w:r>
        <w:br w:type="page"/>
      </w:r>
    </w:p>
    <w:p>
      <w:pPr>
        <w:pStyle w:val="1"/>
      </w:pPr>
      <w:bookmarkStart w:id="1054" w:name="_Toc00001054"/>
      <w:r>
        <w:t xml:space="preserve">Гарантии разработчика</w:t>
      </w:r>
      <w:bookmarkEnd w:id="1054"/>
    </w:p>
    <w:p>
      <w:r>
        <w:t xml:space="preserve">[уточнить: разработчик Системы, гарантийные обязательства и порядок сопровождения].</w:t>
      </w:r>
    </w:p>
    <w:p>
      <w:r>
        <w:br w:type="page"/>
      </w:r>
    </w:p>
    <w:p>
      <w:pPr>
        <w:pStyle w:val="1"/>
      </w:pPr>
      <w:bookmarkStart w:id="1055" w:name="_Toc00001055"/>
      <w:r>
        <w:t xml:space="preserve">Сведения о рекламациях</w:t>
      </w:r>
      <w:bookmarkEnd w:id="1055"/>
    </w:p>
    <w:p>
      <w:r>
        <w:t xml:space="preserve">Рекламации на момент составления паспорта отсутствуют. Сведения о рекламациях вносятся по форме таблицы </w:t>
      </w:r>
      <w:r>
        <w:fldChar w:fldCharType="begin"/>
      </w:r>
      <w:r>
        <w:instrText xml:space="preserve"> REF _Ref_tbl_recl \h </w:instrText>
      </w:r>
      <w:r>
        <w:fldChar w:fldCharType="separate"/>
      </w:r>
      <w:r>
        <w:t xml:space="preserve">6.1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56" w:name="_Ref_tbl_recl"/>
      <w:r>
        <w:fldChar w:fldCharType="begin"/>
      </w:r>
      <w:r>
        <w:instrText xml:space="preserve"> STYLEREF 1 \s </w:instrText>
      </w:r>
      <w:r>
        <w:fldChar w:fldCharType="separate"/>
      </w:r>
      <w:r>
        <w:t xml:space="preserve">6</w:t>
      </w:r>
      <w:r>
        <w:fldChar w:fldCharType="end"/>
      </w:r>
      <w:r>
        <w:t xml:space="preserve">.</w:t>
      </w:r>
      <w:r>
        <w:fldChar w:fldCharType="begin"/>
      </w:r>
      <w:r>
        <w:instrText xml:space="preserve"> SEQ Таблица \* ARABIC \s 1 </w:instrText>
      </w:r>
      <w:r>
        <w:fldChar w:fldCharType="separate"/>
      </w:r>
      <w:r>
        <w:t xml:space="preserve">1</w:t>
      </w:r>
      <w:r>
        <w:fldChar w:fldCharType="end"/>
      </w:r>
      <w:bookmarkEnd w:id="1056"/>
      <w:r>
        <w:t xml:space="preserve"> – </w:t>
      </w:r>
      <w:r>
        <w:t xml:space="preserve">Сведения о рекламациях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793"/>
        <w:gridCol w:w="1587"/>
        <w:gridCol w:w="3968"/>
        <w:gridCol w:w="1984"/>
        <w:gridCol w:w="1589"/>
      </w:tblGrid>
      <w:tr>
        <w:trPr>
          <w:cantSplit/>
          <w:tblHeader/>
        </w:trPr>
        <w:tc>
          <w:tcPr>
            <w:tcW w:w="793" w:type="dxa"/>
          </w:tcPr>
          <w:p>
            <w:pPr>
              <w:pStyle w:val="032-"/>
            </w:pPr>
            <w:r>
              <w:t xml:space="preserve">№</w:t>
            </w:r>
          </w:p>
        </w:tc>
        <w:tc>
          <w:tcPr>
            <w:tcW w:w="1587" w:type="dxa"/>
          </w:tcPr>
          <w:p>
            <w:pPr>
              <w:pStyle w:val="032-"/>
            </w:pPr>
            <w:r>
              <w:t xml:space="preserve">Дата</w:t>
            </w:r>
          </w:p>
        </w:tc>
        <w:tc>
          <w:tcPr>
            <w:tcW w:w="3968" w:type="dxa"/>
          </w:tcPr>
          <w:p>
            <w:pPr>
              <w:pStyle w:val="032-"/>
            </w:pPr>
            <w:r>
              <w:t xml:space="preserve">Содержание рекламации</w:t>
            </w:r>
          </w:p>
        </w:tc>
        <w:tc>
          <w:tcPr>
            <w:tcW w:w="1984" w:type="dxa"/>
          </w:tcPr>
          <w:p>
            <w:pPr>
              <w:pStyle w:val="032-"/>
            </w:pPr>
            <w:r>
              <w:t xml:space="preserve">Принятые меры</w:t>
            </w:r>
          </w:p>
        </w:tc>
        <w:tc>
          <w:tcPr>
            <w:tcW w:w="1589" w:type="dxa"/>
          </w:tcPr>
          <w:p>
            <w:pPr>
              <w:pStyle w:val="032-"/>
            </w:pPr>
            <w:r>
              <w:t xml:space="preserve">Отметка о выполнении</w:t>
            </w:r>
          </w:p>
        </w:tc>
      </w:tr>
    </w:tbl>
    <w:p/>
    <w:p>
      <w:r>
        <w:br w:type="page"/>
      </w:r>
    </w:p>
    <w:p>
      <w:pPr>
        <w:pStyle w:val="1"/>
        <w:numPr>
          <w:ilvl w:val="0"/>
          <w:numId w:val="0"/>
        </w:numPr>
        <w:ind w:left="0" w:firstLine="0"/>
        <w:jc w:val="center"/>
      </w:pPr>
      <w:bookmarkStart w:id="1057" w:name="_Toc00001057"/>
      <w:r>
        <w:t xml:space="preserve">Приложение А. Нерешённые задачи</w:t>
      </w:r>
      <w:bookmarkEnd w:id="1057"/>
    </w:p>
    <w:p>
      <w:r>
        <w:t xml:space="preserve">Открытые вопросы в журнале решений закрыты (Q1–Q14). Нерешённые задачи на дату составления паспорта приведены в таблице </w:t>
      </w:r>
      <w:r>
        <w:fldChar w:fldCharType="begin"/>
      </w:r>
      <w:r>
        <w:instrText xml:space="preserve"> REF _Ref_tbl_open \h </w:instrText>
      </w:r>
      <w:r>
        <w:fldChar w:fldCharType="separate"/>
      </w:r>
      <w:r>
        <w:t xml:space="preserve">А.1</w:t>
      </w:r>
      <w:r>
        <w:fldChar w:fldCharType="end"/>
      </w:r>
      <w:r>
        <w:t xml:space="preserve">.</w:t>
      </w:r>
    </w:p>
    <w:p>
      <w:pPr>
        <w:pStyle w:val="031-"/>
      </w:pPr>
      <w:r>
        <w:t xml:space="preserve">Таблица </w:t>
      </w:r>
      <w:bookmarkStart w:id="1058" w:name="_Ref_tbl_open"/>
      <w:r>
        <w:t xml:space="preserve">А.1</w:t>
      </w:r>
      <w:bookmarkEnd w:id="1058"/>
      <w:r>
        <w:t xml:space="preserve"> – </w:t>
      </w:r>
      <w:r>
        <w:t xml:space="preserve">Нерешённые задачи</w:t>
      </w:r>
    </w:p>
    <w:tbl>
      <w:tblPr>
        <w:tblStyle w:val="aff0"/>
        <w:tblW w:w="5000" w:type="pct"/>
        <w:tblLayout w:type="fixed"/>
        <w:tblLook w:val="04A0" w:firstRow="1" w:lastRow="0" w:firstColumn="1" w:lastColumn="0" w:noHBand="0" w:noVBand="1"/>
      </w:tblPr>
      <w:tblGrid>
        <w:gridCol w:w="992"/>
        <w:gridCol w:w="4960"/>
        <w:gridCol w:w="3969"/>
      </w:tblGrid>
      <w:tr>
        <w:trPr>
          <w:cantSplit/>
          <w:tblHeader/>
        </w:trPr>
        <w:tc>
          <w:tcPr>
            <w:tcW w:w="992" w:type="dxa"/>
          </w:tcPr>
          <w:p>
            <w:pPr>
              <w:pStyle w:val="032-"/>
            </w:pPr>
            <w:r>
              <w:t xml:space="preserve">Источник</w:t>
            </w:r>
          </w:p>
        </w:tc>
        <w:tc>
          <w:tcPr>
            <w:tcW w:w="4960" w:type="dxa"/>
          </w:tcPr>
          <w:p>
            <w:pPr>
              <w:pStyle w:val="032-"/>
            </w:pPr>
            <w:r>
              <w:t xml:space="preserve">Задача</w:t>
            </w:r>
          </w:p>
        </w:tc>
        <w:tc>
          <w:tcPr>
            <w:tcW w:w="3969" w:type="dxa"/>
          </w:tcPr>
          <w:p>
            <w:pPr>
              <w:pStyle w:val="032-"/>
            </w:pPr>
            <w:r>
              <w:t xml:space="preserve">Влияние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В</w:t>
            </w:r>
          </w:p>
        </w:tc>
        <w:tc>
          <w:tcPr>
            <w:tcW w:w="4960" w:type="dxa"/>
          </w:tcPr>
          <w:p>
            <w:pPr>
              <w:pStyle w:val="033-"/>
            </w:pPr>
            <w:r>
              <w:t xml:space="preserve">Недорисованные макеты (ревью макетов, группа В): журнал предмета с зачётом, тёмная тема, мобильная сводка, вид без прав администратора, пустые состояния, ввод итоговой ячейки в таблице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Утверждение макетов (этап 1)</w:t>
            </w:r>
          </w:p>
        </w:tc>
      </w:tr>
      <w:tr>
        <w:trPr>
          <w:cantSplit/>
        </w:trPr>
        <w:tc>
          <w:tcPr>
            <w:tcW w:w="992" w:type="dxa"/>
          </w:tcPr>
          <w:p>
            <w:pPr>
              <w:pStyle w:val="033-"/>
            </w:pPr>
            <w:r>
              <w:t xml:space="preserve">Этап 6</w:t>
            </w:r>
          </w:p>
        </w:tc>
        <w:tc>
          <w:tcPr>
            <w:tcW w:w="4960" w:type="dxa"/>
          </w:tcPr>
          <w:p>
            <w:pPr>
              <w:pStyle w:val="033-"/>
            </w:pPr>
            <w:r>
              <w:t xml:space="preserve">Модели Timeweb AI Gateway, поддержка JSON-схемы, лимит контекста, стоимость проверки</w:t>
            </w:r>
          </w:p>
        </w:tc>
        <w:tc>
          <w:tcPr>
            <w:tcW w:w="3969" w:type="dxa"/>
          </w:tcPr>
          <w:p>
            <w:pPr>
              <w:pStyle w:val="033-"/>
            </w:pPr>
            <w:r>
              <w:t xml:space="preserve">Выбор модели и стратегия обработки длинных КР (этап 6)</w:t>
            </w:r>
          </w:p>
        </w:tc>
      </w:tr>
    </w:tbl>
    <w:p/>
    <w:sectPr w:rsidR="0021238C" w:rsidRPr="005916CA" w:rsidSect="00D02DA2">
      <w:footerReference w:type="default" r:id="rId10"/>
      <w:pgSz w:w="11906" w:h="16838"/>
      <w:pgMar w:top="1418" w:right="567" w:bottom="851" w:left="1418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BA8443" w14:textId="77777777" w:rsidR="00692FF1" w:rsidRDefault="00692FF1">
      <w:pPr>
        <w:spacing w:before="0" w:line="240" w:lineRule="auto"/>
      </w:pPr>
      <w:r>
        <w:separator/>
      </w:r>
    </w:p>
    <w:p w14:paraId="2F70B304" w14:textId="77777777" w:rsidR="00692FF1" w:rsidRDefault="00692FF1"/>
  </w:endnote>
  <w:endnote w:type="continuationSeparator" w:id="0">
    <w:p w14:paraId="6CED1538" w14:textId="77777777" w:rsidR="00692FF1" w:rsidRDefault="00692FF1">
      <w:pPr>
        <w:spacing w:before="0" w:line="240" w:lineRule="auto"/>
      </w:pPr>
      <w:r>
        <w:continuationSeparator/>
      </w:r>
    </w:p>
    <w:p w14:paraId="5E53FFED" w14:textId="77777777" w:rsidR="00692FF1" w:rsidRDefault="00692FF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Cambria Math"/>
    <w:charset w:val="00"/>
    <w:family w:val="auto"/>
    <w:pitch w:val="variable"/>
    <w:sig w:usb0="00000003" w:usb1="0200E4B4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9EF4243" w14:textId="77777777" w:rsidR="004C103B" w:rsidRDefault="009E0F11"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tabs>
        <w:tab w:val="center" w:pos="4677"/>
        <w:tab w:val="right" w:pos="9355"/>
      </w:tabs>
      <w:spacing w:before="0" w:line="240" w:lineRule="auto"/>
      <w:jc w:val="center"/>
      <w:rPr>
        <w:color w:val="000000"/>
        <w:szCs w:val="28"/>
      </w:rPr>
    </w:pPr>
    <w:r>
      <w:rPr>
        <w:color w:val="000000"/>
        <w:szCs w:val="28"/>
      </w:rPr>
      <w:fldChar w:fldCharType="begin"/>
    </w:r>
    <w:r>
      <w:rPr>
        <w:color w:val="000000"/>
        <w:szCs w:val="28"/>
      </w:rPr>
      <w:instrText>PAGE</w:instrText>
    </w:r>
    <w:r>
      <w:rPr>
        <w:color w:val="000000"/>
        <w:szCs w:val="28"/>
      </w:rPr>
      <w:fldChar w:fldCharType="separate"/>
    </w:r>
    <w:r>
      <w:rPr>
        <w:color w:val="000000"/>
        <w:szCs w:val="28"/>
      </w:rPr>
      <w:t>119</w:t>
    </w:r>
    <w:r>
      <w:rPr>
        <w:color w:val="000000"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8F897E6" w14:textId="77777777" w:rsidR="00692FF1" w:rsidRDefault="00692FF1">
      <w:pPr>
        <w:spacing w:before="0" w:line="240" w:lineRule="auto"/>
      </w:pPr>
      <w:r>
        <w:separator/>
      </w:r>
    </w:p>
    <w:p w14:paraId="73E84112" w14:textId="77777777" w:rsidR="00692FF1" w:rsidRDefault="00692FF1"/>
  </w:footnote>
  <w:footnote w:type="continuationSeparator" w:id="0">
    <w:p w14:paraId="3C2E02F2" w14:textId="77777777" w:rsidR="00692FF1" w:rsidRDefault="00692FF1">
      <w:pPr>
        <w:spacing w:before="0" w:line="240" w:lineRule="auto"/>
      </w:pPr>
      <w:r>
        <w:continuationSeparator/>
      </w:r>
    </w:p>
    <w:p w14:paraId="4C33C34C" w14:textId="77777777" w:rsidR="00692FF1" w:rsidRDefault="00692FF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045E90"/>
    <w:multiLevelType w:val="hybridMultilevel"/>
    <w:tmpl w:val="E8FA4208"/>
    <w:lvl w:ilvl="0" w:tplc="3CFCF95C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47008C4"/>
    <w:multiLevelType w:val="hybridMultilevel"/>
    <w:tmpl w:val="D1B6AD78"/>
    <w:lvl w:ilvl="0" w:tplc="675C9DF6">
      <w:start w:val="1"/>
      <w:numFmt w:val="bullet"/>
      <w:lvlText w:val=""/>
      <w:lvlJc w:val="left"/>
      <w:pPr>
        <w:ind w:left="1276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textOutline w14:w="0" w14:cap="rnd" w14:cmpd="sng" w14:algn="ctr">
          <w14:noFill/>
          <w14:prstDash w14:val="solid"/>
          <w14:bevel/>
        </w14:textOutline>
        <w14:ligatures w14:val="none"/>
      </w:rPr>
    </w:lvl>
    <w:lvl w:ilvl="1" w:tplc="80363A56">
      <w:start w:val="1"/>
      <w:numFmt w:val="bullet"/>
      <w:lvlText w:val="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 w:tplc="78FE3302">
      <w:start w:val="1"/>
      <w:numFmt w:val="bullet"/>
      <w:lvlText w:val="—"/>
      <w:lvlJc w:val="left"/>
      <w:pPr>
        <w:ind w:left="3054" w:hanging="360"/>
      </w:pPr>
      <w:rPr>
        <w:rFonts w:ascii="Times New Roman" w:eastAsia="Times New Roman" w:hAnsi="Times New Roman" w:cs="Times New Roman"/>
      </w:rPr>
    </w:lvl>
    <w:lvl w:ilvl="3" w:tplc="29C84870">
      <w:start w:val="1"/>
      <w:numFmt w:val="bullet"/>
      <w:lvlText w:val="—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4" w:tplc="854A0598">
      <w:start w:val="1"/>
      <w:numFmt w:val="bullet"/>
      <w:lvlText w:val="⎯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 w:tplc="F6083F6C">
      <w:start w:val="1"/>
      <w:numFmt w:val="bullet"/>
      <w:lvlText w:val="➢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 w:tplc="5EF4471E">
      <w:start w:val="1"/>
      <w:numFmt w:val="bullet"/>
      <w:lvlText w:val=""/>
      <w:lvlJc w:val="left"/>
      <w:pPr>
        <w:ind w:left="2520" w:hanging="360"/>
      </w:pPr>
      <w:rPr>
        <w:rFonts w:ascii="Symbol" w:hAnsi="Symbol" w:hint="default"/>
        <w:lang w:val="ru-RU"/>
      </w:rPr>
    </w:lvl>
    <w:lvl w:ilvl="7" w:tplc="BF280AF4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 w:tplc="A7D64B30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2CE757C7"/>
    <w:multiLevelType w:val="multilevel"/>
    <w:tmpl w:val="0419001F"/>
    <w:lvl w:ilvl="0">
      <w:start w:val="1"/>
      <w:numFmt w:val="decimal"/>
      <w:pStyle w:val="04011"/>
      <w:lvlText w:val="%1."/>
      <w:lvlJc w:val="left"/>
      <w:pPr>
        <w:ind w:left="360" w:hanging="360"/>
      </w:pPr>
    </w:lvl>
    <w:lvl w:ilvl="1">
      <w:start w:val="1"/>
      <w:numFmt w:val="decimal"/>
      <w:pStyle w:val="04022"/>
      <w:lvlText w:val="%1.%2."/>
      <w:lvlJc w:val="left"/>
      <w:pPr>
        <w:ind w:left="792" w:hanging="432"/>
      </w:pPr>
    </w:lvl>
    <w:lvl w:ilvl="2">
      <w:start w:val="1"/>
      <w:numFmt w:val="decimal"/>
      <w:pStyle w:val="0403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318441C8"/>
    <w:multiLevelType w:val="hybridMultilevel"/>
    <w:tmpl w:val="BE869E88"/>
    <w:lvl w:ilvl="0" w:tplc="7674C5C4">
      <w:start w:val="1"/>
      <w:numFmt w:val="bullet"/>
      <w:lvlText w:val=""/>
      <w:lvlJc w:val="left"/>
      <w:pPr>
        <w:ind w:left="1276" w:hanging="360"/>
      </w:pPr>
      <w:rPr>
        <w:rFonts w:ascii="Symbol" w:hAnsi="Symbol" w:hint="default"/>
        <w:b w:val="0"/>
        <w:bCs w:val="0"/>
        <w:i w:val="0"/>
        <w:iCs w:val="0"/>
        <w:caps w:val="0"/>
        <w:smallCaps w:val="0"/>
        <w:strike w:val="0"/>
        <w:vanish w:val="0"/>
        <w:color w:val="000000"/>
        <w:spacing w:val="0"/>
        <w:position w:val="0"/>
        <w:sz w:val="0"/>
        <w:szCs w:val="0"/>
        <w:u w:val="none"/>
        <w:shd w:val="clear" w:color="000000" w:fill="000000"/>
        <w:vertAlign w:val="baseline"/>
        <w14:textOutline w14:w="0" w14:cap="rnd" w14:cmpd="sng" w14:algn="ctr">
          <w14:noFill/>
          <w14:prstDash w14:val="solid"/>
          <w14:bevel/>
        </w14:textOutline>
        <w14:ligatures w14:val="none"/>
      </w:rPr>
    </w:lvl>
    <w:lvl w:ilvl="1" w:tplc="9E64E588">
      <w:start w:val="1"/>
      <w:numFmt w:val="bullet"/>
      <w:lvlText w:val="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 w:tplc="26D29A92">
      <w:start w:val="1"/>
      <w:numFmt w:val="bullet"/>
      <w:lvlText w:val="—"/>
      <w:lvlJc w:val="left"/>
      <w:pPr>
        <w:ind w:left="3054" w:hanging="360"/>
      </w:pPr>
      <w:rPr>
        <w:rFonts w:ascii="Times New Roman" w:eastAsia="Times New Roman" w:hAnsi="Times New Roman" w:cs="Times New Roman"/>
      </w:rPr>
    </w:lvl>
    <w:lvl w:ilvl="3" w:tplc="5D061B70">
      <w:start w:val="1"/>
      <w:numFmt w:val="bullet"/>
      <w:lvlText w:val="—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4" w:tplc="F4BEBD86">
      <w:start w:val="1"/>
      <w:numFmt w:val="bullet"/>
      <w:lvlText w:val="⎯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 w:tplc="561AABB6">
      <w:start w:val="1"/>
      <w:numFmt w:val="bullet"/>
      <w:lvlText w:val="➢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 w:tplc="16FE7710">
      <w:start w:val="1"/>
      <w:numFmt w:val="bullet"/>
      <w:pStyle w:val="05011"/>
      <w:lvlText w:val=""/>
      <w:lvlJc w:val="left"/>
      <w:pPr>
        <w:ind w:left="2520" w:hanging="360"/>
      </w:pPr>
      <w:rPr>
        <w:rFonts w:ascii="Symbol" w:hAnsi="Symbol" w:hint="default"/>
        <w:lang w:val="ru-RU"/>
      </w:rPr>
    </w:lvl>
    <w:lvl w:ilvl="7" w:tplc="12A83120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 w:tplc="ED30DDC4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FB63EAD"/>
    <w:multiLevelType w:val="hybridMultilevel"/>
    <w:tmpl w:val="701679DE"/>
    <w:lvl w:ilvl="0" w:tplc="D80E5114">
      <w:start w:val="1"/>
      <w:numFmt w:val="bullet"/>
      <w:pStyle w:val="0504-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D21C365C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CA54946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53E68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2EA50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2FEA2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B58104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B0A07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79BA54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0408C9"/>
    <w:multiLevelType w:val="hybridMultilevel"/>
    <w:tmpl w:val="7A244854"/>
    <w:lvl w:ilvl="0" w:tplc="2CD44698">
      <w:start w:val="1"/>
      <w:numFmt w:val="bullet"/>
      <w:lvlText w:val="—"/>
      <w:lvlJc w:val="left"/>
      <w:pPr>
        <w:ind w:left="360" w:hanging="360"/>
      </w:pPr>
      <w:rPr>
        <w:rFonts w:ascii="Times New Roman" w:eastAsia="Times New Roman" w:hAnsi="Times New Roman" w:cs="Times New Roman"/>
      </w:rPr>
    </w:lvl>
    <w:lvl w:ilvl="1" w:tplc="81761D36">
      <w:start w:val="1"/>
      <w:numFmt w:val="bullet"/>
      <w:lvlText w:val="➢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2" w:tplc="17208DCC">
      <w:start w:val="1"/>
      <w:numFmt w:val="bullet"/>
      <w:lvlText w:val="—"/>
      <w:lvlJc w:val="left"/>
      <w:pPr>
        <w:ind w:left="3054" w:hanging="360"/>
      </w:pPr>
      <w:rPr>
        <w:rFonts w:ascii="Times New Roman" w:eastAsia="Times New Roman" w:hAnsi="Times New Roman" w:cs="Times New Roman"/>
      </w:rPr>
    </w:lvl>
    <w:lvl w:ilvl="3" w:tplc="468614FE">
      <w:start w:val="1"/>
      <w:numFmt w:val="bullet"/>
      <w:lvlText w:val="—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4" w:tplc="C486DF34">
      <w:start w:val="1"/>
      <w:numFmt w:val="bullet"/>
      <w:lvlText w:val="⎯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5" w:tplc="92BA5C7C">
      <w:start w:val="1"/>
      <w:numFmt w:val="bullet"/>
      <w:lvlText w:val="➢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6" w:tplc="8884A9F0">
      <w:start w:val="1"/>
      <w:numFmt w:val="bullet"/>
      <w:lvlText w:val=""/>
      <w:lvlJc w:val="left"/>
      <w:pPr>
        <w:ind w:left="2520" w:hanging="360"/>
      </w:pPr>
      <w:rPr>
        <w:rFonts w:ascii="Symbol" w:hAnsi="Symbol" w:hint="default"/>
      </w:rPr>
    </w:lvl>
    <w:lvl w:ilvl="7" w:tplc="C97C2C0A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8" w:tplc="FF807756">
      <w:start w:val="1"/>
      <w:numFmt w:val="bullet"/>
      <w:lvlText w:val="♦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60237109"/>
    <w:multiLevelType w:val="hybridMultilevel"/>
    <w:tmpl w:val="6724627A"/>
    <w:lvl w:ilvl="0" w:tplc="7B96BD72">
      <w:start w:val="1"/>
      <w:numFmt w:val="bullet"/>
      <w:lvlText w:val=""/>
      <w:lvlJc w:val="left"/>
      <w:pPr>
        <w:ind w:left="163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6B765FBC"/>
    <w:multiLevelType w:val="multilevel"/>
    <w:tmpl w:val="ECF06E72"/>
    <w:lvl w:ilvl="0">
      <w:start w:val="1"/>
      <w:numFmt w:val="decimal"/>
      <w:pStyle w:val="1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0" w:firstLine="0"/>
      </w:pPr>
      <w:rPr>
        <w:rFonts w:hint="default"/>
        <w:b/>
      </w:rPr>
    </w:lvl>
    <w:lvl w:ilvl="3">
      <w:start w:val="1"/>
      <w:numFmt w:val="decimal"/>
      <w:pStyle w:val="4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0"/>
      </w:pPr>
      <w:rPr>
        <w:rFonts w:hint="default"/>
      </w:rPr>
    </w:lvl>
  </w:abstractNum>
  <w:num w:numId="1">
    <w:abstractNumId w:val="7"/>
  </w:num>
  <w:num w:numId="2">
    <w:abstractNumId w:val="3"/>
  </w:num>
  <w:num w:numId="3">
    <w:abstractNumId w:val="2"/>
  </w:num>
  <w:num w:numId="4">
    <w:abstractNumId w:val="4"/>
  </w:num>
  <w:num w:numId="5">
    <w:abstractNumId w:val="6"/>
  </w:num>
  <w:num w:numId="6">
    <w:abstractNumId w:val="5"/>
  </w:num>
  <w:num w:numId="7">
    <w:abstractNumId w:val="0"/>
  </w:num>
  <w:num w:numId="8">
    <w:abstractNumId w:val="1"/>
  </w:num>
  <w:num w:numId="90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 w:numId="9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C103B"/>
    <w:rsid w:val="000011A4"/>
    <w:rsid w:val="000023BF"/>
    <w:rsid w:val="00002D03"/>
    <w:rsid w:val="000041C5"/>
    <w:rsid w:val="00004F1B"/>
    <w:rsid w:val="000061E9"/>
    <w:rsid w:val="00006CF0"/>
    <w:rsid w:val="0001217C"/>
    <w:rsid w:val="000165ED"/>
    <w:rsid w:val="00016A2E"/>
    <w:rsid w:val="00017708"/>
    <w:rsid w:val="00022520"/>
    <w:rsid w:val="00023172"/>
    <w:rsid w:val="00023A32"/>
    <w:rsid w:val="00024B63"/>
    <w:rsid w:val="00024D2C"/>
    <w:rsid w:val="00030E51"/>
    <w:rsid w:val="00031704"/>
    <w:rsid w:val="00033549"/>
    <w:rsid w:val="0003424D"/>
    <w:rsid w:val="0004396B"/>
    <w:rsid w:val="00045DA8"/>
    <w:rsid w:val="0004776C"/>
    <w:rsid w:val="0006016D"/>
    <w:rsid w:val="00065DAB"/>
    <w:rsid w:val="000676FB"/>
    <w:rsid w:val="0006770C"/>
    <w:rsid w:val="00067926"/>
    <w:rsid w:val="000709ED"/>
    <w:rsid w:val="000729C2"/>
    <w:rsid w:val="00073E8E"/>
    <w:rsid w:val="00074A7E"/>
    <w:rsid w:val="000753A4"/>
    <w:rsid w:val="00076067"/>
    <w:rsid w:val="00076535"/>
    <w:rsid w:val="000766E0"/>
    <w:rsid w:val="000808B5"/>
    <w:rsid w:val="00080AA3"/>
    <w:rsid w:val="000848D0"/>
    <w:rsid w:val="00085BEE"/>
    <w:rsid w:val="000914A1"/>
    <w:rsid w:val="0009542F"/>
    <w:rsid w:val="000A06F4"/>
    <w:rsid w:val="000A0789"/>
    <w:rsid w:val="000A0A0E"/>
    <w:rsid w:val="000A5402"/>
    <w:rsid w:val="000A733D"/>
    <w:rsid w:val="000B0BCB"/>
    <w:rsid w:val="000B1F6C"/>
    <w:rsid w:val="000B3709"/>
    <w:rsid w:val="000C037B"/>
    <w:rsid w:val="000C1B31"/>
    <w:rsid w:val="000C273D"/>
    <w:rsid w:val="000C6874"/>
    <w:rsid w:val="000D0306"/>
    <w:rsid w:val="000D193A"/>
    <w:rsid w:val="000D2474"/>
    <w:rsid w:val="000D2562"/>
    <w:rsid w:val="000D5E97"/>
    <w:rsid w:val="000D6BF9"/>
    <w:rsid w:val="000D7948"/>
    <w:rsid w:val="000E1D81"/>
    <w:rsid w:val="000E3195"/>
    <w:rsid w:val="000E7015"/>
    <w:rsid w:val="000F08FD"/>
    <w:rsid w:val="000F1B2B"/>
    <w:rsid w:val="000F2EE4"/>
    <w:rsid w:val="000F58BA"/>
    <w:rsid w:val="000F61BF"/>
    <w:rsid w:val="00100315"/>
    <w:rsid w:val="001032C3"/>
    <w:rsid w:val="00107A51"/>
    <w:rsid w:val="00111EC5"/>
    <w:rsid w:val="00112F86"/>
    <w:rsid w:val="0011478A"/>
    <w:rsid w:val="0011511D"/>
    <w:rsid w:val="001165E8"/>
    <w:rsid w:val="0011672D"/>
    <w:rsid w:val="00117446"/>
    <w:rsid w:val="00117991"/>
    <w:rsid w:val="0012131D"/>
    <w:rsid w:val="001237B6"/>
    <w:rsid w:val="00123EC3"/>
    <w:rsid w:val="00125799"/>
    <w:rsid w:val="00125A23"/>
    <w:rsid w:val="00126037"/>
    <w:rsid w:val="00126E47"/>
    <w:rsid w:val="00127F96"/>
    <w:rsid w:val="00131798"/>
    <w:rsid w:val="001371B1"/>
    <w:rsid w:val="001375D6"/>
    <w:rsid w:val="0014150C"/>
    <w:rsid w:val="00142750"/>
    <w:rsid w:val="00144281"/>
    <w:rsid w:val="00144944"/>
    <w:rsid w:val="001449EE"/>
    <w:rsid w:val="001528BC"/>
    <w:rsid w:val="00153009"/>
    <w:rsid w:val="001540D2"/>
    <w:rsid w:val="00154FBE"/>
    <w:rsid w:val="001554B8"/>
    <w:rsid w:val="00155C61"/>
    <w:rsid w:val="00156A1C"/>
    <w:rsid w:val="001575A2"/>
    <w:rsid w:val="00157873"/>
    <w:rsid w:val="00157AA0"/>
    <w:rsid w:val="001603AB"/>
    <w:rsid w:val="001612C3"/>
    <w:rsid w:val="00162028"/>
    <w:rsid w:val="00162316"/>
    <w:rsid w:val="00163B45"/>
    <w:rsid w:val="00163BB2"/>
    <w:rsid w:val="001662BE"/>
    <w:rsid w:val="00167845"/>
    <w:rsid w:val="00172F92"/>
    <w:rsid w:val="00173B89"/>
    <w:rsid w:val="0017603D"/>
    <w:rsid w:val="00176936"/>
    <w:rsid w:val="00183BA1"/>
    <w:rsid w:val="00186101"/>
    <w:rsid w:val="0018660D"/>
    <w:rsid w:val="00186836"/>
    <w:rsid w:val="00186929"/>
    <w:rsid w:val="00187E65"/>
    <w:rsid w:val="00190C8C"/>
    <w:rsid w:val="00191589"/>
    <w:rsid w:val="00191C12"/>
    <w:rsid w:val="00192814"/>
    <w:rsid w:val="00192845"/>
    <w:rsid w:val="00195D1F"/>
    <w:rsid w:val="00197432"/>
    <w:rsid w:val="001A3DA8"/>
    <w:rsid w:val="001A5D2F"/>
    <w:rsid w:val="001A7500"/>
    <w:rsid w:val="001B0DDD"/>
    <w:rsid w:val="001B2CBD"/>
    <w:rsid w:val="001C16A0"/>
    <w:rsid w:val="001C4E08"/>
    <w:rsid w:val="001C4F49"/>
    <w:rsid w:val="001C68E7"/>
    <w:rsid w:val="001D0F01"/>
    <w:rsid w:val="001D1F49"/>
    <w:rsid w:val="001D22EC"/>
    <w:rsid w:val="001D24F4"/>
    <w:rsid w:val="001D3FD2"/>
    <w:rsid w:val="001D6452"/>
    <w:rsid w:val="001D7CCF"/>
    <w:rsid w:val="001D7E7E"/>
    <w:rsid w:val="001E09A1"/>
    <w:rsid w:val="001E413E"/>
    <w:rsid w:val="001E5CB2"/>
    <w:rsid w:val="001F21A4"/>
    <w:rsid w:val="001F3435"/>
    <w:rsid w:val="001F690B"/>
    <w:rsid w:val="001F7339"/>
    <w:rsid w:val="00206C66"/>
    <w:rsid w:val="00210D63"/>
    <w:rsid w:val="00210E14"/>
    <w:rsid w:val="0021110D"/>
    <w:rsid w:val="0021238C"/>
    <w:rsid w:val="00212716"/>
    <w:rsid w:val="00222CC0"/>
    <w:rsid w:val="00222E2C"/>
    <w:rsid w:val="00222F60"/>
    <w:rsid w:val="00224530"/>
    <w:rsid w:val="00225FBF"/>
    <w:rsid w:val="00226533"/>
    <w:rsid w:val="002268F5"/>
    <w:rsid w:val="00226FE2"/>
    <w:rsid w:val="002270E8"/>
    <w:rsid w:val="0023243C"/>
    <w:rsid w:val="002324C8"/>
    <w:rsid w:val="00235302"/>
    <w:rsid w:val="0023579A"/>
    <w:rsid w:val="002369C4"/>
    <w:rsid w:val="00242688"/>
    <w:rsid w:val="00242AA6"/>
    <w:rsid w:val="00243F21"/>
    <w:rsid w:val="002443D5"/>
    <w:rsid w:val="00244431"/>
    <w:rsid w:val="0025075B"/>
    <w:rsid w:val="00250EBF"/>
    <w:rsid w:val="00251732"/>
    <w:rsid w:val="00252F59"/>
    <w:rsid w:val="002573C4"/>
    <w:rsid w:val="00260923"/>
    <w:rsid w:val="002636FF"/>
    <w:rsid w:val="00266E1F"/>
    <w:rsid w:val="002708C8"/>
    <w:rsid w:val="00270A2E"/>
    <w:rsid w:val="002712EC"/>
    <w:rsid w:val="002714DB"/>
    <w:rsid w:val="002714EC"/>
    <w:rsid w:val="002737C3"/>
    <w:rsid w:val="00274100"/>
    <w:rsid w:val="00274844"/>
    <w:rsid w:val="00274DD7"/>
    <w:rsid w:val="0027545E"/>
    <w:rsid w:val="00275B1C"/>
    <w:rsid w:val="002763D4"/>
    <w:rsid w:val="0027748C"/>
    <w:rsid w:val="00280E8F"/>
    <w:rsid w:val="00280EC0"/>
    <w:rsid w:val="00283D2A"/>
    <w:rsid w:val="00285EA3"/>
    <w:rsid w:val="002877E3"/>
    <w:rsid w:val="00295303"/>
    <w:rsid w:val="00295677"/>
    <w:rsid w:val="00296917"/>
    <w:rsid w:val="00296DCA"/>
    <w:rsid w:val="002A1DD7"/>
    <w:rsid w:val="002A337C"/>
    <w:rsid w:val="002A3E91"/>
    <w:rsid w:val="002A659E"/>
    <w:rsid w:val="002B083C"/>
    <w:rsid w:val="002B102F"/>
    <w:rsid w:val="002B124E"/>
    <w:rsid w:val="002B2D97"/>
    <w:rsid w:val="002B50EC"/>
    <w:rsid w:val="002B754C"/>
    <w:rsid w:val="002B7F75"/>
    <w:rsid w:val="002C2756"/>
    <w:rsid w:val="002C3BB3"/>
    <w:rsid w:val="002C461A"/>
    <w:rsid w:val="002C46BD"/>
    <w:rsid w:val="002C6B1C"/>
    <w:rsid w:val="002D2833"/>
    <w:rsid w:val="002D2BC2"/>
    <w:rsid w:val="002D3F93"/>
    <w:rsid w:val="002D47B5"/>
    <w:rsid w:val="002E2129"/>
    <w:rsid w:val="002E3B7F"/>
    <w:rsid w:val="002E451E"/>
    <w:rsid w:val="002E537B"/>
    <w:rsid w:val="002F5B48"/>
    <w:rsid w:val="002F649A"/>
    <w:rsid w:val="00302126"/>
    <w:rsid w:val="0030288F"/>
    <w:rsid w:val="00306F35"/>
    <w:rsid w:val="00313171"/>
    <w:rsid w:val="003144A1"/>
    <w:rsid w:val="0031569B"/>
    <w:rsid w:val="00315B3F"/>
    <w:rsid w:val="00317860"/>
    <w:rsid w:val="00317865"/>
    <w:rsid w:val="003204A1"/>
    <w:rsid w:val="00320EE7"/>
    <w:rsid w:val="00320F52"/>
    <w:rsid w:val="0032197D"/>
    <w:rsid w:val="00324F34"/>
    <w:rsid w:val="00325735"/>
    <w:rsid w:val="00325D9C"/>
    <w:rsid w:val="00326ABC"/>
    <w:rsid w:val="00337C7D"/>
    <w:rsid w:val="00344C41"/>
    <w:rsid w:val="00344C83"/>
    <w:rsid w:val="0034506C"/>
    <w:rsid w:val="00347341"/>
    <w:rsid w:val="00347D72"/>
    <w:rsid w:val="00354EA0"/>
    <w:rsid w:val="00356944"/>
    <w:rsid w:val="003603DF"/>
    <w:rsid w:val="003612BC"/>
    <w:rsid w:val="003618FB"/>
    <w:rsid w:val="0036295E"/>
    <w:rsid w:val="00362B28"/>
    <w:rsid w:val="00364F68"/>
    <w:rsid w:val="00365FE7"/>
    <w:rsid w:val="00366369"/>
    <w:rsid w:val="00367A17"/>
    <w:rsid w:val="00371D41"/>
    <w:rsid w:val="00372842"/>
    <w:rsid w:val="00372D99"/>
    <w:rsid w:val="00374336"/>
    <w:rsid w:val="00374A2E"/>
    <w:rsid w:val="0037524D"/>
    <w:rsid w:val="00377D80"/>
    <w:rsid w:val="00380EAB"/>
    <w:rsid w:val="00381210"/>
    <w:rsid w:val="00381B67"/>
    <w:rsid w:val="0038443A"/>
    <w:rsid w:val="003858A0"/>
    <w:rsid w:val="00387A43"/>
    <w:rsid w:val="0039162C"/>
    <w:rsid w:val="00392BBA"/>
    <w:rsid w:val="003930AD"/>
    <w:rsid w:val="00395A3B"/>
    <w:rsid w:val="003A0396"/>
    <w:rsid w:val="003A0913"/>
    <w:rsid w:val="003A0921"/>
    <w:rsid w:val="003A0C73"/>
    <w:rsid w:val="003A0DFB"/>
    <w:rsid w:val="003A0F0E"/>
    <w:rsid w:val="003A1692"/>
    <w:rsid w:val="003A1711"/>
    <w:rsid w:val="003A2100"/>
    <w:rsid w:val="003A2AB9"/>
    <w:rsid w:val="003A3003"/>
    <w:rsid w:val="003A3ED4"/>
    <w:rsid w:val="003A6F21"/>
    <w:rsid w:val="003B05F5"/>
    <w:rsid w:val="003B5C56"/>
    <w:rsid w:val="003C2E08"/>
    <w:rsid w:val="003C4128"/>
    <w:rsid w:val="003D0780"/>
    <w:rsid w:val="003D3A8B"/>
    <w:rsid w:val="003D575F"/>
    <w:rsid w:val="003D7822"/>
    <w:rsid w:val="003E3525"/>
    <w:rsid w:val="003E468C"/>
    <w:rsid w:val="003F11CC"/>
    <w:rsid w:val="003F309C"/>
    <w:rsid w:val="003F3403"/>
    <w:rsid w:val="003F405A"/>
    <w:rsid w:val="003F58CA"/>
    <w:rsid w:val="003F739E"/>
    <w:rsid w:val="003F7F47"/>
    <w:rsid w:val="00401401"/>
    <w:rsid w:val="00401EF3"/>
    <w:rsid w:val="0040598E"/>
    <w:rsid w:val="00405D1A"/>
    <w:rsid w:val="00405F5C"/>
    <w:rsid w:val="00406BE7"/>
    <w:rsid w:val="00407BFA"/>
    <w:rsid w:val="00411034"/>
    <w:rsid w:val="004113FF"/>
    <w:rsid w:val="004114CD"/>
    <w:rsid w:val="00413D80"/>
    <w:rsid w:val="00417E9E"/>
    <w:rsid w:val="00424BB5"/>
    <w:rsid w:val="00427A89"/>
    <w:rsid w:val="0043070D"/>
    <w:rsid w:val="00434148"/>
    <w:rsid w:val="00434582"/>
    <w:rsid w:val="004374F2"/>
    <w:rsid w:val="00444103"/>
    <w:rsid w:val="004458E5"/>
    <w:rsid w:val="004464D2"/>
    <w:rsid w:val="00446E0C"/>
    <w:rsid w:val="004515ED"/>
    <w:rsid w:val="00451C3E"/>
    <w:rsid w:val="004523DE"/>
    <w:rsid w:val="00452B9C"/>
    <w:rsid w:val="00453CDC"/>
    <w:rsid w:val="004564E3"/>
    <w:rsid w:val="00457669"/>
    <w:rsid w:val="0046266E"/>
    <w:rsid w:val="00465C43"/>
    <w:rsid w:val="00466A93"/>
    <w:rsid w:val="004712CD"/>
    <w:rsid w:val="00472354"/>
    <w:rsid w:val="00474379"/>
    <w:rsid w:val="00475AE4"/>
    <w:rsid w:val="00475B45"/>
    <w:rsid w:val="0047612D"/>
    <w:rsid w:val="00482D16"/>
    <w:rsid w:val="00485B8F"/>
    <w:rsid w:val="00495A6C"/>
    <w:rsid w:val="004969B8"/>
    <w:rsid w:val="004A0010"/>
    <w:rsid w:val="004A417C"/>
    <w:rsid w:val="004A51D4"/>
    <w:rsid w:val="004A53DB"/>
    <w:rsid w:val="004A646D"/>
    <w:rsid w:val="004B72A4"/>
    <w:rsid w:val="004C0548"/>
    <w:rsid w:val="004C103B"/>
    <w:rsid w:val="004C1A12"/>
    <w:rsid w:val="004C376D"/>
    <w:rsid w:val="004C426B"/>
    <w:rsid w:val="004C5F1D"/>
    <w:rsid w:val="004C7753"/>
    <w:rsid w:val="004C785F"/>
    <w:rsid w:val="004D05F1"/>
    <w:rsid w:val="004D1757"/>
    <w:rsid w:val="004D27AD"/>
    <w:rsid w:val="004D561A"/>
    <w:rsid w:val="004D56B8"/>
    <w:rsid w:val="004E0E59"/>
    <w:rsid w:val="004E1F51"/>
    <w:rsid w:val="004E2057"/>
    <w:rsid w:val="004E5232"/>
    <w:rsid w:val="004E646E"/>
    <w:rsid w:val="004F03D1"/>
    <w:rsid w:val="004F303B"/>
    <w:rsid w:val="004F49B7"/>
    <w:rsid w:val="004F533B"/>
    <w:rsid w:val="005045EE"/>
    <w:rsid w:val="00511089"/>
    <w:rsid w:val="00511C80"/>
    <w:rsid w:val="00511D3A"/>
    <w:rsid w:val="00511EBA"/>
    <w:rsid w:val="005132D8"/>
    <w:rsid w:val="00514526"/>
    <w:rsid w:val="00515A7E"/>
    <w:rsid w:val="00516436"/>
    <w:rsid w:val="00516639"/>
    <w:rsid w:val="005247CD"/>
    <w:rsid w:val="00525290"/>
    <w:rsid w:val="005253CB"/>
    <w:rsid w:val="0052677B"/>
    <w:rsid w:val="005268F1"/>
    <w:rsid w:val="005301B5"/>
    <w:rsid w:val="00532FA1"/>
    <w:rsid w:val="0053446F"/>
    <w:rsid w:val="00536DF0"/>
    <w:rsid w:val="00537B26"/>
    <w:rsid w:val="00544249"/>
    <w:rsid w:val="00544E89"/>
    <w:rsid w:val="00546189"/>
    <w:rsid w:val="00550D7F"/>
    <w:rsid w:val="0055127E"/>
    <w:rsid w:val="00554769"/>
    <w:rsid w:val="00555AB1"/>
    <w:rsid w:val="00557B20"/>
    <w:rsid w:val="005608FD"/>
    <w:rsid w:val="00564093"/>
    <w:rsid w:val="00565DE4"/>
    <w:rsid w:val="0056753D"/>
    <w:rsid w:val="00571280"/>
    <w:rsid w:val="00571B32"/>
    <w:rsid w:val="00572EB0"/>
    <w:rsid w:val="005745FF"/>
    <w:rsid w:val="00576820"/>
    <w:rsid w:val="0057743B"/>
    <w:rsid w:val="0058267A"/>
    <w:rsid w:val="00583152"/>
    <w:rsid w:val="0058585F"/>
    <w:rsid w:val="0058661D"/>
    <w:rsid w:val="005903DA"/>
    <w:rsid w:val="005916CA"/>
    <w:rsid w:val="00591EF9"/>
    <w:rsid w:val="00591FB2"/>
    <w:rsid w:val="00592D3E"/>
    <w:rsid w:val="00596216"/>
    <w:rsid w:val="0059653E"/>
    <w:rsid w:val="00596A1F"/>
    <w:rsid w:val="0059712D"/>
    <w:rsid w:val="00597B4A"/>
    <w:rsid w:val="00597FBC"/>
    <w:rsid w:val="005A0A47"/>
    <w:rsid w:val="005A3FE4"/>
    <w:rsid w:val="005A4DDC"/>
    <w:rsid w:val="005A7BD3"/>
    <w:rsid w:val="005B215D"/>
    <w:rsid w:val="005B5FFF"/>
    <w:rsid w:val="005C0AB1"/>
    <w:rsid w:val="005C0CFB"/>
    <w:rsid w:val="005C112E"/>
    <w:rsid w:val="005C220D"/>
    <w:rsid w:val="005C7102"/>
    <w:rsid w:val="005D6493"/>
    <w:rsid w:val="005D670A"/>
    <w:rsid w:val="005E1847"/>
    <w:rsid w:val="005E272B"/>
    <w:rsid w:val="005E2F53"/>
    <w:rsid w:val="005E3EA6"/>
    <w:rsid w:val="005E5600"/>
    <w:rsid w:val="005E6882"/>
    <w:rsid w:val="005F042F"/>
    <w:rsid w:val="005F1BCF"/>
    <w:rsid w:val="005F21EB"/>
    <w:rsid w:val="005F38C3"/>
    <w:rsid w:val="005F4FA7"/>
    <w:rsid w:val="005F617C"/>
    <w:rsid w:val="005F63D6"/>
    <w:rsid w:val="006036B8"/>
    <w:rsid w:val="006036F9"/>
    <w:rsid w:val="00603B3F"/>
    <w:rsid w:val="00604BE4"/>
    <w:rsid w:val="00610DC4"/>
    <w:rsid w:val="00614A5E"/>
    <w:rsid w:val="0061501B"/>
    <w:rsid w:val="0062038C"/>
    <w:rsid w:val="00620414"/>
    <w:rsid w:val="006211D8"/>
    <w:rsid w:val="00624F55"/>
    <w:rsid w:val="00626008"/>
    <w:rsid w:val="00631546"/>
    <w:rsid w:val="00634254"/>
    <w:rsid w:val="00635070"/>
    <w:rsid w:val="0063547F"/>
    <w:rsid w:val="00646EBF"/>
    <w:rsid w:val="00647695"/>
    <w:rsid w:val="0067222C"/>
    <w:rsid w:val="00674356"/>
    <w:rsid w:val="00676A54"/>
    <w:rsid w:val="006822B0"/>
    <w:rsid w:val="006845AE"/>
    <w:rsid w:val="00687D48"/>
    <w:rsid w:val="00690746"/>
    <w:rsid w:val="00690B2B"/>
    <w:rsid w:val="0069186E"/>
    <w:rsid w:val="00691FBE"/>
    <w:rsid w:val="00692FF1"/>
    <w:rsid w:val="00693B67"/>
    <w:rsid w:val="0069421A"/>
    <w:rsid w:val="0069444C"/>
    <w:rsid w:val="00695861"/>
    <w:rsid w:val="006A0F50"/>
    <w:rsid w:val="006A1F79"/>
    <w:rsid w:val="006A2823"/>
    <w:rsid w:val="006B04E5"/>
    <w:rsid w:val="006B29EC"/>
    <w:rsid w:val="006B47C3"/>
    <w:rsid w:val="006B4A01"/>
    <w:rsid w:val="006B6651"/>
    <w:rsid w:val="006B7928"/>
    <w:rsid w:val="006C1BA2"/>
    <w:rsid w:val="006C3EC0"/>
    <w:rsid w:val="006C54FB"/>
    <w:rsid w:val="006C5DEC"/>
    <w:rsid w:val="006C69AB"/>
    <w:rsid w:val="006C7DCC"/>
    <w:rsid w:val="006C7EC8"/>
    <w:rsid w:val="006D02DE"/>
    <w:rsid w:val="006D10C8"/>
    <w:rsid w:val="006D201F"/>
    <w:rsid w:val="006D25D0"/>
    <w:rsid w:val="006D34C2"/>
    <w:rsid w:val="006D406B"/>
    <w:rsid w:val="006D40D5"/>
    <w:rsid w:val="006D4AB6"/>
    <w:rsid w:val="006D640F"/>
    <w:rsid w:val="006D7E3C"/>
    <w:rsid w:val="006E02A3"/>
    <w:rsid w:val="006E3876"/>
    <w:rsid w:val="006E730C"/>
    <w:rsid w:val="006F555F"/>
    <w:rsid w:val="00702D1A"/>
    <w:rsid w:val="0070611A"/>
    <w:rsid w:val="00716A43"/>
    <w:rsid w:val="0071724D"/>
    <w:rsid w:val="00717571"/>
    <w:rsid w:val="0072149A"/>
    <w:rsid w:val="0072260F"/>
    <w:rsid w:val="00724531"/>
    <w:rsid w:val="00725F03"/>
    <w:rsid w:val="007269C2"/>
    <w:rsid w:val="00727461"/>
    <w:rsid w:val="00730082"/>
    <w:rsid w:val="00731AAB"/>
    <w:rsid w:val="00731E9E"/>
    <w:rsid w:val="00732098"/>
    <w:rsid w:val="0073284E"/>
    <w:rsid w:val="0073335F"/>
    <w:rsid w:val="00736AA4"/>
    <w:rsid w:val="00737C32"/>
    <w:rsid w:val="0074286E"/>
    <w:rsid w:val="00744E01"/>
    <w:rsid w:val="0074619B"/>
    <w:rsid w:val="00746C74"/>
    <w:rsid w:val="00750A15"/>
    <w:rsid w:val="00752C32"/>
    <w:rsid w:val="00752C36"/>
    <w:rsid w:val="007535FD"/>
    <w:rsid w:val="00754317"/>
    <w:rsid w:val="00754CAD"/>
    <w:rsid w:val="0075639D"/>
    <w:rsid w:val="007574FD"/>
    <w:rsid w:val="007601A1"/>
    <w:rsid w:val="00771411"/>
    <w:rsid w:val="00772DAB"/>
    <w:rsid w:val="0077392A"/>
    <w:rsid w:val="00773DBE"/>
    <w:rsid w:val="00775DC0"/>
    <w:rsid w:val="00776A44"/>
    <w:rsid w:val="00780641"/>
    <w:rsid w:val="00781401"/>
    <w:rsid w:val="00781556"/>
    <w:rsid w:val="0078311E"/>
    <w:rsid w:val="00785E33"/>
    <w:rsid w:val="00791918"/>
    <w:rsid w:val="00791F3D"/>
    <w:rsid w:val="00793825"/>
    <w:rsid w:val="00793FFF"/>
    <w:rsid w:val="0079441A"/>
    <w:rsid w:val="0079588C"/>
    <w:rsid w:val="00796E05"/>
    <w:rsid w:val="00797B53"/>
    <w:rsid w:val="007A1272"/>
    <w:rsid w:val="007A4098"/>
    <w:rsid w:val="007A6CA6"/>
    <w:rsid w:val="007B0CC4"/>
    <w:rsid w:val="007B3E0A"/>
    <w:rsid w:val="007B4533"/>
    <w:rsid w:val="007B459A"/>
    <w:rsid w:val="007B47BE"/>
    <w:rsid w:val="007B75AC"/>
    <w:rsid w:val="007C1B3F"/>
    <w:rsid w:val="007C24DE"/>
    <w:rsid w:val="007C2B30"/>
    <w:rsid w:val="007C2E8E"/>
    <w:rsid w:val="007C747D"/>
    <w:rsid w:val="007D292E"/>
    <w:rsid w:val="007D4759"/>
    <w:rsid w:val="007D62E8"/>
    <w:rsid w:val="007E135C"/>
    <w:rsid w:val="007E31BF"/>
    <w:rsid w:val="007E331C"/>
    <w:rsid w:val="007E67C2"/>
    <w:rsid w:val="007F05D4"/>
    <w:rsid w:val="007F078C"/>
    <w:rsid w:val="007F0C0D"/>
    <w:rsid w:val="007F12A1"/>
    <w:rsid w:val="007F1A34"/>
    <w:rsid w:val="00800C4A"/>
    <w:rsid w:val="00805896"/>
    <w:rsid w:val="00806CEF"/>
    <w:rsid w:val="008075EF"/>
    <w:rsid w:val="008115E6"/>
    <w:rsid w:val="008138A3"/>
    <w:rsid w:val="00815CD3"/>
    <w:rsid w:val="008169DB"/>
    <w:rsid w:val="0082204D"/>
    <w:rsid w:val="008239AD"/>
    <w:rsid w:val="00823B91"/>
    <w:rsid w:val="00824C82"/>
    <w:rsid w:val="00825B8F"/>
    <w:rsid w:val="00834FF1"/>
    <w:rsid w:val="0083536B"/>
    <w:rsid w:val="008366F4"/>
    <w:rsid w:val="008409D2"/>
    <w:rsid w:val="00841242"/>
    <w:rsid w:val="008415B4"/>
    <w:rsid w:val="00841A2B"/>
    <w:rsid w:val="008426F3"/>
    <w:rsid w:val="00843258"/>
    <w:rsid w:val="008446BE"/>
    <w:rsid w:val="008453EC"/>
    <w:rsid w:val="00845BD8"/>
    <w:rsid w:val="00850B11"/>
    <w:rsid w:val="008511FE"/>
    <w:rsid w:val="00852345"/>
    <w:rsid w:val="00856727"/>
    <w:rsid w:val="008677E0"/>
    <w:rsid w:val="00867AF9"/>
    <w:rsid w:val="00872A95"/>
    <w:rsid w:val="0087364C"/>
    <w:rsid w:val="00876B78"/>
    <w:rsid w:val="008774FA"/>
    <w:rsid w:val="008803B3"/>
    <w:rsid w:val="0088109C"/>
    <w:rsid w:val="00887555"/>
    <w:rsid w:val="00890081"/>
    <w:rsid w:val="00893370"/>
    <w:rsid w:val="00893717"/>
    <w:rsid w:val="008939C5"/>
    <w:rsid w:val="008940E5"/>
    <w:rsid w:val="00894809"/>
    <w:rsid w:val="008A28EE"/>
    <w:rsid w:val="008A5F89"/>
    <w:rsid w:val="008B1682"/>
    <w:rsid w:val="008B34D1"/>
    <w:rsid w:val="008B3B6C"/>
    <w:rsid w:val="008B56A8"/>
    <w:rsid w:val="008B588D"/>
    <w:rsid w:val="008B5CDB"/>
    <w:rsid w:val="008B7847"/>
    <w:rsid w:val="008C12D4"/>
    <w:rsid w:val="008C1A9A"/>
    <w:rsid w:val="008C4951"/>
    <w:rsid w:val="008C4D0C"/>
    <w:rsid w:val="008C584F"/>
    <w:rsid w:val="008C5DF7"/>
    <w:rsid w:val="008C7432"/>
    <w:rsid w:val="008D3229"/>
    <w:rsid w:val="008D6188"/>
    <w:rsid w:val="008D651C"/>
    <w:rsid w:val="008E5938"/>
    <w:rsid w:val="008E5B7A"/>
    <w:rsid w:val="008F400E"/>
    <w:rsid w:val="008F4E05"/>
    <w:rsid w:val="00901C0B"/>
    <w:rsid w:val="009042DC"/>
    <w:rsid w:val="00904728"/>
    <w:rsid w:val="00907C06"/>
    <w:rsid w:val="009133BC"/>
    <w:rsid w:val="00915309"/>
    <w:rsid w:val="009154A0"/>
    <w:rsid w:val="00916C0F"/>
    <w:rsid w:val="00922909"/>
    <w:rsid w:val="00923F55"/>
    <w:rsid w:val="009253DF"/>
    <w:rsid w:val="0092709E"/>
    <w:rsid w:val="00927ECB"/>
    <w:rsid w:val="00930377"/>
    <w:rsid w:val="009312C7"/>
    <w:rsid w:val="00931B21"/>
    <w:rsid w:val="00934171"/>
    <w:rsid w:val="0093468A"/>
    <w:rsid w:val="00937C63"/>
    <w:rsid w:val="00940D71"/>
    <w:rsid w:val="00941E03"/>
    <w:rsid w:val="00943530"/>
    <w:rsid w:val="00944DE1"/>
    <w:rsid w:val="009461E1"/>
    <w:rsid w:val="00954A1B"/>
    <w:rsid w:val="00954CBB"/>
    <w:rsid w:val="00956CF8"/>
    <w:rsid w:val="00957078"/>
    <w:rsid w:val="00957D25"/>
    <w:rsid w:val="009604EB"/>
    <w:rsid w:val="00963BB3"/>
    <w:rsid w:val="0096402B"/>
    <w:rsid w:val="00970FF2"/>
    <w:rsid w:val="0097280E"/>
    <w:rsid w:val="009745BC"/>
    <w:rsid w:val="009755E2"/>
    <w:rsid w:val="009757A9"/>
    <w:rsid w:val="00976416"/>
    <w:rsid w:val="00977B07"/>
    <w:rsid w:val="00977EF7"/>
    <w:rsid w:val="00980A55"/>
    <w:rsid w:val="00980DE5"/>
    <w:rsid w:val="00981DC4"/>
    <w:rsid w:val="0098273D"/>
    <w:rsid w:val="00983D28"/>
    <w:rsid w:val="009857EB"/>
    <w:rsid w:val="00991B6A"/>
    <w:rsid w:val="009934FC"/>
    <w:rsid w:val="0099356C"/>
    <w:rsid w:val="00995D62"/>
    <w:rsid w:val="00997A2C"/>
    <w:rsid w:val="009A1D1A"/>
    <w:rsid w:val="009A4AEA"/>
    <w:rsid w:val="009A4C59"/>
    <w:rsid w:val="009A4EFE"/>
    <w:rsid w:val="009A6E11"/>
    <w:rsid w:val="009B125A"/>
    <w:rsid w:val="009B1384"/>
    <w:rsid w:val="009B2C82"/>
    <w:rsid w:val="009B6304"/>
    <w:rsid w:val="009B79B5"/>
    <w:rsid w:val="009C24D0"/>
    <w:rsid w:val="009C42BD"/>
    <w:rsid w:val="009C599A"/>
    <w:rsid w:val="009D021B"/>
    <w:rsid w:val="009D2DC7"/>
    <w:rsid w:val="009D5DFE"/>
    <w:rsid w:val="009D7089"/>
    <w:rsid w:val="009D7473"/>
    <w:rsid w:val="009E0F11"/>
    <w:rsid w:val="009E2900"/>
    <w:rsid w:val="009E2F51"/>
    <w:rsid w:val="009E42F6"/>
    <w:rsid w:val="009E4B44"/>
    <w:rsid w:val="009F1648"/>
    <w:rsid w:val="009F24D1"/>
    <w:rsid w:val="009F524D"/>
    <w:rsid w:val="00A0115A"/>
    <w:rsid w:val="00A01D22"/>
    <w:rsid w:val="00A035C0"/>
    <w:rsid w:val="00A04DD4"/>
    <w:rsid w:val="00A1182D"/>
    <w:rsid w:val="00A11D52"/>
    <w:rsid w:val="00A13124"/>
    <w:rsid w:val="00A1446D"/>
    <w:rsid w:val="00A17847"/>
    <w:rsid w:val="00A22EF7"/>
    <w:rsid w:val="00A24EAD"/>
    <w:rsid w:val="00A25057"/>
    <w:rsid w:val="00A27DA5"/>
    <w:rsid w:val="00A27EE2"/>
    <w:rsid w:val="00A27F77"/>
    <w:rsid w:val="00A30732"/>
    <w:rsid w:val="00A3078F"/>
    <w:rsid w:val="00A341B8"/>
    <w:rsid w:val="00A36A60"/>
    <w:rsid w:val="00A401C8"/>
    <w:rsid w:val="00A42B79"/>
    <w:rsid w:val="00A46B46"/>
    <w:rsid w:val="00A47432"/>
    <w:rsid w:val="00A47561"/>
    <w:rsid w:val="00A50D0F"/>
    <w:rsid w:val="00A51FE3"/>
    <w:rsid w:val="00A52CB5"/>
    <w:rsid w:val="00A55C2C"/>
    <w:rsid w:val="00A60E7F"/>
    <w:rsid w:val="00A63504"/>
    <w:rsid w:val="00A6536B"/>
    <w:rsid w:val="00A66217"/>
    <w:rsid w:val="00A6682F"/>
    <w:rsid w:val="00A70F15"/>
    <w:rsid w:val="00A73332"/>
    <w:rsid w:val="00A74EC0"/>
    <w:rsid w:val="00A77200"/>
    <w:rsid w:val="00A806C5"/>
    <w:rsid w:val="00A80AF6"/>
    <w:rsid w:val="00A81073"/>
    <w:rsid w:val="00A82DD3"/>
    <w:rsid w:val="00A842AB"/>
    <w:rsid w:val="00A85DFC"/>
    <w:rsid w:val="00A87C6F"/>
    <w:rsid w:val="00A90F2A"/>
    <w:rsid w:val="00A91704"/>
    <w:rsid w:val="00A91A32"/>
    <w:rsid w:val="00A92CA0"/>
    <w:rsid w:val="00A93FB6"/>
    <w:rsid w:val="00A9604A"/>
    <w:rsid w:val="00A960C8"/>
    <w:rsid w:val="00A97260"/>
    <w:rsid w:val="00AA1B49"/>
    <w:rsid w:val="00AA43D4"/>
    <w:rsid w:val="00AA4B2F"/>
    <w:rsid w:val="00AA759C"/>
    <w:rsid w:val="00AA7CFF"/>
    <w:rsid w:val="00AA7F28"/>
    <w:rsid w:val="00AB087A"/>
    <w:rsid w:val="00AB197B"/>
    <w:rsid w:val="00AC233F"/>
    <w:rsid w:val="00AC2A88"/>
    <w:rsid w:val="00AC3017"/>
    <w:rsid w:val="00AC59B8"/>
    <w:rsid w:val="00AC72BF"/>
    <w:rsid w:val="00AD037E"/>
    <w:rsid w:val="00AD1EFF"/>
    <w:rsid w:val="00AD45E8"/>
    <w:rsid w:val="00AD7252"/>
    <w:rsid w:val="00AE6BDE"/>
    <w:rsid w:val="00AE7527"/>
    <w:rsid w:val="00AE7743"/>
    <w:rsid w:val="00AF0DC7"/>
    <w:rsid w:val="00AF3328"/>
    <w:rsid w:val="00AF3AD7"/>
    <w:rsid w:val="00AF4CA1"/>
    <w:rsid w:val="00AF5E73"/>
    <w:rsid w:val="00B002CD"/>
    <w:rsid w:val="00B026EE"/>
    <w:rsid w:val="00B02A05"/>
    <w:rsid w:val="00B03CAF"/>
    <w:rsid w:val="00B065E5"/>
    <w:rsid w:val="00B07CE2"/>
    <w:rsid w:val="00B13B5B"/>
    <w:rsid w:val="00B14212"/>
    <w:rsid w:val="00B16D88"/>
    <w:rsid w:val="00B219BB"/>
    <w:rsid w:val="00B2229D"/>
    <w:rsid w:val="00B2264B"/>
    <w:rsid w:val="00B264D5"/>
    <w:rsid w:val="00B27E73"/>
    <w:rsid w:val="00B3435C"/>
    <w:rsid w:val="00B37D96"/>
    <w:rsid w:val="00B43764"/>
    <w:rsid w:val="00B46A33"/>
    <w:rsid w:val="00B51DC3"/>
    <w:rsid w:val="00B52BC5"/>
    <w:rsid w:val="00B54D58"/>
    <w:rsid w:val="00B55B90"/>
    <w:rsid w:val="00B602BB"/>
    <w:rsid w:val="00B60542"/>
    <w:rsid w:val="00B61131"/>
    <w:rsid w:val="00B61A7A"/>
    <w:rsid w:val="00B675B2"/>
    <w:rsid w:val="00B71E42"/>
    <w:rsid w:val="00B71EA1"/>
    <w:rsid w:val="00B74A40"/>
    <w:rsid w:val="00B807F1"/>
    <w:rsid w:val="00B849FD"/>
    <w:rsid w:val="00B85FBB"/>
    <w:rsid w:val="00B94062"/>
    <w:rsid w:val="00B947B2"/>
    <w:rsid w:val="00B962CC"/>
    <w:rsid w:val="00B97470"/>
    <w:rsid w:val="00B97EFE"/>
    <w:rsid w:val="00BA00FF"/>
    <w:rsid w:val="00BA14E0"/>
    <w:rsid w:val="00BA55EA"/>
    <w:rsid w:val="00BA6598"/>
    <w:rsid w:val="00BB2527"/>
    <w:rsid w:val="00BB2A0E"/>
    <w:rsid w:val="00BC3F68"/>
    <w:rsid w:val="00BC4653"/>
    <w:rsid w:val="00BC5716"/>
    <w:rsid w:val="00BD1284"/>
    <w:rsid w:val="00BD1E5D"/>
    <w:rsid w:val="00BD3485"/>
    <w:rsid w:val="00BD5049"/>
    <w:rsid w:val="00BD77F5"/>
    <w:rsid w:val="00BE016A"/>
    <w:rsid w:val="00BE3703"/>
    <w:rsid w:val="00BE56C9"/>
    <w:rsid w:val="00BE665C"/>
    <w:rsid w:val="00BF1D39"/>
    <w:rsid w:val="00BF207F"/>
    <w:rsid w:val="00C0265C"/>
    <w:rsid w:val="00C0292C"/>
    <w:rsid w:val="00C02AF5"/>
    <w:rsid w:val="00C04E31"/>
    <w:rsid w:val="00C055F1"/>
    <w:rsid w:val="00C05BF1"/>
    <w:rsid w:val="00C06EE1"/>
    <w:rsid w:val="00C07B0E"/>
    <w:rsid w:val="00C103FA"/>
    <w:rsid w:val="00C10C1D"/>
    <w:rsid w:val="00C12D7A"/>
    <w:rsid w:val="00C130F2"/>
    <w:rsid w:val="00C1618F"/>
    <w:rsid w:val="00C169A7"/>
    <w:rsid w:val="00C20C15"/>
    <w:rsid w:val="00C21C7D"/>
    <w:rsid w:val="00C2253A"/>
    <w:rsid w:val="00C227C8"/>
    <w:rsid w:val="00C23000"/>
    <w:rsid w:val="00C230C8"/>
    <w:rsid w:val="00C23376"/>
    <w:rsid w:val="00C23852"/>
    <w:rsid w:val="00C248EA"/>
    <w:rsid w:val="00C25204"/>
    <w:rsid w:val="00C262B7"/>
    <w:rsid w:val="00C279A2"/>
    <w:rsid w:val="00C331E3"/>
    <w:rsid w:val="00C37085"/>
    <w:rsid w:val="00C375F8"/>
    <w:rsid w:val="00C379E3"/>
    <w:rsid w:val="00C40346"/>
    <w:rsid w:val="00C42C6A"/>
    <w:rsid w:val="00C44EA9"/>
    <w:rsid w:val="00C4680A"/>
    <w:rsid w:val="00C51B86"/>
    <w:rsid w:val="00C546C2"/>
    <w:rsid w:val="00C56B31"/>
    <w:rsid w:val="00C5749F"/>
    <w:rsid w:val="00C61F44"/>
    <w:rsid w:val="00C62B14"/>
    <w:rsid w:val="00C634EC"/>
    <w:rsid w:val="00C662CF"/>
    <w:rsid w:val="00C66706"/>
    <w:rsid w:val="00C75039"/>
    <w:rsid w:val="00C778D8"/>
    <w:rsid w:val="00C77D3E"/>
    <w:rsid w:val="00C8047F"/>
    <w:rsid w:val="00C80E4F"/>
    <w:rsid w:val="00C81806"/>
    <w:rsid w:val="00C855EC"/>
    <w:rsid w:val="00C86277"/>
    <w:rsid w:val="00C87265"/>
    <w:rsid w:val="00C919F7"/>
    <w:rsid w:val="00C92C39"/>
    <w:rsid w:val="00C93DF7"/>
    <w:rsid w:val="00C94A86"/>
    <w:rsid w:val="00C95A43"/>
    <w:rsid w:val="00C97ED5"/>
    <w:rsid w:val="00CA6EE8"/>
    <w:rsid w:val="00CA7E26"/>
    <w:rsid w:val="00CB0622"/>
    <w:rsid w:val="00CB0EE4"/>
    <w:rsid w:val="00CC1971"/>
    <w:rsid w:val="00CC1C75"/>
    <w:rsid w:val="00CC6144"/>
    <w:rsid w:val="00CD07E1"/>
    <w:rsid w:val="00CD0F4B"/>
    <w:rsid w:val="00CD1BE1"/>
    <w:rsid w:val="00CD2353"/>
    <w:rsid w:val="00CD2371"/>
    <w:rsid w:val="00CD498C"/>
    <w:rsid w:val="00CD5E46"/>
    <w:rsid w:val="00CD63FA"/>
    <w:rsid w:val="00CE1AC0"/>
    <w:rsid w:val="00CE358D"/>
    <w:rsid w:val="00CE4420"/>
    <w:rsid w:val="00CE51B1"/>
    <w:rsid w:val="00CE636B"/>
    <w:rsid w:val="00CF0AD7"/>
    <w:rsid w:val="00CF1AD5"/>
    <w:rsid w:val="00CF3207"/>
    <w:rsid w:val="00CF4E9F"/>
    <w:rsid w:val="00D0019D"/>
    <w:rsid w:val="00D02DA2"/>
    <w:rsid w:val="00D048D6"/>
    <w:rsid w:val="00D04D68"/>
    <w:rsid w:val="00D06146"/>
    <w:rsid w:val="00D062C9"/>
    <w:rsid w:val="00D06D12"/>
    <w:rsid w:val="00D074A8"/>
    <w:rsid w:val="00D11729"/>
    <w:rsid w:val="00D11F0C"/>
    <w:rsid w:val="00D1276A"/>
    <w:rsid w:val="00D17505"/>
    <w:rsid w:val="00D17779"/>
    <w:rsid w:val="00D20A46"/>
    <w:rsid w:val="00D22D59"/>
    <w:rsid w:val="00D24B29"/>
    <w:rsid w:val="00D26E67"/>
    <w:rsid w:val="00D33F7A"/>
    <w:rsid w:val="00D342D2"/>
    <w:rsid w:val="00D34A80"/>
    <w:rsid w:val="00D35910"/>
    <w:rsid w:val="00D36015"/>
    <w:rsid w:val="00D37581"/>
    <w:rsid w:val="00D37A9D"/>
    <w:rsid w:val="00D40A77"/>
    <w:rsid w:val="00D40FC9"/>
    <w:rsid w:val="00D44D5E"/>
    <w:rsid w:val="00D44F13"/>
    <w:rsid w:val="00D4766F"/>
    <w:rsid w:val="00D47756"/>
    <w:rsid w:val="00D47FFA"/>
    <w:rsid w:val="00D50CE3"/>
    <w:rsid w:val="00D54098"/>
    <w:rsid w:val="00D5502E"/>
    <w:rsid w:val="00D5549D"/>
    <w:rsid w:val="00D6328F"/>
    <w:rsid w:val="00D63A98"/>
    <w:rsid w:val="00D74330"/>
    <w:rsid w:val="00D75779"/>
    <w:rsid w:val="00D824BB"/>
    <w:rsid w:val="00D836ED"/>
    <w:rsid w:val="00D9370A"/>
    <w:rsid w:val="00D93A7F"/>
    <w:rsid w:val="00D96EF5"/>
    <w:rsid w:val="00DA2940"/>
    <w:rsid w:val="00DA3EDD"/>
    <w:rsid w:val="00DA702D"/>
    <w:rsid w:val="00DB1EBB"/>
    <w:rsid w:val="00DB22B9"/>
    <w:rsid w:val="00DB261E"/>
    <w:rsid w:val="00DB4E0E"/>
    <w:rsid w:val="00DB5977"/>
    <w:rsid w:val="00DB7376"/>
    <w:rsid w:val="00DC03C8"/>
    <w:rsid w:val="00DC2F02"/>
    <w:rsid w:val="00DC5780"/>
    <w:rsid w:val="00DC7FB2"/>
    <w:rsid w:val="00DD057B"/>
    <w:rsid w:val="00DD09B1"/>
    <w:rsid w:val="00DD0EE8"/>
    <w:rsid w:val="00DD10E6"/>
    <w:rsid w:val="00DD132F"/>
    <w:rsid w:val="00DD2312"/>
    <w:rsid w:val="00DD29A2"/>
    <w:rsid w:val="00DD3BD2"/>
    <w:rsid w:val="00DD76B7"/>
    <w:rsid w:val="00DE14A8"/>
    <w:rsid w:val="00DE18CF"/>
    <w:rsid w:val="00DE3395"/>
    <w:rsid w:val="00DE45E7"/>
    <w:rsid w:val="00DE5C7A"/>
    <w:rsid w:val="00DE662C"/>
    <w:rsid w:val="00DE6794"/>
    <w:rsid w:val="00DE6B2D"/>
    <w:rsid w:val="00DF0906"/>
    <w:rsid w:val="00DF0EFF"/>
    <w:rsid w:val="00DF2DCC"/>
    <w:rsid w:val="00DF4993"/>
    <w:rsid w:val="00DF6E9E"/>
    <w:rsid w:val="00DF7CFB"/>
    <w:rsid w:val="00E00C8D"/>
    <w:rsid w:val="00E01B3A"/>
    <w:rsid w:val="00E07B6B"/>
    <w:rsid w:val="00E1261A"/>
    <w:rsid w:val="00E12D78"/>
    <w:rsid w:val="00E14051"/>
    <w:rsid w:val="00E14C0F"/>
    <w:rsid w:val="00E15EA3"/>
    <w:rsid w:val="00E16966"/>
    <w:rsid w:val="00E16CAF"/>
    <w:rsid w:val="00E21F97"/>
    <w:rsid w:val="00E24677"/>
    <w:rsid w:val="00E24BAE"/>
    <w:rsid w:val="00E26412"/>
    <w:rsid w:val="00E31D9B"/>
    <w:rsid w:val="00E35109"/>
    <w:rsid w:val="00E4068E"/>
    <w:rsid w:val="00E40B7E"/>
    <w:rsid w:val="00E4414D"/>
    <w:rsid w:val="00E453D0"/>
    <w:rsid w:val="00E45E43"/>
    <w:rsid w:val="00E47912"/>
    <w:rsid w:val="00E47BF8"/>
    <w:rsid w:val="00E511F9"/>
    <w:rsid w:val="00E54C5B"/>
    <w:rsid w:val="00E559DF"/>
    <w:rsid w:val="00E55E09"/>
    <w:rsid w:val="00E6064B"/>
    <w:rsid w:val="00E60659"/>
    <w:rsid w:val="00E61466"/>
    <w:rsid w:val="00E625BD"/>
    <w:rsid w:val="00E62DF1"/>
    <w:rsid w:val="00E645DC"/>
    <w:rsid w:val="00E64B23"/>
    <w:rsid w:val="00E732D2"/>
    <w:rsid w:val="00E73CBD"/>
    <w:rsid w:val="00E73E27"/>
    <w:rsid w:val="00E74AFE"/>
    <w:rsid w:val="00E75E7E"/>
    <w:rsid w:val="00E81EFA"/>
    <w:rsid w:val="00E82CFA"/>
    <w:rsid w:val="00E839D4"/>
    <w:rsid w:val="00E85A56"/>
    <w:rsid w:val="00E860E2"/>
    <w:rsid w:val="00E9011D"/>
    <w:rsid w:val="00E90F96"/>
    <w:rsid w:val="00E92412"/>
    <w:rsid w:val="00E92CD8"/>
    <w:rsid w:val="00E93625"/>
    <w:rsid w:val="00E947FE"/>
    <w:rsid w:val="00E95A4F"/>
    <w:rsid w:val="00E95B92"/>
    <w:rsid w:val="00E9659B"/>
    <w:rsid w:val="00EA0AE7"/>
    <w:rsid w:val="00EA0FB9"/>
    <w:rsid w:val="00EA2CB6"/>
    <w:rsid w:val="00EA4DA0"/>
    <w:rsid w:val="00EA5AB5"/>
    <w:rsid w:val="00EA7E21"/>
    <w:rsid w:val="00EB2376"/>
    <w:rsid w:val="00EB70B8"/>
    <w:rsid w:val="00EC2B18"/>
    <w:rsid w:val="00ED1928"/>
    <w:rsid w:val="00ED3253"/>
    <w:rsid w:val="00ED4028"/>
    <w:rsid w:val="00ED4F0B"/>
    <w:rsid w:val="00ED511B"/>
    <w:rsid w:val="00ED5A69"/>
    <w:rsid w:val="00ED6B06"/>
    <w:rsid w:val="00ED7F1F"/>
    <w:rsid w:val="00EE023C"/>
    <w:rsid w:val="00EE09BF"/>
    <w:rsid w:val="00EE2C16"/>
    <w:rsid w:val="00EE459A"/>
    <w:rsid w:val="00EE5938"/>
    <w:rsid w:val="00EE5C15"/>
    <w:rsid w:val="00EE678F"/>
    <w:rsid w:val="00EF0FA9"/>
    <w:rsid w:val="00EF1EAE"/>
    <w:rsid w:val="00EF609C"/>
    <w:rsid w:val="00EF67BA"/>
    <w:rsid w:val="00F0002E"/>
    <w:rsid w:val="00F02E4C"/>
    <w:rsid w:val="00F035CD"/>
    <w:rsid w:val="00F0419D"/>
    <w:rsid w:val="00F04BA1"/>
    <w:rsid w:val="00F057D6"/>
    <w:rsid w:val="00F058D9"/>
    <w:rsid w:val="00F06301"/>
    <w:rsid w:val="00F10DA8"/>
    <w:rsid w:val="00F11A22"/>
    <w:rsid w:val="00F12303"/>
    <w:rsid w:val="00F1242C"/>
    <w:rsid w:val="00F155B3"/>
    <w:rsid w:val="00F17141"/>
    <w:rsid w:val="00F22315"/>
    <w:rsid w:val="00F22D8A"/>
    <w:rsid w:val="00F23674"/>
    <w:rsid w:val="00F24E2E"/>
    <w:rsid w:val="00F272E9"/>
    <w:rsid w:val="00F30EE0"/>
    <w:rsid w:val="00F31208"/>
    <w:rsid w:val="00F336A0"/>
    <w:rsid w:val="00F33EBB"/>
    <w:rsid w:val="00F35F77"/>
    <w:rsid w:val="00F4209F"/>
    <w:rsid w:val="00F4564A"/>
    <w:rsid w:val="00F51093"/>
    <w:rsid w:val="00F538E4"/>
    <w:rsid w:val="00F57AE3"/>
    <w:rsid w:val="00F64843"/>
    <w:rsid w:val="00F64F98"/>
    <w:rsid w:val="00F6598A"/>
    <w:rsid w:val="00F70634"/>
    <w:rsid w:val="00F70728"/>
    <w:rsid w:val="00F708A1"/>
    <w:rsid w:val="00F7110D"/>
    <w:rsid w:val="00F71A2F"/>
    <w:rsid w:val="00F7223E"/>
    <w:rsid w:val="00F72DA7"/>
    <w:rsid w:val="00F76BA8"/>
    <w:rsid w:val="00F810BA"/>
    <w:rsid w:val="00F82FE1"/>
    <w:rsid w:val="00F83420"/>
    <w:rsid w:val="00F84ECF"/>
    <w:rsid w:val="00F86656"/>
    <w:rsid w:val="00F9234C"/>
    <w:rsid w:val="00F92AB7"/>
    <w:rsid w:val="00F9554E"/>
    <w:rsid w:val="00F9584F"/>
    <w:rsid w:val="00F96D17"/>
    <w:rsid w:val="00F97BDC"/>
    <w:rsid w:val="00FA45B8"/>
    <w:rsid w:val="00FA6CF8"/>
    <w:rsid w:val="00FB0DB9"/>
    <w:rsid w:val="00FB7F2D"/>
    <w:rsid w:val="00FC0B55"/>
    <w:rsid w:val="00FC0D0D"/>
    <w:rsid w:val="00FC117B"/>
    <w:rsid w:val="00FC23D7"/>
    <w:rsid w:val="00FC34EA"/>
    <w:rsid w:val="00FC3AC8"/>
    <w:rsid w:val="00FC68B2"/>
    <w:rsid w:val="00FD077C"/>
    <w:rsid w:val="00FD3075"/>
    <w:rsid w:val="00FD34C6"/>
    <w:rsid w:val="00FD718F"/>
    <w:rsid w:val="00FE0359"/>
    <w:rsid w:val="00FE52A6"/>
    <w:rsid w:val="00FE58E3"/>
    <w:rsid w:val="00FF0187"/>
    <w:rsid w:val="00FF0EAA"/>
    <w:rsid w:val="00FF2CE2"/>
    <w:rsid w:val="00FF527C"/>
    <w:rsid w:val="00FF6455"/>
    <w:rsid w:val="00FF6E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7AF8CE"/>
  <w15:docId w15:val="{9784938B-6EB1-47C0-9328-76FD5B72E8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line="360" w:lineRule="auto"/>
        <w:ind w:firstLine="851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16CA"/>
    <w:pPr>
      <w:contextualSpacing/>
    </w:pPr>
    <w:rPr>
      <w:szCs w:val="22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keepNext/>
      <w:numPr>
        <w:numId w:val="1"/>
      </w:numPr>
      <w:ind w:left="851" w:hanging="851"/>
      <w:contextualSpacing w:val="0"/>
      <w:jc w:val="left"/>
      <w:outlineLvl w:val="0"/>
    </w:pPr>
    <w:rPr>
      <w:b/>
      <w:bCs/>
      <w:caps/>
      <w:szCs w:val="28"/>
    </w:rPr>
  </w:style>
  <w:style w:type="paragraph" w:styleId="2">
    <w:name w:val="heading 2"/>
    <w:basedOn w:val="1"/>
    <w:next w:val="a"/>
    <w:link w:val="20"/>
    <w:uiPriority w:val="9"/>
    <w:unhideWhenUsed/>
    <w:qFormat/>
    <w:pPr>
      <w:numPr>
        <w:ilvl w:val="1"/>
      </w:numPr>
      <w:ind w:left="851" w:hanging="851"/>
      <w:contextualSpacing/>
      <w:jc w:val="both"/>
      <w:outlineLvl w:val="1"/>
    </w:pPr>
    <w:rPr>
      <w:caps w:val="0"/>
    </w:rPr>
  </w:style>
  <w:style w:type="paragraph" w:styleId="3">
    <w:name w:val="heading 3"/>
    <w:basedOn w:val="1"/>
    <w:next w:val="a"/>
    <w:link w:val="30"/>
    <w:uiPriority w:val="9"/>
    <w:unhideWhenUsed/>
    <w:qFormat/>
    <w:pPr>
      <w:numPr>
        <w:ilvl w:val="2"/>
      </w:numPr>
      <w:ind w:left="851" w:hanging="851"/>
      <w:outlineLvl w:val="2"/>
    </w:pPr>
    <w:rPr>
      <w:caps w:val="0"/>
    </w:rPr>
  </w:style>
  <w:style w:type="paragraph" w:styleId="4">
    <w:name w:val="heading 4"/>
    <w:basedOn w:val="1"/>
    <w:next w:val="a"/>
    <w:link w:val="40"/>
    <w:uiPriority w:val="9"/>
    <w:unhideWhenUsed/>
    <w:qFormat/>
    <w:pPr>
      <w:numPr>
        <w:ilvl w:val="3"/>
      </w:numPr>
      <w:outlineLvl w:val="3"/>
    </w:pPr>
    <w:rPr>
      <w:caps w:val="0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ind w:firstLine="851"/>
      <w:outlineLvl w:val="4"/>
    </w:pPr>
    <w:rPr>
      <w:b/>
      <w:i/>
      <w:iCs/>
      <w:color w:val="000000" w:themeColor="text1"/>
      <w:szCs w:val="20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widowControl w:val="0"/>
      <w:spacing w:before="240" w:after="60" w:line="240" w:lineRule="auto"/>
      <w:ind w:left="1152" w:hanging="1152"/>
      <w:jc w:val="left"/>
      <w:outlineLvl w:val="5"/>
    </w:pPr>
    <w:rPr>
      <w:rFonts w:ascii="Calibri" w:hAnsi="Calibri"/>
      <w:b/>
      <w:bCs/>
      <w:color w:val="000000"/>
      <w:sz w:val="22"/>
    </w:rPr>
  </w:style>
  <w:style w:type="paragraph" w:styleId="7">
    <w:name w:val="heading 7"/>
    <w:basedOn w:val="a"/>
    <w:next w:val="a"/>
    <w:link w:val="70"/>
    <w:uiPriority w:val="9"/>
    <w:unhideWhenUsed/>
    <w:rsid w:val="007D62E8"/>
    <w:pPr>
      <w:widowControl w:val="0"/>
      <w:spacing w:before="240" w:after="60" w:line="240" w:lineRule="auto"/>
      <w:ind w:left="1296" w:hanging="1296"/>
      <w:jc w:val="left"/>
      <w:outlineLvl w:val="6"/>
    </w:pPr>
    <w:rPr>
      <w:color w:val="000000"/>
      <w:sz w:val="24"/>
      <w:szCs w:val="24"/>
    </w:rPr>
  </w:style>
  <w:style w:type="paragraph" w:styleId="8">
    <w:name w:val="heading 8"/>
    <w:basedOn w:val="a"/>
    <w:next w:val="a"/>
    <w:link w:val="80"/>
    <w:uiPriority w:val="9"/>
    <w:unhideWhenUsed/>
    <w:qFormat/>
    <w:pPr>
      <w:widowControl w:val="0"/>
      <w:spacing w:before="240" w:after="60" w:line="240" w:lineRule="auto"/>
      <w:ind w:left="1440" w:hanging="1440"/>
      <w:jc w:val="left"/>
      <w:outlineLvl w:val="7"/>
    </w:pPr>
    <w:rPr>
      <w:rFonts w:ascii="Calibri" w:hAnsi="Calibri"/>
      <w:i/>
      <w:iCs/>
      <w:color w:val="000000"/>
      <w:sz w:val="24"/>
      <w:szCs w:val="24"/>
    </w:rPr>
  </w:style>
  <w:style w:type="paragraph" w:styleId="9">
    <w:name w:val="heading 9"/>
    <w:basedOn w:val="a"/>
    <w:next w:val="a"/>
    <w:link w:val="90"/>
    <w:uiPriority w:val="9"/>
    <w:unhideWhenUsed/>
    <w:qFormat/>
    <w:pPr>
      <w:widowControl w:val="0"/>
      <w:spacing w:before="240" w:after="60" w:line="240" w:lineRule="auto"/>
      <w:ind w:left="1584" w:hanging="1584"/>
      <w:jc w:val="left"/>
      <w:outlineLvl w:val="8"/>
    </w:pPr>
    <w:rPr>
      <w:rFonts w:ascii="Cambria" w:hAnsi="Cambria"/>
      <w:color w:val="000000"/>
      <w:sz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3">
    <w:name w:val="Intense Quote"/>
    <w:basedOn w:val="a"/>
    <w:next w:val="a"/>
    <w:link w:val="a4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4">
    <w:name w:val="Выделенная цитата Знак"/>
    <w:link w:val="a3"/>
    <w:uiPriority w:val="30"/>
    <w:rPr>
      <w:i/>
    </w:rPr>
  </w:style>
  <w:style w:type="paragraph" w:styleId="a5">
    <w:name w:val="caption"/>
    <w:basedOn w:val="a"/>
    <w:next w:val="a"/>
    <w:link w:val="a6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a6">
    <w:name w:val="Название объекта Знак"/>
    <w:basedOn w:val="a0"/>
    <w:link w:val="a5"/>
    <w:uiPriority w:val="35"/>
    <w:rPr>
      <w:b/>
      <w:bCs/>
      <w:color w:val="4472C4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line="240" w:lineRule="auto"/>
    </w:pPr>
    <w:rPr>
      <w:color w:val="404040"/>
      <w:sz w:val="20"/>
      <w:szCs w:val="20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7">
    <w:name w:val="footnote text"/>
    <w:basedOn w:val="a"/>
    <w:link w:val="a8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8">
    <w:name w:val="Текст сноски Знак"/>
    <w:link w:val="a7"/>
    <w:uiPriority w:val="99"/>
    <w:rPr>
      <w:sz w:val="18"/>
    </w:rPr>
  </w:style>
  <w:style w:type="character" w:styleId="a9">
    <w:name w:val="annotation reference"/>
    <w:basedOn w:val="a0"/>
    <w:uiPriority w:val="99"/>
    <w:unhideWhenUsed/>
    <w:qFormat/>
    <w:rPr>
      <w:sz w:val="16"/>
      <w:szCs w:val="16"/>
    </w:rPr>
  </w:style>
  <w:style w:type="character" w:customStyle="1" w:styleId="10">
    <w:name w:val="Заголовок 1 Знак"/>
    <w:link w:val="1"/>
    <w:uiPriority w:val="9"/>
    <w:rsid w:val="00424BB5"/>
    <w:rPr>
      <w:b/>
      <w:bCs/>
      <w:caps/>
      <w:lang w:eastAsia="en-US"/>
    </w:rPr>
  </w:style>
  <w:style w:type="character" w:customStyle="1" w:styleId="20">
    <w:name w:val="Заголовок 2 Знак"/>
    <w:link w:val="2"/>
    <w:uiPriority w:val="9"/>
    <w:rsid w:val="00424BB5"/>
    <w:rPr>
      <w:b/>
      <w:bCs/>
      <w:lang w:eastAsia="en-US"/>
    </w:rPr>
  </w:style>
  <w:style w:type="character" w:customStyle="1" w:styleId="30">
    <w:name w:val="Заголовок 3 Знак"/>
    <w:link w:val="3"/>
    <w:uiPriority w:val="9"/>
    <w:rsid w:val="006D201F"/>
    <w:rPr>
      <w:b/>
      <w:bCs/>
      <w:lang w:eastAsia="en-US"/>
    </w:rPr>
  </w:style>
  <w:style w:type="paragraph" w:styleId="aa">
    <w:name w:val="Balloon Text"/>
    <w:basedOn w:val="a"/>
    <w:link w:val="ab"/>
    <w:uiPriority w:val="99"/>
    <w:semiHidden/>
    <w:unhideWhenUsed/>
    <w:pPr>
      <w:spacing w:line="240" w:lineRule="auto"/>
    </w:pPr>
    <w:rPr>
      <w:rFonts w:ascii="Segoe UI" w:hAnsi="Segoe UI"/>
      <w:sz w:val="18"/>
      <w:szCs w:val="18"/>
    </w:rPr>
  </w:style>
  <w:style w:type="character" w:customStyle="1" w:styleId="ab">
    <w:name w:val="Текст выноски Знак"/>
    <w:link w:val="aa"/>
    <w:uiPriority w:val="99"/>
    <w:semiHidden/>
    <w:rPr>
      <w:rFonts w:ascii="Segoe UI" w:hAnsi="Segoe UI" w:cs="Segoe UI"/>
      <w:sz w:val="18"/>
      <w:szCs w:val="18"/>
    </w:rPr>
  </w:style>
  <w:style w:type="paragraph" w:customStyle="1" w:styleId="022">
    <w:name w:val="02.2 Рисунок и подпись"/>
    <w:basedOn w:val="a"/>
    <w:qFormat/>
    <w:pPr>
      <w:keepLines/>
      <w:spacing w:before="360" w:after="360" w:line="240" w:lineRule="auto"/>
      <w:ind w:firstLine="0"/>
      <w:jc w:val="center"/>
    </w:pPr>
    <w:rPr>
      <w:sz w:val="24"/>
    </w:rPr>
  </w:style>
  <w:style w:type="paragraph" w:customStyle="1" w:styleId="033-">
    <w:name w:val="03.3 Таблица -&gt; Текст"/>
    <w:basedOn w:val="a"/>
    <w:qFormat/>
    <w:pPr>
      <w:widowControl w:val="0"/>
      <w:spacing w:before="0" w:line="240" w:lineRule="auto"/>
      <w:ind w:firstLine="0"/>
      <w:contextualSpacing w:val="0"/>
      <w:jc w:val="left"/>
    </w:pPr>
    <w:rPr>
      <w:color w:val="000000"/>
      <w:sz w:val="24"/>
      <w:szCs w:val="20"/>
      <w:lang w:eastAsia="ru-RU"/>
    </w:rPr>
  </w:style>
  <w:style w:type="paragraph" w:customStyle="1" w:styleId="032-">
    <w:name w:val="03.2 Таблица -&gt; Заголовок"/>
    <w:basedOn w:val="a"/>
    <w:qFormat/>
    <w:pPr>
      <w:spacing w:after="120" w:line="240" w:lineRule="auto"/>
      <w:ind w:firstLine="0"/>
      <w:contextualSpacing w:val="0"/>
      <w:jc w:val="center"/>
    </w:pPr>
    <w:rPr>
      <w:b/>
      <w:sz w:val="24"/>
      <w:szCs w:val="24"/>
      <w:lang w:eastAsia="ru-RU"/>
    </w:rPr>
  </w:style>
  <w:style w:type="paragraph" w:styleId="ac">
    <w:name w:val="annotation subject"/>
    <w:basedOn w:val="a"/>
    <w:next w:val="a"/>
    <w:link w:val="ad"/>
    <w:uiPriority w:val="99"/>
    <w:semiHidden/>
    <w:unhideWhenUsed/>
    <w:pPr>
      <w:spacing w:line="240" w:lineRule="auto"/>
    </w:pPr>
    <w:rPr>
      <w:b/>
      <w:bCs/>
      <w:sz w:val="20"/>
      <w:szCs w:val="20"/>
    </w:rPr>
  </w:style>
  <w:style w:type="character" w:customStyle="1" w:styleId="ad">
    <w:name w:val="Тема примечания Знак"/>
    <w:link w:val="ac"/>
    <w:uiPriority w:val="99"/>
    <w:semiHidden/>
    <w:rPr>
      <w:rFonts w:ascii="Times New Roman" w:hAnsi="Times New Roman"/>
      <w:b/>
      <w:bCs/>
      <w:sz w:val="20"/>
      <w:szCs w:val="20"/>
    </w:rPr>
  </w:style>
  <w:style w:type="paragraph" w:styleId="ae">
    <w:name w:val="annotation text"/>
    <w:basedOn w:val="a"/>
    <w:link w:val="af"/>
    <w:uiPriority w:val="99"/>
    <w:unhideWhenUsed/>
    <w:pPr>
      <w:spacing w:line="240" w:lineRule="auto"/>
    </w:pPr>
    <w:rPr>
      <w:sz w:val="20"/>
      <w:szCs w:val="20"/>
    </w:rPr>
  </w:style>
  <w:style w:type="paragraph" w:styleId="af0">
    <w:name w:val="No Spacing"/>
    <w:link w:val="af1"/>
    <w:uiPriority w:val="1"/>
    <w:qFormat/>
  </w:style>
  <w:style w:type="table" w:styleId="af2">
    <w:name w:val="Table Grid"/>
    <w:aliases w:val="Сетка таблицы GR"/>
    <w:basedOn w:val="a1"/>
    <w:uiPriority w:val="59"/>
    <w:rPr>
      <w:sz w:val="24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rPr>
        <w:b/>
      </w:rPr>
    </w:tblStylePr>
  </w:style>
  <w:style w:type="paragraph" w:customStyle="1" w:styleId="021">
    <w:name w:val="02.1 Листинг кода"/>
    <w:basedOn w:val="a"/>
    <w:qFormat/>
    <w:pPr>
      <w:spacing w:line="240" w:lineRule="auto"/>
      <w:ind w:left="993" w:firstLine="0"/>
      <w:jc w:val="left"/>
    </w:pPr>
    <w:rPr>
      <w:rFonts w:ascii="Courier New" w:hAnsi="Courier New"/>
      <w:i/>
      <w:lang w:val="en-US"/>
    </w:rPr>
  </w:style>
  <w:style w:type="character" w:styleId="af3">
    <w:name w:val="Hyperlink"/>
    <w:uiPriority w:val="99"/>
    <w:unhideWhenUsed/>
    <w:rPr>
      <w:color w:val="0563C1"/>
      <w:sz w:val="28"/>
      <w:u w:val="single"/>
    </w:rPr>
  </w:style>
  <w:style w:type="paragraph" w:customStyle="1" w:styleId="001">
    <w:name w:val="00.1 Заголовок документа"/>
    <w:basedOn w:val="a"/>
    <w:next w:val="a"/>
    <w:qFormat/>
    <w:pPr>
      <w:spacing w:before="960" w:after="240" w:line="240" w:lineRule="auto"/>
      <w:ind w:firstLine="0"/>
      <w:jc w:val="center"/>
    </w:pPr>
    <w:rPr>
      <w:rFonts w:cs="Calibri"/>
      <w:caps/>
      <w:sz w:val="36"/>
      <w:szCs w:val="72"/>
    </w:rPr>
  </w:style>
  <w:style w:type="paragraph" w:styleId="24">
    <w:name w:val="toc 2"/>
    <w:basedOn w:val="a"/>
    <w:next w:val="a"/>
    <w:uiPriority w:val="39"/>
    <w:unhideWhenUsed/>
    <w:qFormat/>
    <w:pPr>
      <w:spacing w:after="100" w:line="259" w:lineRule="auto"/>
      <w:ind w:left="220" w:firstLine="0"/>
      <w:jc w:val="left"/>
    </w:pPr>
    <w:rPr>
      <w:lang w:eastAsia="ru-RU"/>
    </w:rPr>
  </w:style>
  <w:style w:type="paragraph" w:styleId="12">
    <w:name w:val="toc 1"/>
    <w:basedOn w:val="a"/>
    <w:next w:val="a"/>
    <w:uiPriority w:val="39"/>
    <w:unhideWhenUsed/>
    <w:qFormat/>
    <w:pPr>
      <w:spacing w:after="100" w:line="259" w:lineRule="auto"/>
      <w:ind w:firstLine="0"/>
      <w:jc w:val="left"/>
    </w:pPr>
    <w:rPr>
      <w:lang w:eastAsia="ru-RU"/>
    </w:rPr>
  </w:style>
  <w:style w:type="paragraph" w:styleId="32">
    <w:name w:val="toc 3"/>
    <w:basedOn w:val="a"/>
    <w:next w:val="a"/>
    <w:uiPriority w:val="39"/>
    <w:unhideWhenUsed/>
    <w:qFormat/>
    <w:pPr>
      <w:tabs>
        <w:tab w:val="left" w:pos="1320"/>
        <w:tab w:val="right" w:leader="dot" w:pos="9923"/>
      </w:tabs>
      <w:spacing w:after="100" w:line="259" w:lineRule="auto"/>
      <w:ind w:left="440" w:right="-2" w:firstLine="0"/>
    </w:pPr>
    <w:rPr>
      <w:color w:val="000000"/>
      <w:sz w:val="24"/>
      <w:lang w:eastAsia="ru-RU"/>
    </w:rPr>
  </w:style>
  <w:style w:type="character" w:customStyle="1" w:styleId="af1">
    <w:name w:val="Без интервала Знак"/>
    <w:link w:val="af0"/>
    <w:uiPriority w:val="1"/>
    <w:rPr>
      <w:rFonts w:ascii="Times New Roman" w:eastAsia="Times New Roman" w:hAnsi="Times New Roman"/>
      <w:sz w:val="28"/>
      <w:lang w:bidi="ar-SA"/>
    </w:rPr>
  </w:style>
  <w:style w:type="character" w:customStyle="1" w:styleId="40">
    <w:name w:val="Заголовок 4 Знак"/>
    <w:link w:val="4"/>
    <w:uiPriority w:val="9"/>
    <w:rsid w:val="006D201F"/>
    <w:rPr>
      <w:b/>
      <w:bCs/>
      <w:lang w:eastAsia="en-US"/>
    </w:rPr>
  </w:style>
  <w:style w:type="character" w:customStyle="1" w:styleId="50">
    <w:name w:val="Заголовок 5 Знак"/>
    <w:link w:val="5"/>
    <w:uiPriority w:val="9"/>
    <w:rsid w:val="006D201F"/>
    <w:rPr>
      <w:b/>
      <w:i/>
      <w:iCs/>
      <w:color w:val="000000" w:themeColor="text1"/>
      <w:szCs w:val="20"/>
      <w:lang w:eastAsia="en-US"/>
    </w:rPr>
  </w:style>
  <w:style w:type="paragraph" w:customStyle="1" w:styleId="031-">
    <w:name w:val="03.1 Таблица -&gt; Название"/>
    <w:basedOn w:val="a"/>
    <w:next w:val="a"/>
    <w:qFormat/>
    <w:pPr>
      <w:keepNext/>
      <w:spacing w:line="240" w:lineRule="auto"/>
      <w:ind w:firstLine="0"/>
      <w:contextualSpacing w:val="0"/>
      <w:jc w:val="left"/>
    </w:pPr>
  </w:style>
  <w:style w:type="character" w:customStyle="1" w:styleId="60">
    <w:name w:val="Заголовок 6 Знак"/>
    <w:link w:val="6"/>
    <w:uiPriority w:val="9"/>
    <w:semiHidden/>
    <w:rsid w:val="006D201F"/>
    <w:rPr>
      <w:rFonts w:ascii="Calibri" w:hAnsi="Calibri"/>
      <w:b/>
      <w:bCs/>
      <w:color w:val="000000"/>
      <w:sz w:val="22"/>
      <w:szCs w:val="22"/>
      <w:lang w:eastAsia="en-US"/>
    </w:rPr>
  </w:style>
  <w:style w:type="character" w:customStyle="1" w:styleId="70">
    <w:name w:val="Заголовок 7 Знак"/>
    <w:link w:val="7"/>
    <w:uiPriority w:val="9"/>
    <w:rsid w:val="006D201F"/>
    <w:rPr>
      <w:color w:val="000000"/>
      <w:sz w:val="24"/>
      <w:szCs w:val="24"/>
      <w:lang w:eastAsia="en-US"/>
    </w:rPr>
  </w:style>
  <w:style w:type="character" w:customStyle="1" w:styleId="80">
    <w:name w:val="Заголовок 8 Знак"/>
    <w:link w:val="8"/>
    <w:uiPriority w:val="9"/>
    <w:rsid w:val="006D201F"/>
    <w:rPr>
      <w:rFonts w:ascii="Calibri" w:hAnsi="Calibri"/>
      <w:i/>
      <w:iCs/>
      <w:color w:val="000000"/>
      <w:sz w:val="24"/>
      <w:szCs w:val="24"/>
      <w:lang w:eastAsia="en-US"/>
    </w:rPr>
  </w:style>
  <w:style w:type="character" w:customStyle="1" w:styleId="90">
    <w:name w:val="Заголовок 9 Знак"/>
    <w:link w:val="9"/>
    <w:uiPriority w:val="9"/>
    <w:rsid w:val="006D201F"/>
    <w:rPr>
      <w:rFonts w:ascii="Cambria" w:hAnsi="Cambria"/>
      <w:color w:val="000000"/>
      <w:sz w:val="22"/>
      <w:szCs w:val="22"/>
      <w:lang w:eastAsia="en-US"/>
    </w:rPr>
  </w:style>
  <w:style w:type="character" w:customStyle="1" w:styleId="af">
    <w:name w:val="Текст примечания Знак"/>
    <w:basedOn w:val="a0"/>
    <w:link w:val="ae"/>
    <w:uiPriority w:val="99"/>
    <w:rPr>
      <w:sz w:val="20"/>
      <w:szCs w:val="20"/>
      <w:lang w:eastAsia="en-US"/>
    </w:rPr>
  </w:style>
  <w:style w:type="paragraph" w:styleId="af4">
    <w:name w:val="endnote text"/>
    <w:basedOn w:val="a"/>
    <w:link w:val="af5"/>
    <w:semiHidden/>
    <w:unhideWhenUsed/>
    <w:pPr>
      <w:spacing w:before="0" w:line="240" w:lineRule="auto"/>
      <w:contextualSpacing w:val="0"/>
    </w:pPr>
    <w:rPr>
      <w:sz w:val="20"/>
      <w:szCs w:val="20"/>
    </w:rPr>
  </w:style>
  <w:style w:type="character" w:customStyle="1" w:styleId="af5">
    <w:name w:val="Текст концевой сноски Знак"/>
    <w:link w:val="af4"/>
    <w:semiHidden/>
    <w:rPr>
      <w:rFonts w:ascii="Times New Roman" w:eastAsia="Times New Roman" w:hAnsi="Times New Roman"/>
    </w:rPr>
  </w:style>
  <w:style w:type="character" w:styleId="af6">
    <w:name w:val="endnote reference"/>
    <w:semiHidden/>
    <w:unhideWhenUsed/>
    <w:rPr>
      <w:vertAlign w:val="superscript"/>
    </w:rPr>
  </w:style>
  <w:style w:type="numbering" w:customStyle="1" w:styleId="13">
    <w:name w:val="Нет списка1"/>
    <w:next w:val="a2"/>
    <w:uiPriority w:val="99"/>
    <w:semiHidden/>
    <w:unhideWhenUsed/>
  </w:style>
  <w:style w:type="paragraph" w:styleId="af7">
    <w:name w:val="toa heading"/>
    <w:basedOn w:val="a"/>
    <w:next w:val="a"/>
    <w:semiHidden/>
    <w:pPr>
      <w:spacing w:line="240" w:lineRule="auto"/>
      <w:ind w:firstLine="0"/>
      <w:contextualSpacing w:val="0"/>
      <w:jc w:val="left"/>
    </w:pPr>
    <w:rPr>
      <w:rFonts w:ascii="Arial" w:hAnsi="Arial" w:cs="Arial"/>
      <w:b/>
      <w:bCs/>
      <w:sz w:val="24"/>
      <w:szCs w:val="24"/>
      <w:lang w:eastAsia="ru-RU"/>
    </w:rPr>
  </w:style>
  <w:style w:type="paragraph" w:styleId="42">
    <w:name w:val="toc 4"/>
    <w:next w:val="a"/>
    <w:uiPriority w:val="39"/>
    <w:unhideWhenUsed/>
    <w:pPr>
      <w:ind w:left="720"/>
    </w:pPr>
  </w:style>
  <w:style w:type="paragraph" w:styleId="52">
    <w:name w:val="toc 5"/>
    <w:basedOn w:val="a"/>
    <w:next w:val="a"/>
    <w:uiPriority w:val="39"/>
    <w:unhideWhenUsed/>
    <w:pPr>
      <w:spacing w:before="0"/>
      <w:ind w:left="960"/>
      <w:contextualSpacing w:val="0"/>
      <w:jc w:val="left"/>
    </w:pPr>
    <w:rPr>
      <w:rFonts w:ascii="Calibri" w:hAnsi="Calibri"/>
      <w:sz w:val="20"/>
      <w:szCs w:val="20"/>
      <w:lang w:eastAsia="ru-RU"/>
    </w:rPr>
  </w:style>
  <w:style w:type="paragraph" w:styleId="61">
    <w:name w:val="toc 6"/>
    <w:basedOn w:val="a"/>
    <w:next w:val="a"/>
    <w:uiPriority w:val="39"/>
    <w:unhideWhenUsed/>
    <w:pPr>
      <w:spacing w:before="0"/>
      <w:ind w:left="1200"/>
      <w:contextualSpacing w:val="0"/>
      <w:jc w:val="left"/>
    </w:pPr>
    <w:rPr>
      <w:rFonts w:ascii="Calibri" w:hAnsi="Calibri"/>
      <w:sz w:val="20"/>
      <w:szCs w:val="20"/>
      <w:lang w:eastAsia="ru-RU"/>
    </w:rPr>
  </w:style>
  <w:style w:type="paragraph" w:styleId="71">
    <w:name w:val="toc 7"/>
    <w:basedOn w:val="a"/>
    <w:next w:val="a"/>
    <w:uiPriority w:val="39"/>
    <w:unhideWhenUsed/>
    <w:pPr>
      <w:spacing w:before="0"/>
      <w:ind w:left="1440"/>
      <w:contextualSpacing w:val="0"/>
      <w:jc w:val="left"/>
    </w:pPr>
    <w:rPr>
      <w:rFonts w:ascii="Calibri" w:hAnsi="Calibri"/>
      <w:sz w:val="20"/>
      <w:szCs w:val="20"/>
      <w:lang w:eastAsia="ru-RU"/>
    </w:rPr>
  </w:style>
  <w:style w:type="numbering" w:customStyle="1" w:styleId="WWNum122">
    <w:name w:val="WWNum122"/>
    <w:basedOn w:val="a2"/>
  </w:style>
  <w:style w:type="numbering" w:customStyle="1" w:styleId="WW8Num71">
    <w:name w:val="WW8Num71"/>
    <w:basedOn w:val="a2"/>
  </w:style>
  <w:style w:type="paragraph" w:styleId="af8">
    <w:name w:val="table of figures"/>
    <w:next w:val="a"/>
    <w:semiHidden/>
    <w:pPr>
      <w:spacing w:before="60" w:after="60"/>
      <w:ind w:left="403" w:hanging="403"/>
    </w:pPr>
    <w:rPr>
      <w:sz w:val="24"/>
    </w:rPr>
  </w:style>
  <w:style w:type="paragraph" w:styleId="af9">
    <w:name w:val="Document Map"/>
    <w:basedOn w:val="a"/>
    <w:link w:val="afa"/>
    <w:semiHidden/>
    <w:pPr>
      <w:shd w:val="clear" w:color="auto" w:fill="000080"/>
      <w:spacing w:before="0" w:line="240" w:lineRule="auto"/>
      <w:ind w:firstLine="0"/>
      <w:contextualSpacing w:val="0"/>
      <w:jc w:val="left"/>
    </w:pPr>
    <w:rPr>
      <w:rFonts w:ascii="Tahoma" w:hAnsi="Tahoma"/>
      <w:sz w:val="20"/>
      <w:szCs w:val="24"/>
    </w:rPr>
  </w:style>
  <w:style w:type="character" w:customStyle="1" w:styleId="afa">
    <w:name w:val="Схема документа Знак"/>
    <w:link w:val="af9"/>
    <w:semiHidden/>
    <w:rPr>
      <w:rFonts w:ascii="Tahoma" w:eastAsia="Times New Roman" w:hAnsi="Tahoma"/>
      <w:szCs w:val="24"/>
      <w:shd w:val="clear" w:color="auto" w:fill="000080"/>
    </w:rPr>
  </w:style>
  <w:style w:type="paragraph" w:styleId="afb">
    <w:name w:val="table of authorities"/>
    <w:basedOn w:val="a"/>
    <w:next w:val="a"/>
    <w:semiHidden/>
    <w:pPr>
      <w:spacing w:before="0" w:line="240" w:lineRule="auto"/>
      <w:ind w:hanging="200"/>
      <w:contextualSpacing w:val="0"/>
      <w:jc w:val="left"/>
    </w:pPr>
    <w:rPr>
      <w:sz w:val="20"/>
      <w:szCs w:val="24"/>
      <w:lang w:eastAsia="ru-RU"/>
    </w:rPr>
  </w:style>
  <w:style w:type="paragraph" w:styleId="afc">
    <w:name w:val="macro"/>
    <w:link w:val="afd"/>
    <w:semiHidden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left="200"/>
    </w:pPr>
    <w:rPr>
      <w:rFonts w:ascii="Courier New" w:hAnsi="Courier New" w:cs="Courier New"/>
    </w:rPr>
  </w:style>
  <w:style w:type="character" w:customStyle="1" w:styleId="afd">
    <w:name w:val="Текст макроса Знак"/>
    <w:link w:val="afc"/>
    <w:semiHidden/>
    <w:rPr>
      <w:rFonts w:ascii="Courier New" w:eastAsia="Times New Roman" w:hAnsi="Courier New" w:cs="Courier New"/>
      <w:lang w:val="ru-RU" w:eastAsia="ru-RU" w:bidi="ar-SA"/>
    </w:rPr>
  </w:style>
  <w:style w:type="paragraph" w:styleId="14">
    <w:name w:val="index 1"/>
    <w:basedOn w:val="a"/>
    <w:next w:val="a"/>
    <w:semiHidden/>
    <w:pPr>
      <w:spacing w:before="0" w:line="240" w:lineRule="auto"/>
      <w:ind w:hanging="200"/>
      <w:contextualSpacing w:val="0"/>
      <w:jc w:val="left"/>
    </w:pPr>
    <w:rPr>
      <w:sz w:val="20"/>
      <w:szCs w:val="24"/>
      <w:lang w:eastAsia="ru-RU"/>
    </w:rPr>
  </w:style>
  <w:style w:type="paragraph" w:styleId="afe">
    <w:name w:val="index heading"/>
    <w:basedOn w:val="a"/>
    <w:next w:val="14"/>
    <w:semiHidden/>
    <w:pPr>
      <w:spacing w:before="0" w:line="240" w:lineRule="auto"/>
      <w:ind w:firstLine="0"/>
      <w:contextualSpacing w:val="0"/>
      <w:jc w:val="left"/>
    </w:pPr>
    <w:rPr>
      <w:rFonts w:ascii="Arial" w:hAnsi="Arial" w:cs="Arial"/>
      <w:b/>
      <w:bCs/>
      <w:sz w:val="20"/>
      <w:szCs w:val="24"/>
      <w:lang w:eastAsia="ru-RU"/>
    </w:rPr>
  </w:style>
  <w:style w:type="paragraph" w:styleId="25">
    <w:name w:val="index 2"/>
    <w:basedOn w:val="a"/>
    <w:next w:val="a"/>
    <w:semiHidden/>
    <w:pPr>
      <w:spacing w:before="0" w:line="240" w:lineRule="auto"/>
      <w:ind w:left="400" w:hanging="200"/>
      <w:contextualSpacing w:val="0"/>
      <w:jc w:val="left"/>
    </w:pPr>
    <w:rPr>
      <w:sz w:val="20"/>
      <w:szCs w:val="24"/>
      <w:lang w:eastAsia="ru-RU"/>
    </w:rPr>
  </w:style>
  <w:style w:type="paragraph" w:styleId="33">
    <w:name w:val="index 3"/>
    <w:basedOn w:val="a"/>
    <w:next w:val="a"/>
    <w:semiHidden/>
    <w:pPr>
      <w:spacing w:before="0" w:line="240" w:lineRule="auto"/>
      <w:ind w:left="600" w:hanging="200"/>
      <w:contextualSpacing w:val="0"/>
      <w:jc w:val="left"/>
    </w:pPr>
    <w:rPr>
      <w:sz w:val="20"/>
      <w:szCs w:val="24"/>
      <w:lang w:eastAsia="ru-RU"/>
    </w:rPr>
  </w:style>
  <w:style w:type="paragraph" w:styleId="43">
    <w:name w:val="index 4"/>
    <w:basedOn w:val="a"/>
    <w:next w:val="a"/>
    <w:semiHidden/>
    <w:pPr>
      <w:spacing w:before="0" w:line="240" w:lineRule="auto"/>
      <w:ind w:left="800" w:hanging="200"/>
      <w:contextualSpacing w:val="0"/>
      <w:jc w:val="left"/>
    </w:pPr>
    <w:rPr>
      <w:sz w:val="20"/>
      <w:szCs w:val="24"/>
      <w:lang w:eastAsia="ru-RU"/>
    </w:rPr>
  </w:style>
  <w:style w:type="paragraph" w:styleId="53">
    <w:name w:val="index 5"/>
    <w:basedOn w:val="a"/>
    <w:next w:val="a"/>
    <w:semiHidden/>
    <w:pPr>
      <w:spacing w:before="0" w:line="240" w:lineRule="auto"/>
      <w:ind w:left="1000" w:hanging="200"/>
      <w:contextualSpacing w:val="0"/>
      <w:jc w:val="left"/>
    </w:pPr>
    <w:rPr>
      <w:sz w:val="20"/>
      <w:szCs w:val="24"/>
      <w:lang w:eastAsia="ru-RU"/>
    </w:rPr>
  </w:style>
  <w:style w:type="paragraph" w:styleId="62">
    <w:name w:val="index 6"/>
    <w:basedOn w:val="a"/>
    <w:next w:val="a"/>
    <w:semiHidden/>
    <w:pPr>
      <w:spacing w:before="0" w:line="240" w:lineRule="auto"/>
      <w:ind w:left="1200" w:hanging="200"/>
      <w:contextualSpacing w:val="0"/>
      <w:jc w:val="left"/>
    </w:pPr>
    <w:rPr>
      <w:sz w:val="20"/>
      <w:szCs w:val="24"/>
      <w:lang w:eastAsia="ru-RU"/>
    </w:rPr>
  </w:style>
  <w:style w:type="paragraph" w:styleId="72">
    <w:name w:val="index 7"/>
    <w:basedOn w:val="a"/>
    <w:next w:val="a"/>
    <w:semiHidden/>
    <w:pPr>
      <w:spacing w:before="0" w:line="240" w:lineRule="auto"/>
      <w:ind w:left="1400" w:hanging="200"/>
      <w:contextualSpacing w:val="0"/>
      <w:jc w:val="left"/>
    </w:pPr>
    <w:rPr>
      <w:sz w:val="20"/>
      <w:szCs w:val="24"/>
      <w:lang w:eastAsia="ru-RU"/>
    </w:rPr>
  </w:style>
  <w:style w:type="paragraph" w:styleId="81">
    <w:name w:val="index 8"/>
    <w:basedOn w:val="a"/>
    <w:next w:val="a"/>
    <w:semiHidden/>
    <w:pPr>
      <w:spacing w:before="0" w:line="240" w:lineRule="auto"/>
      <w:ind w:left="1600" w:hanging="200"/>
      <w:contextualSpacing w:val="0"/>
      <w:jc w:val="left"/>
    </w:pPr>
    <w:rPr>
      <w:sz w:val="20"/>
      <w:szCs w:val="24"/>
      <w:lang w:eastAsia="ru-RU"/>
    </w:rPr>
  </w:style>
  <w:style w:type="paragraph" w:styleId="91">
    <w:name w:val="index 9"/>
    <w:basedOn w:val="a"/>
    <w:next w:val="a"/>
    <w:semiHidden/>
    <w:pPr>
      <w:spacing w:before="0" w:line="240" w:lineRule="auto"/>
      <w:ind w:left="1800" w:hanging="200"/>
      <w:contextualSpacing w:val="0"/>
      <w:jc w:val="left"/>
    </w:pPr>
    <w:rPr>
      <w:sz w:val="20"/>
      <w:szCs w:val="24"/>
      <w:lang w:eastAsia="ru-RU"/>
    </w:rPr>
  </w:style>
  <w:style w:type="paragraph" w:customStyle="1" w:styleId="15">
    <w:name w:val="Рецензия1"/>
    <w:next w:val="aff"/>
    <w:hidden/>
    <w:uiPriority w:val="99"/>
    <w:semiHidden/>
    <w:rPr>
      <w:sz w:val="24"/>
      <w:szCs w:val="24"/>
      <w:shd w:val="clear" w:color="auto" w:fill="FFFFFF"/>
      <w:lang w:eastAsia="en-US"/>
    </w:rPr>
  </w:style>
  <w:style w:type="table" w:styleId="26">
    <w:name w:val="Table Classic 2"/>
    <w:basedOn w:val="a1"/>
    <w:uiPriority w:val="99"/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Times New Roman"/>
        <w:color w:val="FFFFFF"/>
      </w:rPr>
      <w:tblPr/>
      <w:tcPr>
        <w:tcBorders>
          <w:bottom w:val="single" w:sz="6" w:space="0" w:color="000000"/>
        </w:tcBorders>
        <w:shd w:val="solid" w:color="800080" w:fill="FFFFFF"/>
      </w:tcPr>
    </w:tblStylePr>
    <w:tblStylePr w:type="lastRow">
      <w:rPr>
        <w:rFonts w:cs="Times New Roman"/>
      </w:rPr>
      <w:tblPr/>
      <w:tcPr>
        <w:tcBorders>
          <w:top w:val="single" w:sz="6" w:space="0" w:color="000000"/>
        </w:tcBorders>
      </w:tcPr>
    </w:tblStylePr>
    <w:tblStylePr w:type="firstCol">
      <w:rPr>
        <w:rFonts w:cs="Times New Roman"/>
        <w:b/>
        <w:bCs/>
      </w:rPr>
      <w:tblPr/>
      <w:tcPr>
        <w:shd w:val="solid" w:color="C0C0C0" w:fill="FFFFFF"/>
      </w:tcPr>
    </w:tblStylePr>
    <w:tblStylePr w:type="neCell">
      <w:rPr>
        <w:rFonts w:cs="Times New Roman"/>
        <w:b/>
        <w:bCs/>
      </w:rPr>
    </w:tblStylePr>
    <w:tblStylePr w:type="nwCell">
      <w:rPr>
        <w:rFonts w:cs="Times New Roman"/>
      </w:rPr>
      <w:tblPr/>
      <w:tcPr>
        <w:shd w:val="solid" w:color="800080" w:fill="FFFFFF"/>
      </w:tcPr>
    </w:tblStylePr>
    <w:tblStylePr w:type="swCell">
      <w:rPr>
        <w:rFonts w:cs="Times New Roman"/>
        <w:color w:val="000080"/>
      </w:rPr>
    </w:tblStylePr>
  </w:style>
  <w:style w:type="table" w:customStyle="1" w:styleId="aff0">
    <w:name w:val="Заголовок вставляемой таблицы"/>
    <w:basedOn w:val="a1"/>
    <w:pPr>
      <w:jc w:val="center"/>
    </w:pPr>
    <w:rPr>
      <w:sz w:val="18"/>
      <w:szCs w:val="18"/>
    </w:rPr>
    <w:tblPr>
      <w:tblStyleRowBandSize w:val="3"/>
      <w:tblStyleColBandSize w:val="3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  <w:tblStylePr w:type="firstRow">
      <w:pPr>
        <w:keepLines/>
        <w:widowControl/>
        <w:suppressLineNumbers/>
        <w:spacing w:beforeAutospacing="1" w:afterAutospacing="1"/>
        <w:ind w:firstLine="0"/>
        <w:jc w:val="center"/>
      </w:pPr>
      <w:rPr>
        <w:rFonts w:ascii="Times New Roman" w:hAnsi="Times New Roman" w:cs="Times New Roman" w:hint="default"/>
        <w:b/>
        <w:i w:val="0"/>
        <w:sz w:val="20"/>
        <w:szCs w:val="20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cBorders>
      </w:tcPr>
    </w:tblStylePr>
  </w:style>
  <w:style w:type="paragraph" w:styleId="aff">
    <w:name w:val="Revision"/>
    <w:hidden/>
    <w:uiPriority w:val="99"/>
    <w:semiHidden/>
    <w:rPr>
      <w:sz w:val="24"/>
      <w:szCs w:val="24"/>
    </w:rPr>
  </w:style>
  <w:style w:type="character" w:customStyle="1" w:styleId="27">
    <w:name w:val="Основной текст Знак2"/>
    <w:uiPriority w:val="99"/>
    <w:semiHidden/>
    <w:rPr>
      <w:rFonts w:cs="Courier New"/>
      <w:color w:val="000000"/>
    </w:rPr>
  </w:style>
  <w:style w:type="numbering" w:styleId="111111">
    <w:name w:val="Outline List 2"/>
    <w:basedOn w:val="a2"/>
    <w:uiPriority w:val="99"/>
    <w:semiHidden/>
    <w:unhideWhenUsed/>
  </w:style>
  <w:style w:type="paragraph" w:styleId="aff1">
    <w:name w:val="List Bullet"/>
    <w:basedOn w:val="a"/>
    <w:uiPriority w:val="99"/>
    <w:unhideWhenUsed/>
    <w:qFormat/>
    <w:pPr>
      <w:spacing w:before="0"/>
      <w:ind w:left="360" w:hanging="360"/>
    </w:pPr>
    <w:rPr>
      <w:sz w:val="24"/>
      <w:szCs w:val="24"/>
      <w:lang w:eastAsia="ru-RU"/>
    </w:rPr>
  </w:style>
  <w:style w:type="character" w:styleId="aff2">
    <w:name w:val="line number"/>
    <w:uiPriority w:val="99"/>
    <w:semiHidden/>
    <w:unhideWhenUsed/>
  </w:style>
  <w:style w:type="paragraph" w:styleId="aff3">
    <w:name w:val="header"/>
    <w:basedOn w:val="a"/>
    <w:link w:val="aff4"/>
    <w:uiPriority w:val="99"/>
    <w:unhideWhenUsed/>
    <w:pPr>
      <w:tabs>
        <w:tab w:val="center" w:pos="4677"/>
        <w:tab w:val="right" w:pos="9355"/>
      </w:tabs>
      <w:spacing w:before="0" w:line="240" w:lineRule="auto"/>
    </w:pPr>
  </w:style>
  <w:style w:type="paragraph" w:styleId="aff5">
    <w:name w:val="Normal (Web)"/>
    <w:basedOn w:val="a"/>
    <w:uiPriority w:val="99"/>
    <w:unhideWhenUsed/>
    <w:pPr>
      <w:spacing w:before="100" w:beforeAutospacing="1" w:after="100" w:afterAutospacing="1" w:line="240" w:lineRule="auto"/>
      <w:ind w:firstLine="0"/>
      <w:contextualSpacing w:val="0"/>
      <w:jc w:val="left"/>
    </w:pPr>
    <w:rPr>
      <w:sz w:val="24"/>
      <w:szCs w:val="24"/>
      <w:lang w:eastAsia="ru-RU"/>
    </w:rPr>
  </w:style>
  <w:style w:type="character" w:customStyle="1" w:styleId="aff4">
    <w:name w:val="Верхний колонтитул Знак"/>
    <w:link w:val="aff3"/>
    <w:uiPriority w:val="99"/>
    <w:rPr>
      <w:rFonts w:ascii="Times New Roman" w:hAnsi="Times New Roman"/>
      <w:sz w:val="28"/>
      <w:szCs w:val="22"/>
      <w:lang w:eastAsia="en-US"/>
    </w:rPr>
  </w:style>
  <w:style w:type="paragraph" w:styleId="aff6">
    <w:name w:val="footer"/>
    <w:basedOn w:val="a"/>
    <w:link w:val="aff7"/>
    <w:uiPriority w:val="99"/>
    <w:unhideWhenUsed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ff7">
    <w:name w:val="Нижний колонтитул Знак"/>
    <w:link w:val="aff6"/>
    <w:uiPriority w:val="99"/>
    <w:rPr>
      <w:rFonts w:ascii="Times New Roman" w:hAnsi="Times New Roman"/>
      <w:sz w:val="28"/>
      <w:szCs w:val="22"/>
      <w:lang w:eastAsia="en-US"/>
    </w:rPr>
  </w:style>
  <w:style w:type="paragraph" w:styleId="aff8">
    <w:name w:val="Body Text"/>
    <w:basedOn w:val="a"/>
    <w:link w:val="aff9"/>
    <w:uiPriority w:val="99"/>
    <w:semiHidden/>
    <w:unhideWhenUsed/>
    <w:pPr>
      <w:spacing w:after="120"/>
    </w:pPr>
  </w:style>
  <w:style w:type="character" w:customStyle="1" w:styleId="aff9">
    <w:name w:val="Основной текст Знак"/>
    <w:basedOn w:val="a0"/>
    <w:link w:val="aff8"/>
    <w:uiPriority w:val="99"/>
    <w:semiHidden/>
    <w:rPr>
      <w:rFonts w:ascii="Times New Roman" w:hAnsi="Times New Roman"/>
      <w:sz w:val="28"/>
      <w:szCs w:val="22"/>
      <w:lang w:eastAsia="en-US"/>
    </w:rPr>
  </w:style>
  <w:style w:type="paragraph" w:customStyle="1" w:styleId="04011">
    <w:name w:val="04.01 Нумерованый список (1 ур)"/>
    <w:basedOn w:val="a"/>
    <w:qFormat/>
    <w:pPr>
      <w:numPr>
        <w:numId w:val="3"/>
      </w:numPr>
      <w:ind w:left="1276"/>
    </w:pPr>
  </w:style>
  <w:style w:type="paragraph" w:customStyle="1" w:styleId="05011">
    <w:name w:val="05.01 Маркированый список (1 ур)"/>
    <w:basedOn w:val="a"/>
    <w:qFormat/>
    <w:pPr>
      <w:keepLines/>
      <w:numPr>
        <w:ilvl w:val="6"/>
        <w:numId w:val="2"/>
      </w:numPr>
      <w:spacing w:before="0"/>
      <w:ind w:left="1276" w:hanging="425"/>
    </w:pPr>
  </w:style>
  <w:style w:type="paragraph" w:customStyle="1" w:styleId="05022">
    <w:name w:val="05.02 Марикрованый список (2 ур)"/>
    <w:basedOn w:val="05011"/>
    <w:qFormat/>
    <w:pPr>
      <w:ind w:left="1701"/>
    </w:pPr>
  </w:style>
  <w:style w:type="paragraph" w:customStyle="1" w:styleId="05033">
    <w:name w:val="05.03 Маркированый список (3 ур)"/>
    <w:basedOn w:val="05022"/>
    <w:qFormat/>
    <w:pPr>
      <w:ind w:left="2268" w:hanging="567"/>
    </w:pPr>
  </w:style>
  <w:style w:type="paragraph" w:customStyle="1" w:styleId="04022">
    <w:name w:val="04.02 Нумерованый список (2 ур)"/>
    <w:basedOn w:val="04011"/>
    <w:qFormat/>
    <w:pPr>
      <w:numPr>
        <w:ilvl w:val="1"/>
      </w:numPr>
      <w:tabs>
        <w:tab w:val="left" w:pos="1985"/>
      </w:tabs>
      <w:ind w:left="1843" w:hanging="567"/>
    </w:pPr>
  </w:style>
  <w:style w:type="paragraph" w:customStyle="1" w:styleId="04033">
    <w:name w:val="04.03 Нумерованый список (3 ур)"/>
    <w:basedOn w:val="04022"/>
    <w:qFormat/>
    <w:pPr>
      <w:numPr>
        <w:ilvl w:val="2"/>
      </w:numPr>
      <w:tabs>
        <w:tab w:val="clear" w:pos="1985"/>
        <w:tab w:val="left" w:pos="2552"/>
      </w:tabs>
      <w:ind w:left="2268" w:hanging="425"/>
    </w:pPr>
  </w:style>
  <w:style w:type="numbering" w:customStyle="1" w:styleId="WW8Num51">
    <w:name w:val="WW8Num51"/>
    <w:basedOn w:val="a2"/>
  </w:style>
  <w:style w:type="numbering" w:customStyle="1" w:styleId="WW8Num61">
    <w:name w:val="WW8Num61"/>
    <w:basedOn w:val="a2"/>
  </w:style>
  <w:style w:type="character" w:styleId="affa">
    <w:name w:val="footnote reference"/>
    <w:semiHidden/>
    <w:unhideWhenUsed/>
    <w:rPr>
      <w:vertAlign w:val="superscript"/>
    </w:rPr>
  </w:style>
  <w:style w:type="paragraph" w:styleId="affb">
    <w:name w:val="TOC Heading"/>
    <w:basedOn w:val="1"/>
    <w:next w:val="a"/>
    <w:uiPriority w:val="39"/>
    <w:unhideWhenUsed/>
    <w:qFormat/>
    <w:pPr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aps w:val="0"/>
      <w:color w:val="2F5496" w:themeColor="accent1" w:themeShade="BF"/>
      <w:szCs w:val="32"/>
      <w:lang w:val="en-US"/>
    </w:rPr>
  </w:style>
  <w:style w:type="paragraph" w:styleId="affc">
    <w:name w:val="List Paragraph"/>
    <w:basedOn w:val="a"/>
    <w:link w:val="affd"/>
    <w:uiPriority w:val="59"/>
    <w:qFormat/>
    <w:pPr>
      <w:ind w:left="720"/>
    </w:pPr>
  </w:style>
  <w:style w:type="table" w:customStyle="1" w:styleId="TableNormal1">
    <w:name w:val="Table Normal1"/>
    <w:pPr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contextualSpacing/>
    </w:pPr>
    <w:rPr>
      <w:color w:val="000000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ffe">
    <w:name w:val="Subtitle"/>
    <w:basedOn w:val="a"/>
    <w:next w:val="a"/>
    <w:link w:val="afff"/>
    <w:uiPriority w:val="11"/>
    <w:qFormat/>
    <w:pPr>
      <w:keepNext/>
      <w:keepLines/>
      <w:pBdr>
        <w:top w:val="none" w:sz="4" w:space="0" w:color="000000"/>
        <w:left w:val="none" w:sz="4" w:space="0" w:color="000000"/>
        <w:bottom w:val="none" w:sz="4" w:space="0" w:color="000000"/>
        <w:right w:val="none" w:sz="4" w:space="0" w:color="000000"/>
        <w:between w:val="none" w:sz="4" w:space="0" w:color="000000"/>
      </w:pBdr>
      <w:spacing w:before="360" w:after="80"/>
      <w:ind w:firstLine="709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afff">
    <w:name w:val="Подзаголовок Знак"/>
    <w:basedOn w:val="a0"/>
    <w:link w:val="affe"/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16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styleId="82">
    <w:name w:val="toc 8"/>
    <w:basedOn w:val="a"/>
    <w:next w:val="a"/>
    <w:uiPriority w:val="39"/>
    <w:unhideWhenUsed/>
    <w:pPr>
      <w:spacing w:before="0" w:after="100" w:line="259" w:lineRule="auto"/>
      <w:ind w:left="1540" w:firstLine="0"/>
      <w:contextualSpacing w:val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paragraph" w:styleId="92">
    <w:name w:val="toc 9"/>
    <w:basedOn w:val="a"/>
    <w:next w:val="a"/>
    <w:uiPriority w:val="39"/>
    <w:unhideWhenUsed/>
    <w:pPr>
      <w:spacing w:before="0" w:after="100" w:line="259" w:lineRule="auto"/>
      <w:ind w:left="1760" w:firstLine="0"/>
      <w:contextualSpacing w:val="0"/>
      <w:jc w:val="left"/>
    </w:pPr>
    <w:rPr>
      <w:rFonts w:asciiTheme="minorHAnsi" w:eastAsiaTheme="minorEastAsia" w:hAnsiTheme="minorHAnsi" w:cstheme="minorBidi"/>
      <w:sz w:val="22"/>
      <w:lang w:eastAsia="ru-RU"/>
    </w:rPr>
  </w:style>
  <w:style w:type="character" w:customStyle="1" w:styleId="affd">
    <w:name w:val="Абзац списка Знак"/>
    <w:link w:val="affc"/>
    <w:uiPriority w:val="59"/>
    <w:qFormat/>
    <w:rsid w:val="007D62E8"/>
    <w:rPr>
      <w:szCs w:val="22"/>
      <w:lang w:eastAsia="en-US"/>
    </w:rPr>
  </w:style>
  <w:style w:type="paragraph" w:customStyle="1" w:styleId="0504-">
    <w:name w:val="05.04 Маркированный - Таблица"/>
    <w:basedOn w:val="033-"/>
    <w:qFormat/>
    <w:pPr>
      <w:numPr>
        <w:numId w:val="4"/>
      </w:numPr>
      <w:ind w:left="357" w:hanging="357"/>
      <w:contextualSpacing/>
    </w:pPr>
  </w:style>
  <w:style w:type="paragraph" w:customStyle="1" w:styleId="0505-2">
    <w:name w:val="05.05 Маркированный - Таблица 2"/>
    <w:basedOn w:val="0504-"/>
    <w:qFormat/>
    <w:pPr>
      <w:ind w:left="696"/>
    </w:pPr>
  </w:style>
  <w:style w:type="character" w:styleId="afff0">
    <w:name w:val="Unresolved Mention"/>
    <w:basedOn w:val="a0"/>
    <w:uiPriority w:val="99"/>
    <w:semiHidden/>
    <w:unhideWhenUsed/>
    <w:rsid w:val="008F4E05"/>
    <w:rPr>
      <w:color w:val="605E5C"/>
      <w:shd w:val="clear" w:color="auto" w:fill="E1DFDD"/>
    </w:rPr>
  </w:style>
  <w:style w:type="character" w:styleId="afff1">
    <w:name w:val="Strong"/>
    <w:basedOn w:val="a0"/>
    <w:uiPriority w:val="22"/>
    <w:qFormat/>
    <w:rsid w:val="009B6304"/>
    <w:rPr>
      <w:b/>
      <w:bCs/>
    </w:rPr>
  </w:style>
  <w:style w:type="table" w:customStyle="1" w:styleId="17">
    <w:name w:val="Сетка таблицы1"/>
    <w:basedOn w:val="a1"/>
    <w:next w:val="af2"/>
    <w:uiPriority w:val="39"/>
    <w:rsid w:val="00A24EAD"/>
    <w:pPr>
      <w:spacing w:before="0" w:line="240" w:lineRule="auto"/>
      <w:ind w:firstLine="0"/>
      <w:jc w:val="left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28">
    <w:name w:val="Сетка таблицы2"/>
    <w:basedOn w:val="a1"/>
    <w:next w:val="af2"/>
    <w:uiPriority w:val="39"/>
    <w:rsid w:val="00033549"/>
    <w:pPr>
      <w:spacing w:before="0" w:line="240" w:lineRule="auto"/>
      <w:ind w:firstLine="0"/>
      <w:jc w:val="left"/>
    </w:pPr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HTML">
    <w:name w:val="HTML Code"/>
    <w:basedOn w:val="a0"/>
    <w:uiPriority w:val="99"/>
    <w:semiHidden/>
    <w:unhideWhenUsed/>
    <w:rsid w:val="00D4766F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70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04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03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82046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47041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45460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25341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59581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9579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88327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64533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143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593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1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221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16179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45707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78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26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603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97248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46059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56513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52109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564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55951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395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17213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906949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4381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91190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80170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058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062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492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654023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62624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0237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25927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8496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1843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74425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01384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43917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43350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2962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9128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8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8203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2791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23974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30209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2403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906009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511139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63402279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8323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7642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2842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81093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0033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30625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58756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30468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98431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6739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07181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84170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16380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7958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8220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529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3495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02919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03573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330845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8407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3558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19535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90852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17822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14416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626736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2955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49610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9183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455833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335998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5498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77479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593579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07541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9731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9697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7361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8520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0812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49797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57870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06519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6963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05218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11744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57905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45400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146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876566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2583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4153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79175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23395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7310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15070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15633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48499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696260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70665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9209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00926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84751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56980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10549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57529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66147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836074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7008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220886">
          <w:blockQuote w:val="1"/>
          <w:marLeft w:val="0"/>
          <w:marRight w:val="0"/>
          <w:marTop w:val="0"/>
          <w:marBottom w:val="0"/>
          <w:divBdr>
            <w:top w:val="single" w:sz="2" w:space="0" w:color="E3E3E3"/>
            <w:left w:val="single" w:sz="12" w:space="0" w:color="DCDDE5"/>
            <w:bottom w:val="single" w:sz="2" w:space="0" w:color="E3E3E3"/>
            <w:right w:val="single" w:sz="2" w:space="0" w:color="E3E3E3"/>
          </w:divBdr>
          <w:divsChild>
            <w:div w:id="40981687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</w:div>
          </w:divsChild>
        </w:div>
        <w:div w:id="1000035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57934003">
          <w:marLeft w:val="0"/>
          <w:marRight w:val="0"/>
          <w:marTop w:val="0"/>
          <w:marBottom w:val="0"/>
          <w:divBdr>
            <w:top w:val="none" w:sz="0" w:space="0" w:color="auto"/>
            <w:left w:val="single" w:sz="4" w:space="0" w:color="auto"/>
            <w:bottom w:val="single" w:sz="4" w:space="0" w:color="auto"/>
            <w:right w:val="single" w:sz="4" w:space="0" w:color="auto"/>
          </w:divBdr>
          <w:divsChild>
            <w:div w:id="20553049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041249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9511312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380593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504514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81360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804971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004547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89449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553541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5131134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4061519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674971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3620529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994069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440653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7955171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  <w:div w:id="17283377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271206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606127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5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2011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58246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083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3587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17067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6874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190787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419471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7117607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4580839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84065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427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19167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03365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039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126089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01795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7191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34182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35119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38302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0560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11492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081711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83050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9590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72049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6593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31937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16620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7602161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03158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51359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70409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04789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0581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9245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8099057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54470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657430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89785970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9641151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1532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48199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83094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64889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5373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8560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09680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63439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97825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43324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951565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2593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17309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52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72801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49441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36330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28596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42549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61756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613692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3555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7816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570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67810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815056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805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36226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81419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88347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57478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04487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96673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147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780030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388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97249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4429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3993096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3057946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008814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3500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96400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50600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5211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28847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28154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7706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97328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38891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1291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00961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62334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4663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1293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49736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773802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30526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10166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981634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4495187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3602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795782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5531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2542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44184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8823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104183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95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94516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03631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4228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6762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691974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62623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898047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3494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98641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2712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72079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5249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554360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72307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52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9871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86201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391127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2173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022766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32295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54466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071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98027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605092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1362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26516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9853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89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5474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22173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657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9945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78852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003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99079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81218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771702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9664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664956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55279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8265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064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79206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13418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992310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4953445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6526033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695795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00537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40492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188090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83883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5670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11519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392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872909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70848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1138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05593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0803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39237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3762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9248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667995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1716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3331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38355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60659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039945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446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99309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0993744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81610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25446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6119412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945881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26652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8387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62035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20332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06057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474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0806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478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69700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5957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1734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140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43956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79649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2113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91009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384210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005297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6684045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499893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1225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79227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3978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033807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6891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20132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11992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66093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20515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42953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26508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1154457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9664860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50524610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656819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96734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8068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52855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82628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17951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0320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662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8379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8336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0781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8983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29026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4111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10257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49817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3493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90461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197646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399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120954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2871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42657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876082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18225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778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923243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58988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7771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29560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05915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944858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4439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5257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744099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9180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70809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495737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1124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3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50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52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671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989722">
          <w:marLeft w:val="0"/>
          <w:marRight w:val="0"/>
          <w:marTop w:val="0"/>
          <w:marBottom w:val="0"/>
          <w:divBdr>
            <w:top w:val="single" w:sz="4" w:space="0" w:color="2E2E33"/>
            <w:left w:val="single" w:sz="4" w:space="0" w:color="2E2E33"/>
            <w:bottom w:val="single" w:sz="4" w:space="0" w:color="2E2E33"/>
            <w:right w:val="single" w:sz="4" w:space="0" w:color="2E2E33"/>
          </w:divBdr>
          <w:divsChild>
            <w:div w:id="117217945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950924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06392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94010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123949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07509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71107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62461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3016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54143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25775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30279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6534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86585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95963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761731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50967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010062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75764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873890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236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3051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3491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55500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149361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22946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395816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173500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83294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934618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963804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92917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96095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7911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98817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445037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6268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851040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09468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44806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21520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47979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57882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09675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8484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5038610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5445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2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529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016883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18820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03015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2081928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97664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4145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51132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265274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8490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2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095121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76066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33915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16614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642655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454875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0502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237726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596029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8706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892689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3906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5248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85034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91022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9005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6705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172519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618886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156398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83877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670432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24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18885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0925938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780961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834276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205871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11394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71917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941282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1919232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192495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50923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663919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328859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8607953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48036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039172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03054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4857003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7983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535339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21669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987794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87026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62239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424561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6358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95983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99019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32020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77282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20080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13072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32314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7890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84504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4125963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381525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17558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399127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65144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1730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71355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959392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9540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010447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979742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3422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6329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959616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956146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2994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61105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5435048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34704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78179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69118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748261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7621302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52663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976227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35038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554933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84145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77137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226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737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42627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849365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6668276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3641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9028990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1588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36442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103010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983711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191632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369286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3343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64830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26256332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969667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676148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54790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5641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4367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32603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3596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578758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52407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24267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342824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91133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74394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60845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910919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70626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21850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28536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870482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789575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138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4143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27624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81209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71495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507435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9820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86485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72907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92920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80118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831933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13581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74482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67940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34143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3896151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8071785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03198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9988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58336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162813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0690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51297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43070653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7138875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23385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902394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187312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62391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74419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33428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4291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9261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020125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84089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507208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1553569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7185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525440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37434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3592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05835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86596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13660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7164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787034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21553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20060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87135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291131703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53885840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8837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60509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012789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636970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545231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66489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34955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42972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167587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965310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068825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0884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68391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7458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91295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2296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69161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642812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644173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481956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33481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1629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336919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5037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203352667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36205231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638224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528758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42510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92997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531176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254189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67081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00726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450009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729040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6173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878717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11399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694133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22171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81252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73953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88843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340050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50915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96778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527938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1474253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325173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525817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517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582808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204295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681715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839899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87103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232960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56531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19703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310355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04871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466656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9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592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69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697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8398584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65965128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2987458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27416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160275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9680338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7520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3279302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236958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145523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33847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3456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6569970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131474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39730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31738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88182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88214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5781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087558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60283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466402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4738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205912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180584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2761699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454385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964129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096145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1263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67413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60683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9848138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139058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03849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78915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746996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68634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6868176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319611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23562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873542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601507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593370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072376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905724691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43420187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8712596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0389673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44756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270583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106617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09730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30197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490753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27235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44122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57003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811106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1157714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7605310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6581245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681380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6940724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67562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307614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9178211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8941583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996083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8739307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2479270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667558639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1670598079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161779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45916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475284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376137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378125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70194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549055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400956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3379942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7740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833537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2630724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591156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590508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3226511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99410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31731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1870996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068556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990056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3602819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446786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0425716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940265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  <w:div w:id="1853838084">
          <w:marLeft w:val="0"/>
          <w:marRight w:val="0"/>
          <w:marTop w:val="0"/>
          <w:marBottom w:val="0"/>
          <w:divBdr>
            <w:top w:val="single" w:sz="4" w:space="0" w:color="E1E3EA"/>
            <w:left w:val="single" w:sz="4" w:space="0" w:color="E1E3EA"/>
            <w:bottom w:val="single" w:sz="4" w:space="0" w:color="E1E3EA"/>
            <w:right w:val="single" w:sz="4" w:space="0" w:color="E1E3EA"/>
          </w:divBdr>
          <w:divsChild>
            <w:div w:id="6599917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552985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146213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909933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7075053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8208712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685231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23965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0142128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474080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6279784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99185834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845809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746699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3913018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4392244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027037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34343412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48465687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19696351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85920047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8529613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029925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518266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97107229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217720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28295897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3397787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3476788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394907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1365967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805049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56554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57805628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24268423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946618121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75239234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</w:divsChild>
            </w:div>
          </w:divsChild>
        </w:div>
      </w:divsChild>
    </w:div>
    <w:div w:id="164195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07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8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5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79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Img2" Type="http://schemas.openxmlformats.org/officeDocument/2006/relationships/image" Target="media/fig2.png"/><Relationship Id="rIdImg3" Type="http://schemas.openxmlformats.org/officeDocument/2006/relationships/image" Target="media/fig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4Jvio2sVVWRdka9h6UdcpfuTQMA==">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</go:docsCustomData>
</go:gDocsCustomXmlDataStorage>
</file>

<file path=customXml/itemProps1.xml><?xml version="1.0" encoding="utf-8"?>
<ds:datastoreItem xmlns:ds="http://schemas.openxmlformats.org/officeDocument/2006/customXml" ds:itemID="{D36D6926-BBBE-4F69-BC28-79F561349B4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874</TotalTime>
  <Pages>6</Pages>
  <Words>971</Words>
  <Characters>5540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Валерий Кандаулов</dc:creator>
  <cp:keywords/>
  <dc:description/>
  <cp:lastModifiedBy>Валерий Кандаулов</cp:lastModifiedBy>
  <cp:revision>1324</cp:revision>
  <cp:lastPrinted>2026-06-15T09:55:00Z</cp:lastPrinted>
  <dcterms:created xsi:type="dcterms:W3CDTF">2025-02-06T09:50:00Z</dcterms:created>
  <dcterms:modified xsi:type="dcterms:W3CDTF">2026-10-01T07:00:00Z</dcterms:modified>
  <cp:contentStatus/>
</cp:coreProperties>
</file>