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6BD4DB" w14:textId="30328BE8" w:rsidR="0064502E" w:rsidRDefault="0064502E" w:rsidP="000109B8">
      <w:pPr>
        <w:spacing w:line="360" w:lineRule="auto"/>
        <w:jc w:val="both"/>
        <w:rPr>
          <w:rFonts w:ascii="Times New Roman" w:hAnsi="Times New Roman" w:cs="Times New Roman"/>
          <w:sz w:val="24"/>
          <w:szCs w:val="24"/>
        </w:rPr>
      </w:pPr>
      <w:r>
        <w:rPr>
          <w:rFonts w:ascii="Times New Roman" w:hAnsi="Times New Roman" w:cs="Times New Roman"/>
          <w:sz w:val="24"/>
          <w:szCs w:val="24"/>
        </w:rPr>
        <w:t>Les</w:t>
      </w:r>
      <w:r w:rsidRPr="0064502E">
        <w:rPr>
          <w:rFonts w:ascii="Times New Roman" w:hAnsi="Times New Roman" w:cs="Times New Roman"/>
          <w:sz w:val="24"/>
          <w:szCs w:val="24"/>
        </w:rPr>
        <w:t xml:space="preserve"> pays du Sahel font face</w:t>
      </w:r>
      <w:r>
        <w:rPr>
          <w:rFonts w:ascii="Times New Roman" w:hAnsi="Times New Roman" w:cs="Times New Roman"/>
          <w:sz w:val="24"/>
          <w:szCs w:val="24"/>
        </w:rPr>
        <w:t xml:space="preserve"> depuis des no</w:t>
      </w:r>
      <w:r w:rsidR="00F14207">
        <w:rPr>
          <w:rFonts w:ascii="Times New Roman" w:hAnsi="Times New Roman" w:cs="Times New Roman"/>
          <w:sz w:val="24"/>
          <w:szCs w:val="24"/>
        </w:rPr>
        <w:t>m</w:t>
      </w:r>
      <w:r>
        <w:rPr>
          <w:rFonts w:ascii="Times New Roman" w:hAnsi="Times New Roman" w:cs="Times New Roman"/>
          <w:sz w:val="24"/>
          <w:szCs w:val="24"/>
        </w:rPr>
        <w:t>breuses années</w:t>
      </w:r>
      <w:r w:rsidRPr="0064502E">
        <w:rPr>
          <w:rFonts w:ascii="Times New Roman" w:hAnsi="Times New Roman" w:cs="Times New Roman"/>
          <w:sz w:val="24"/>
          <w:szCs w:val="24"/>
        </w:rPr>
        <w:t xml:space="preserve"> à une grande fluctuation tant sur le plan temporel, spatial que quantitatif des précipitations. Ce phénomène, associé aux éléments humains, a eu un impact considérable sur les grands équilibres écologiques et a provoqué une détérioration des ressources naturelles, des sols et des écosystèmes agricoles</w:t>
      </w:r>
      <w:r w:rsidR="0054598C">
        <w:rPr>
          <w:rFonts w:ascii="Times New Roman" w:hAnsi="Times New Roman" w:cs="Times New Roman"/>
          <w:sz w:val="24"/>
          <w:szCs w:val="24"/>
        </w:rPr>
        <w:t xml:space="preserve"> </w:t>
      </w:r>
      <w:r w:rsidR="0054598C">
        <w:rPr>
          <w:rFonts w:ascii="Times New Roman" w:hAnsi="Times New Roman" w:cs="Times New Roman"/>
          <w:sz w:val="24"/>
          <w:szCs w:val="24"/>
        </w:rPr>
        <w:fldChar w:fldCharType="begin" w:fldLock="1"/>
      </w:r>
      <w:r w:rsidR="0054598C">
        <w:rPr>
          <w:rFonts w:ascii="Times New Roman" w:hAnsi="Times New Roman" w:cs="Times New Roman"/>
          <w:sz w:val="24"/>
          <w:szCs w:val="24"/>
        </w:rPr>
        <w:instrText>ADDIN CSL_CITATION {"citationItems":[{"id":"ITEM-1","itemData":{"author":[{"dropping-particle":"","family":"Ndiaga","given":"Samb","non-dropping-particle":"","parse-names":false,"suffix":""}],"id":"ITEM-1","issued":{"date-parts":[["2010"]]},"number-of-pages":"69","publisher":"Diplôme d’etudes approfondies (D.E.A) de biologie végétale, Option : Écologie, Faculte des sciences et techniques, Université CHEIKH ANTA DIOP DE DAKAR","title":"Influence d’acacia senegal (l.) Willd sur les proprietes physiques, chimiques et biologiques des sols","type":"thesis"},"uris":["http://www.mendeley.com/documents/?uuid=a86473f2-408b-44e7-b388-21680b1434e1"]}],"mendeley":{"formattedCitation":"(Ndiaga, 2010)","plainTextFormattedCitation":"(Ndiaga, 2010)","previouslyFormattedCitation":"(Ndiaga, 2010)"},"properties":{"noteIndex":0},"schema":"https://github.com/citation-style-language/schema/raw/master/csl-citation.json"}</w:instrText>
      </w:r>
      <w:r w:rsidR="0054598C">
        <w:rPr>
          <w:rFonts w:ascii="Times New Roman" w:hAnsi="Times New Roman" w:cs="Times New Roman"/>
          <w:sz w:val="24"/>
          <w:szCs w:val="24"/>
        </w:rPr>
        <w:fldChar w:fldCharType="separate"/>
      </w:r>
      <w:r w:rsidR="0054598C" w:rsidRPr="0054598C">
        <w:rPr>
          <w:rFonts w:ascii="Times New Roman" w:hAnsi="Times New Roman" w:cs="Times New Roman"/>
          <w:noProof/>
          <w:sz w:val="24"/>
          <w:szCs w:val="24"/>
        </w:rPr>
        <w:t>(Ndiaga, 2010)</w:t>
      </w:r>
      <w:r w:rsidR="0054598C">
        <w:rPr>
          <w:rFonts w:ascii="Times New Roman" w:hAnsi="Times New Roman" w:cs="Times New Roman"/>
          <w:sz w:val="24"/>
          <w:szCs w:val="24"/>
        </w:rPr>
        <w:fldChar w:fldCharType="end"/>
      </w:r>
      <w:r w:rsidRPr="0064502E">
        <w:rPr>
          <w:rFonts w:ascii="Times New Roman" w:hAnsi="Times New Roman" w:cs="Times New Roman"/>
          <w:sz w:val="24"/>
          <w:szCs w:val="24"/>
        </w:rPr>
        <w:t>.</w:t>
      </w:r>
    </w:p>
    <w:p w14:paraId="09B4BC67" w14:textId="69AAD960" w:rsidR="00F14207" w:rsidRDefault="00F14207" w:rsidP="000109B8">
      <w:pPr>
        <w:spacing w:line="360" w:lineRule="auto"/>
        <w:jc w:val="both"/>
        <w:rPr>
          <w:rFonts w:ascii="Times New Roman" w:hAnsi="Times New Roman" w:cs="Times New Roman"/>
          <w:sz w:val="24"/>
          <w:szCs w:val="24"/>
        </w:rPr>
      </w:pPr>
      <w:r w:rsidRPr="00F14207">
        <w:rPr>
          <w:rFonts w:ascii="Times New Roman" w:hAnsi="Times New Roman" w:cs="Times New Roman"/>
          <w:sz w:val="24"/>
          <w:szCs w:val="24"/>
        </w:rPr>
        <w:t xml:space="preserve">Les systèmes de production agricole ont été vulnérables à cette situation (une diminution de la production agricole) et les possibilités d'intensification ont été fortement restreintes, ce qui constitue une contrainte majeure pour atteindre les OMD (Objectifs du Millénaire pour le Développement) que les pays sahéliens se sont fixés. </w:t>
      </w:r>
      <w:r w:rsidR="0054598C">
        <w:rPr>
          <w:rFonts w:ascii="Times New Roman" w:hAnsi="Times New Roman" w:cs="Times New Roman"/>
          <w:sz w:val="24"/>
          <w:szCs w:val="24"/>
        </w:rPr>
        <w:t>L</w:t>
      </w:r>
      <w:r w:rsidRPr="00F14207">
        <w:rPr>
          <w:rFonts w:ascii="Times New Roman" w:hAnsi="Times New Roman" w:cs="Times New Roman"/>
          <w:sz w:val="24"/>
          <w:szCs w:val="24"/>
        </w:rPr>
        <w:t>a lutte contre la déforestation et la désertification, ainsi que la diversification des cultures, ont toujours été perçues comme des solutions à privilégier, notamment en favorisant la promotion de nouvelles filières agricoles qui pourraient augmenter les revenus des paysans</w:t>
      </w:r>
      <w:r w:rsidR="0054598C">
        <w:rPr>
          <w:rFonts w:ascii="Times New Roman" w:hAnsi="Times New Roman" w:cs="Times New Roman"/>
          <w:sz w:val="24"/>
          <w:szCs w:val="24"/>
        </w:rPr>
        <w:t xml:space="preserve"> </w:t>
      </w:r>
      <w:r w:rsidR="0054598C">
        <w:rPr>
          <w:rFonts w:ascii="Times New Roman" w:hAnsi="Times New Roman" w:cs="Times New Roman"/>
          <w:sz w:val="24"/>
          <w:szCs w:val="24"/>
        </w:rPr>
        <w:fldChar w:fldCharType="begin" w:fldLock="1"/>
      </w:r>
      <w:r w:rsidR="00B161CD">
        <w:rPr>
          <w:rFonts w:ascii="Times New Roman" w:hAnsi="Times New Roman" w:cs="Times New Roman"/>
          <w:sz w:val="24"/>
          <w:szCs w:val="24"/>
        </w:rPr>
        <w:instrText>ADDIN CSL_CITATION {"citationItems":[{"id":"ITEM-1","itemData":{"ISBN":"978-2-8684-4343-4 (Gret)","author":[{"dropping-particle":"","family":"Laurent","given":"Levard","non-dropping-particle":"","parse-names":false,"suffix":""}],"edition":"Editions G","id":"ITEM-1","issued":{"date-parts":[["2023"]]},"number-of-pages":"320","title":"Guide pour l'évaluation de l'agroécologie. Methode pour apprécier ses effets et les conditions de son développement","type":"book"},"uris":["http://www.mendeley.com/documents/?uuid=f3a29395-8b8b-4e6e-92ac-715fb53b03b5"]},{"id":"ITEM-2","itemData":{"DOI":"10.21955/gatesopenres.1115387.1","abstract":"An assessment of the multi-functionality of agroecological intensification","author":[{"dropping-particle":"","family":"Milder","given":"Jeffrey C.","non-dropping-particle":"","parse-names":false,"suffix":""},{"dropping-particle":"","family":"Garbach","given":"Kelly","non-dropping-particle":"","parse-names":false,"suffix":""},{"dropping-particle":"","family":"DeClerck","given":"Fabrice A. J.","non-dropping-particle":"","parse-names":false,"suffix":""},{"dropping-particle":"","family":"Driscoll","given":"Laura","non-dropping-particle":"","parse-names":false,"suffix":""},{"dropping-particle":"","family":"Montenegro","given":"Maywa","non-dropping-particle":"","parse-names":false,"suffix":""}],"container-title":"Gates Open Res","id":"ITEM-2","issued":{"date-parts":[["2019"]]},"page":"279","title":"An Assessment of the Multi Functionality of Agroecological Intensification","type":"article-journal","volume":"3"},"uris":["http://www.mendeley.com/documents/?uuid=11d5ef8d-3b47-4072-9e64-baecf438bbd6"]},{"id":"ITEM-3","itemData":{"author":[{"dropping-particle":"","family":"Ndiaga","given":"Samb","non-dropping-particle":"","parse-names":false,"suffix":""}],"id":"ITEM-3","issued":{"date-parts":[["2010"]]},"number-of-pages":"69","publisher":"Diplôme d’etudes approfondies (D.E.A) de biologie végétale, Option : Écologie, Faculte des sciences et techniques, Université CHEIKH ANTA DIOP DE DAKAR","title":"Influence d’acacia senegal (l.) Willd sur les proprietes physiques, chimiques et biologiques des sols","type":"thesis"},"uris":["http://www.mendeley.com/documents/?uuid=a86473f2-408b-44e7-b388-21680b1434e1"]}],"mendeley":{"formattedCitation":"(Laurent, 2023; Milder et al., 2019; Ndiaga, 2010)","plainTextFormattedCitation":"(Laurent, 2023; Milder et al., 2019; Ndiaga, 2010)","previouslyFormattedCitation":"(Laurent, 2023; Milder et al., 2019; Ndiaga, 2010)"},"properties":{"noteIndex":0},"schema":"https://github.com/citation-style-language/schema/raw/master/csl-citation.json"}</w:instrText>
      </w:r>
      <w:r w:rsidR="0054598C">
        <w:rPr>
          <w:rFonts w:ascii="Times New Roman" w:hAnsi="Times New Roman" w:cs="Times New Roman"/>
          <w:sz w:val="24"/>
          <w:szCs w:val="24"/>
        </w:rPr>
        <w:fldChar w:fldCharType="separate"/>
      </w:r>
      <w:r w:rsidR="0054598C" w:rsidRPr="0054598C">
        <w:rPr>
          <w:rFonts w:ascii="Times New Roman" w:hAnsi="Times New Roman" w:cs="Times New Roman"/>
          <w:noProof/>
          <w:sz w:val="24"/>
          <w:szCs w:val="24"/>
        </w:rPr>
        <w:t>(Laurent, 2023; Milder et al., 2019; Ndiaga, 2010)</w:t>
      </w:r>
      <w:r w:rsidR="0054598C">
        <w:rPr>
          <w:rFonts w:ascii="Times New Roman" w:hAnsi="Times New Roman" w:cs="Times New Roman"/>
          <w:sz w:val="24"/>
          <w:szCs w:val="24"/>
        </w:rPr>
        <w:fldChar w:fldCharType="end"/>
      </w:r>
      <w:r w:rsidRPr="00F14207">
        <w:rPr>
          <w:rFonts w:ascii="Times New Roman" w:hAnsi="Times New Roman" w:cs="Times New Roman"/>
          <w:sz w:val="24"/>
          <w:szCs w:val="24"/>
        </w:rPr>
        <w:t>.</w:t>
      </w:r>
    </w:p>
    <w:p w14:paraId="2FF975A9" w14:textId="1DFF1D15" w:rsidR="0064502E" w:rsidRDefault="005D7FE2" w:rsidP="000109B8">
      <w:pPr>
        <w:spacing w:line="360" w:lineRule="auto"/>
        <w:jc w:val="both"/>
        <w:rPr>
          <w:rFonts w:ascii="Times New Roman" w:hAnsi="Times New Roman" w:cs="Times New Roman"/>
          <w:sz w:val="24"/>
          <w:szCs w:val="24"/>
        </w:rPr>
      </w:pPr>
      <w:r w:rsidRPr="00644FD1">
        <w:rPr>
          <w:rFonts w:ascii="Times New Roman" w:hAnsi="Times New Roman" w:cs="Times New Roman"/>
          <w:sz w:val="24"/>
          <w:szCs w:val="24"/>
        </w:rPr>
        <w:t>Le Niger, au cœur d</w:t>
      </w:r>
      <w:r>
        <w:rPr>
          <w:rFonts w:ascii="Times New Roman" w:hAnsi="Times New Roman" w:cs="Times New Roman"/>
          <w:sz w:val="24"/>
          <w:szCs w:val="24"/>
        </w:rPr>
        <w:t>u Sahel</w:t>
      </w:r>
      <w:r w:rsidRPr="00644FD1">
        <w:rPr>
          <w:rFonts w:ascii="Times New Roman" w:hAnsi="Times New Roman" w:cs="Times New Roman"/>
          <w:sz w:val="24"/>
          <w:szCs w:val="24"/>
        </w:rPr>
        <w:t xml:space="preserve">, connaît une forte croissance démographique et une économie fortement dépendante de l'agriculture </w:t>
      </w:r>
      <w:r w:rsidRPr="00644FD1">
        <w:rPr>
          <w:rFonts w:ascii="Times New Roman" w:hAnsi="Times New Roman" w:cs="Times New Roman"/>
          <w:sz w:val="24"/>
          <w:szCs w:val="24"/>
        </w:rPr>
        <w:fldChar w:fldCharType="begin" w:fldLock="1"/>
      </w:r>
      <w:r w:rsidRPr="00644FD1">
        <w:rPr>
          <w:rFonts w:ascii="Times New Roman" w:hAnsi="Times New Roman" w:cs="Times New Roman"/>
          <w:sz w:val="24"/>
          <w:szCs w:val="24"/>
        </w:rPr>
        <w:instrText>ADDIN CSL_CITATION {"citationItems":[{"id":"ITEM-1","itemData":{"abstract":"La prise en compte des connaissances locales de la variabilité de surface du sol constitue un levier pour optimiser la production végétale et élaborer des stratégies de gestion durable des agrosystèmes sahéliens. L'objectif de cette étude est d'évaluer les connaissances locales sur la variabilité de surface du sol et la gestion des contraintes pédologiques pour la production du niébé au Niger. Pour y parvenir, des enquêtes semi-directives ont été conduites au sud de la région de Tillabéri et à l'extrême nord de la région de Maradi. Ces deux régions offrent des conditions agro-écologiques, pédoclimatiques (climat, sols, pratiques culturales) et socio-économiques (utilisation et commercialisation) différentes vis-à-vis de la culture du niébé. Au total, 600 producteurs de niébé ont été soumis à un questionnaire semi-structuré visant (1) à déterminer leurs connaissances de la variabilité de surface du sol et (2) à hiérarchiser les entités homogènes de la surface de leurs champs selon leurs potentiels productifs et leurs niveaux de fertilité. Les résultats obtenus ont révélé que 96 % des producteurs enquêtés sur l'ensemble des sites sont conscients de la variabilité de surface du sol. Ils reconnaissent que la variabilité de la surface du sol est liée à la nature du sol, le travail du sol, l'érosion, la topographie ou le type de végétation. L'érosion des sols apparait comme une cause de la variabilité de surface pour 57 à 61 % des producteurs de la région de Tillabéri, tandis que dans la région de Maradi, les producteurs identifient la nature du sol (61 %), la topographie (39 %) et le couvert végétal (36 %) comme principales causes de la variabilité de surface du sol. Les entités de surface à croûtes structurales sous houppier de Faidherbia albida sont considérées comme les plus Comment citer cet article : Seyni Bodo B, Morvan X., Malam Issa O., Tidjani Adamou D., Ambouta Karimou J.-M., Marin B., Ponthieu M. et Fronteau G.-2019-Connaissance locale de la variabilité de surface du sol et des contraintes associées pour la production du niébé en zone sahélienne du Niger, Etude et Gestion des Sols, 26, 65-79 Comment télécharger cet article : http://www.afes.fr/publications/revue-etude-et-gestion-des-sols/volume-26/ Comment consulter/télécharger tous les articles de la revue EGS : www.afes/egs/","author":[{"dropping-particle":"","family":"Seyni Bodo","given":"B","non-dropping-particle":"","parse-names":false,"suffix":""},{"dropping-particle":"","family":"Morvan","given":"X","non-dropping-particle":"","parse-names":false,"suffix":""},{"dropping-particle":"","family":"Malam Issa","given":"O","non-dropping-particle":"","parse-names":false,"suffix":""},{"dropping-particle":"","family":"Tidjani Adamou","given":"D","non-dropping-particle":"","parse-names":false,"suffix":""},{"dropping-particle":"","family":"Ambouta Karimou","given":"J-m","non-dropping-particle":"","parse-names":false,"suffix":""},{"dropping-particle":"","family":"Marin","given":"B","non-dropping-particle":"","parse-names":false,"suffix":""},{"dropping-particle":"","family":"Ponthieu","given":"M","non-dropping-particle":"","parse-names":false,"suffix":""},{"dropping-particle":"","family":"Fronteau","given":"G","non-dropping-particle":"","parse-names":false,"suffix":""}],"container-title":"Reçu : novembre","id":"ITEM-1","issued":{"date-parts":[["2019"]]},"page":"79","title":"Connaissance locale de la variabilité de surface du sol et des contraintes associées pour la production du niébé en zone sahélienne du Niger","type":"article-journal","volume":"26"},"uris":["http://www.mendeley.com/documents/?uuid=9cea3365-3784-420c-87e5-e4b8c16c41ed"]}],"mendeley":{"formattedCitation":"(Seyni Bodo et al., 2019)","plainTextFormattedCitation":"(Seyni Bodo et al., 2019)","previouslyFormattedCitation":"(Seyni Bodo et al., 2019)"},"properties":{"noteIndex":0},"schema":"https://github.com/citation-style-language/schema/raw/master/csl-citation.json"}</w:instrText>
      </w:r>
      <w:r w:rsidRPr="00644FD1">
        <w:rPr>
          <w:rFonts w:ascii="Times New Roman" w:hAnsi="Times New Roman" w:cs="Times New Roman"/>
          <w:sz w:val="24"/>
          <w:szCs w:val="24"/>
        </w:rPr>
        <w:fldChar w:fldCharType="separate"/>
      </w:r>
      <w:r w:rsidRPr="00644FD1">
        <w:rPr>
          <w:rFonts w:ascii="Times New Roman" w:hAnsi="Times New Roman" w:cs="Times New Roman"/>
          <w:noProof/>
          <w:sz w:val="24"/>
          <w:szCs w:val="24"/>
        </w:rPr>
        <w:t>(Seyni Bodo et al., 2019)</w:t>
      </w:r>
      <w:r w:rsidRPr="00644FD1">
        <w:rPr>
          <w:rFonts w:ascii="Times New Roman" w:hAnsi="Times New Roman" w:cs="Times New Roman"/>
          <w:sz w:val="24"/>
          <w:szCs w:val="24"/>
        </w:rPr>
        <w:fldChar w:fldCharType="end"/>
      </w:r>
      <w:r w:rsidRPr="00644FD1">
        <w:rPr>
          <w:rFonts w:ascii="Times New Roman" w:hAnsi="Times New Roman" w:cs="Times New Roman"/>
          <w:sz w:val="24"/>
          <w:szCs w:val="24"/>
        </w:rPr>
        <w:t>.</w:t>
      </w:r>
      <w:r>
        <w:rPr>
          <w:rFonts w:ascii="Times New Roman" w:hAnsi="Times New Roman" w:cs="Times New Roman"/>
          <w:sz w:val="24"/>
          <w:szCs w:val="24"/>
        </w:rPr>
        <w:t xml:space="preserve"> </w:t>
      </w:r>
      <w:r w:rsidR="00F92420">
        <w:rPr>
          <w:rFonts w:ascii="Times New Roman" w:hAnsi="Times New Roman" w:cs="Times New Roman"/>
          <w:sz w:val="24"/>
          <w:szCs w:val="24"/>
        </w:rPr>
        <w:t>L</w:t>
      </w:r>
      <w:r w:rsidR="00F92420" w:rsidRPr="00F92420">
        <w:rPr>
          <w:rFonts w:ascii="Times New Roman" w:hAnsi="Times New Roman" w:cs="Times New Roman"/>
          <w:sz w:val="24"/>
          <w:szCs w:val="24"/>
        </w:rPr>
        <w:t>e mil (</w:t>
      </w:r>
      <w:proofErr w:type="spellStart"/>
      <w:r w:rsidR="00F92420" w:rsidRPr="00B51610">
        <w:rPr>
          <w:rFonts w:ascii="Times New Roman" w:hAnsi="Times New Roman" w:cs="Times New Roman"/>
          <w:i/>
          <w:iCs/>
          <w:sz w:val="24"/>
          <w:szCs w:val="24"/>
        </w:rPr>
        <w:t>Pennisetum</w:t>
      </w:r>
      <w:proofErr w:type="spellEnd"/>
      <w:r w:rsidR="00F92420" w:rsidRPr="00B51610">
        <w:rPr>
          <w:rFonts w:ascii="Times New Roman" w:hAnsi="Times New Roman" w:cs="Times New Roman"/>
          <w:i/>
          <w:iCs/>
          <w:sz w:val="24"/>
          <w:szCs w:val="24"/>
        </w:rPr>
        <w:t xml:space="preserve"> </w:t>
      </w:r>
      <w:proofErr w:type="spellStart"/>
      <w:r w:rsidR="00F92420" w:rsidRPr="00B51610">
        <w:rPr>
          <w:rFonts w:ascii="Times New Roman" w:hAnsi="Times New Roman" w:cs="Times New Roman"/>
          <w:i/>
          <w:iCs/>
          <w:sz w:val="24"/>
          <w:szCs w:val="24"/>
        </w:rPr>
        <w:t>glaucum</w:t>
      </w:r>
      <w:proofErr w:type="spellEnd"/>
      <w:r w:rsidR="00F92420" w:rsidRPr="00F92420">
        <w:rPr>
          <w:rFonts w:ascii="Times New Roman" w:hAnsi="Times New Roman" w:cs="Times New Roman"/>
          <w:sz w:val="24"/>
          <w:szCs w:val="24"/>
        </w:rPr>
        <w:t xml:space="preserve"> L.)</w:t>
      </w:r>
      <w:r w:rsidR="00F92420">
        <w:rPr>
          <w:rFonts w:ascii="Times New Roman" w:hAnsi="Times New Roman" w:cs="Times New Roman"/>
          <w:sz w:val="24"/>
          <w:szCs w:val="24"/>
        </w:rPr>
        <w:t xml:space="preserve"> et </w:t>
      </w:r>
      <w:r w:rsidR="00F92420" w:rsidRPr="00F92420">
        <w:rPr>
          <w:rFonts w:ascii="Times New Roman" w:hAnsi="Times New Roman" w:cs="Times New Roman"/>
          <w:sz w:val="24"/>
          <w:szCs w:val="24"/>
        </w:rPr>
        <w:t>Le sorgho (</w:t>
      </w:r>
      <w:proofErr w:type="spellStart"/>
      <w:r w:rsidR="00F92420" w:rsidRPr="00B51610">
        <w:rPr>
          <w:rFonts w:ascii="Times New Roman" w:hAnsi="Times New Roman" w:cs="Times New Roman"/>
          <w:i/>
          <w:iCs/>
          <w:sz w:val="24"/>
          <w:szCs w:val="24"/>
        </w:rPr>
        <w:t>Sorghum</w:t>
      </w:r>
      <w:proofErr w:type="spellEnd"/>
      <w:r w:rsidR="00F92420" w:rsidRPr="00B51610">
        <w:rPr>
          <w:rFonts w:ascii="Times New Roman" w:hAnsi="Times New Roman" w:cs="Times New Roman"/>
          <w:i/>
          <w:iCs/>
          <w:sz w:val="24"/>
          <w:szCs w:val="24"/>
        </w:rPr>
        <w:t xml:space="preserve"> bicolor</w:t>
      </w:r>
      <w:r w:rsidR="00F92420" w:rsidRPr="00F92420">
        <w:rPr>
          <w:rFonts w:ascii="Times New Roman" w:hAnsi="Times New Roman" w:cs="Times New Roman"/>
          <w:sz w:val="24"/>
          <w:szCs w:val="24"/>
        </w:rPr>
        <w:t xml:space="preserve"> </w:t>
      </w:r>
      <w:proofErr w:type="spellStart"/>
      <w:r w:rsidR="00F92420" w:rsidRPr="00F92420">
        <w:rPr>
          <w:rFonts w:ascii="Times New Roman" w:hAnsi="Times New Roman" w:cs="Times New Roman"/>
          <w:sz w:val="24"/>
          <w:szCs w:val="24"/>
        </w:rPr>
        <w:t>ssp</w:t>
      </w:r>
      <w:proofErr w:type="spellEnd"/>
      <w:r w:rsidR="00F92420" w:rsidRPr="00F92420">
        <w:rPr>
          <w:rFonts w:ascii="Times New Roman" w:hAnsi="Times New Roman" w:cs="Times New Roman"/>
          <w:sz w:val="24"/>
          <w:szCs w:val="24"/>
        </w:rPr>
        <w:t xml:space="preserve"> bicolor (L.) </w:t>
      </w:r>
      <w:proofErr w:type="spellStart"/>
      <w:r w:rsidR="00F92420" w:rsidRPr="00F92420">
        <w:rPr>
          <w:rFonts w:ascii="Times New Roman" w:hAnsi="Times New Roman" w:cs="Times New Roman"/>
          <w:sz w:val="24"/>
          <w:szCs w:val="24"/>
        </w:rPr>
        <w:t>Moench</w:t>
      </w:r>
      <w:proofErr w:type="spellEnd"/>
      <w:r w:rsidR="00F92420" w:rsidRPr="00F92420">
        <w:rPr>
          <w:rFonts w:ascii="Times New Roman" w:hAnsi="Times New Roman" w:cs="Times New Roman"/>
          <w:sz w:val="24"/>
          <w:szCs w:val="24"/>
        </w:rPr>
        <w:t xml:space="preserve">.), </w:t>
      </w:r>
      <w:r w:rsidR="00F92420">
        <w:rPr>
          <w:rFonts w:ascii="Times New Roman" w:hAnsi="Times New Roman" w:cs="Times New Roman"/>
          <w:sz w:val="24"/>
          <w:szCs w:val="24"/>
        </w:rPr>
        <w:t xml:space="preserve">sont les céréales </w:t>
      </w:r>
      <w:r w:rsidR="00F92420" w:rsidRPr="00F92420">
        <w:rPr>
          <w:rFonts w:ascii="Times New Roman" w:hAnsi="Times New Roman" w:cs="Times New Roman"/>
          <w:sz w:val="24"/>
          <w:szCs w:val="24"/>
        </w:rPr>
        <w:t>les principales céréales cultivées</w:t>
      </w:r>
      <w:r w:rsidR="00F92420" w:rsidRPr="00F92420">
        <w:rPr>
          <w:rFonts w:ascii="Times New Roman" w:hAnsi="Times New Roman" w:cs="Times New Roman"/>
          <w:sz w:val="24"/>
          <w:szCs w:val="24"/>
        </w:rPr>
        <w:t>. Le niébé (</w:t>
      </w:r>
      <w:proofErr w:type="spellStart"/>
      <w:r w:rsidR="00F92420" w:rsidRPr="00B51610">
        <w:rPr>
          <w:rFonts w:ascii="Times New Roman" w:hAnsi="Times New Roman" w:cs="Times New Roman"/>
          <w:i/>
          <w:iCs/>
          <w:sz w:val="24"/>
          <w:szCs w:val="24"/>
        </w:rPr>
        <w:t>Vigna</w:t>
      </w:r>
      <w:proofErr w:type="spellEnd"/>
      <w:r w:rsidR="00F92420" w:rsidRPr="00B51610">
        <w:rPr>
          <w:rFonts w:ascii="Times New Roman" w:hAnsi="Times New Roman" w:cs="Times New Roman"/>
          <w:i/>
          <w:iCs/>
          <w:sz w:val="24"/>
          <w:szCs w:val="24"/>
        </w:rPr>
        <w:t xml:space="preserve"> </w:t>
      </w:r>
      <w:proofErr w:type="spellStart"/>
      <w:r w:rsidR="00F92420" w:rsidRPr="00B51610">
        <w:rPr>
          <w:rFonts w:ascii="Times New Roman" w:hAnsi="Times New Roman" w:cs="Times New Roman"/>
          <w:i/>
          <w:iCs/>
          <w:sz w:val="24"/>
          <w:szCs w:val="24"/>
        </w:rPr>
        <w:t>unguiculata</w:t>
      </w:r>
      <w:proofErr w:type="spellEnd"/>
      <w:r w:rsidR="00F92420" w:rsidRPr="00F92420">
        <w:rPr>
          <w:rFonts w:ascii="Times New Roman" w:hAnsi="Times New Roman" w:cs="Times New Roman"/>
          <w:sz w:val="24"/>
          <w:szCs w:val="24"/>
        </w:rPr>
        <w:t xml:space="preserve"> (L.) </w:t>
      </w:r>
      <w:proofErr w:type="spellStart"/>
      <w:r w:rsidR="00F92420" w:rsidRPr="00F92420">
        <w:rPr>
          <w:rFonts w:ascii="Times New Roman" w:hAnsi="Times New Roman" w:cs="Times New Roman"/>
          <w:sz w:val="24"/>
          <w:szCs w:val="24"/>
        </w:rPr>
        <w:t>Walp</w:t>
      </w:r>
      <w:proofErr w:type="spellEnd"/>
      <w:r w:rsidR="00F92420" w:rsidRPr="00F92420">
        <w:rPr>
          <w:rFonts w:ascii="Times New Roman" w:hAnsi="Times New Roman" w:cs="Times New Roman"/>
          <w:sz w:val="24"/>
          <w:szCs w:val="24"/>
        </w:rPr>
        <w:t>) et l’arachide (</w:t>
      </w:r>
      <w:proofErr w:type="spellStart"/>
      <w:r w:rsidR="00F92420" w:rsidRPr="00B51610">
        <w:rPr>
          <w:rFonts w:ascii="Times New Roman" w:hAnsi="Times New Roman" w:cs="Times New Roman"/>
          <w:i/>
          <w:iCs/>
          <w:sz w:val="24"/>
          <w:szCs w:val="24"/>
        </w:rPr>
        <w:t>Arachis</w:t>
      </w:r>
      <w:proofErr w:type="spellEnd"/>
      <w:r w:rsidR="00F92420" w:rsidRPr="00B51610">
        <w:rPr>
          <w:rFonts w:ascii="Times New Roman" w:hAnsi="Times New Roman" w:cs="Times New Roman"/>
          <w:i/>
          <w:iCs/>
          <w:sz w:val="24"/>
          <w:szCs w:val="24"/>
        </w:rPr>
        <w:t xml:space="preserve"> </w:t>
      </w:r>
      <w:proofErr w:type="spellStart"/>
      <w:r w:rsidR="00F92420" w:rsidRPr="00B51610">
        <w:rPr>
          <w:rFonts w:ascii="Times New Roman" w:hAnsi="Times New Roman" w:cs="Times New Roman"/>
          <w:i/>
          <w:iCs/>
          <w:sz w:val="24"/>
          <w:szCs w:val="24"/>
        </w:rPr>
        <w:t>hypogaea</w:t>
      </w:r>
      <w:proofErr w:type="spellEnd"/>
      <w:r w:rsidR="00F92420" w:rsidRPr="00F92420">
        <w:rPr>
          <w:rFonts w:ascii="Times New Roman" w:hAnsi="Times New Roman" w:cs="Times New Roman"/>
          <w:sz w:val="24"/>
          <w:szCs w:val="24"/>
        </w:rPr>
        <w:t xml:space="preserve"> L.) sont les principales légumineuses cultivées en association ou en rotation </w:t>
      </w:r>
      <w:r w:rsidR="00F92420">
        <w:rPr>
          <w:rFonts w:ascii="Times New Roman" w:hAnsi="Times New Roman" w:cs="Times New Roman"/>
          <w:sz w:val="24"/>
          <w:szCs w:val="24"/>
        </w:rPr>
        <w:t xml:space="preserve">ces </w:t>
      </w:r>
      <w:r w:rsidR="00B51610">
        <w:rPr>
          <w:rFonts w:ascii="Times New Roman" w:hAnsi="Times New Roman" w:cs="Times New Roman"/>
          <w:sz w:val="24"/>
          <w:szCs w:val="24"/>
        </w:rPr>
        <w:t xml:space="preserve">céréales </w:t>
      </w:r>
      <w:r w:rsidR="00B51610">
        <w:rPr>
          <w:rFonts w:ascii="Times New Roman" w:hAnsi="Times New Roman" w:cs="Times New Roman"/>
          <w:sz w:val="24"/>
          <w:szCs w:val="24"/>
        </w:rPr>
        <w:fldChar w:fldCharType="begin" w:fldLock="1"/>
      </w:r>
      <w:r w:rsidR="00B51610">
        <w:rPr>
          <w:rFonts w:ascii="Times New Roman" w:hAnsi="Times New Roman" w:cs="Times New Roman"/>
          <w:sz w:val="24"/>
          <w:szCs w:val="24"/>
        </w:rPr>
        <w:instrText>ADDIN CSL_CITATION {"citationItems":[{"id":"ITEM-1","itemData":{"DOI":"10.4314/ijbcs.v7i6.13","ISSN":"1991-8631","author":[{"dropping-particle":"","family":"Abdou","given":"MM","non-dropping-particle":"","parse-names":false,"suffix":""},{"dropping-particle":"","family":"Alzouma Mayaki","given":"Z","non-dropping-particle":"","parse-names":false,"suffix":""},{"dropping-particle":"","family":"Kadri","given":"A","non-dropping-particle":"","parse-names":false,"suffix":""},{"dropping-particle":"","family":"Ambouta","given":"J-MK","non-dropping-particle":"","parse-names":false,"suffix":""},{"dropping-particle":"","family":"Dan Lamso","given":"N","non-dropping-particle":"","parse-names":false,"suffix":""}],"container-title":"International Journal of Biological and Chemical Sciences","id":"ITEM-1","issue":"6","issued":{"date-parts":[["2014"]]},"page":"2328","title":"Effet de l’arbre Acacia senegal sur la fertilité des sols de gommeraies au Niger","type":"article-journal","volume":"7"},"uris":["http://www.mendeley.com/documents/?uuid=31dc261b-9ccc-47a5-8b29-01cba73dafc7"]},{"id":"ITEM-2","itemData":{"DOI":"10.19044/esj.2016.v12n9p382","ISSN":"18577881","abstract":"In Niger, agricultural production is based mainly on the association and rotation grains / legumes with generally low yields. To improve these yields, seeding effects and cowpea genotypes in combination with millet were studied in 2014 and 2015 in the Sahel region of Niger. The experimental device is a split plot design with three replications. cowpea genotypes were large plots, and two seeding (1: 1 and 1: 2, millet and cowpea) in small plots. In addition, four parcels of pure millet grown in the past two years have been used as control. Analysis of variance revealed that for cowpea, biomass yield, seed, weight of hundred seeds and seed harvest index were significantly affected by the genotypes for two years. However, there is no significant effect on the density and cowpea genotypes on grain yields of millet. In 2014, the biomass yield millet density 2 was lower than the density of one. The density 2 increased yields of cowpea and millet slightly diminish those.","author":[{"dropping-particle":"","family":"Karim","given":"Toudou DaoudaAbdoul","non-dropping-particle":"","parse-names":false,"suffix":""},{"dropping-particle":"","family":"Sanoussi","given":"Atta","non-dropping-particle":"","parse-names":false,"suffix":""},{"dropping-particle":"","family":"Falalou","given":"Hamidou","non-dropping-particle":"","parse-names":false,"suffix":""},{"dropping-particle":"","family":"Maârouhi","given":"Inoussa Maman","non-dropping-particle":"","parse-names":false,"suffix":""},{"dropping-particle":"","family":"Yacoubou","given":"Bakasso","non-dropping-particle":"","parse-names":false,"suffix":""},{"dropping-particle":"","family":"Mahamane","given":"Saadou","non-dropping-particle":"","parse-names":false,"suffix":""}],"container-title":"European Scientific Journal, ESJ","id":"ITEM-2","issue":"9","issued":{"date-parts":[["2016"]]},"page":"382","title":"Amelioration Du Rendement Du Mil Par L’association Avec Le Niebe En Zone Sahelienne","type":"article-journal","volume":"12"},"uris":["http://www.mendeley.com/documents/?uuid=251356b2-3ded-46f0-bbb2-290c697b9afd"]}],"mendeley":{"formattedCitation":"(Abdou et al., 2014; Karim et al., 2016)","plainTextFormattedCitation":"(Abdou et al., 2014; Karim et al., 2016)","previouslyFormattedCitation":"(Abdou et al., 2014; Karim et al., 2016)"},"properties":{"noteIndex":0},"schema":"https://github.com/citation-style-language/schema/raw/master/csl-citation.json"}</w:instrText>
      </w:r>
      <w:r w:rsidR="00B51610">
        <w:rPr>
          <w:rFonts w:ascii="Times New Roman" w:hAnsi="Times New Roman" w:cs="Times New Roman"/>
          <w:sz w:val="24"/>
          <w:szCs w:val="24"/>
        </w:rPr>
        <w:fldChar w:fldCharType="separate"/>
      </w:r>
      <w:r w:rsidR="00B51610" w:rsidRPr="00B51610">
        <w:rPr>
          <w:rFonts w:ascii="Times New Roman" w:hAnsi="Times New Roman" w:cs="Times New Roman"/>
          <w:noProof/>
          <w:sz w:val="24"/>
          <w:szCs w:val="24"/>
        </w:rPr>
        <w:t>(Abdou et al., 2014; Karim et al., 2016)</w:t>
      </w:r>
      <w:r w:rsidR="00B51610">
        <w:rPr>
          <w:rFonts w:ascii="Times New Roman" w:hAnsi="Times New Roman" w:cs="Times New Roman"/>
          <w:sz w:val="24"/>
          <w:szCs w:val="24"/>
        </w:rPr>
        <w:fldChar w:fldCharType="end"/>
      </w:r>
      <w:r w:rsidR="00F92420" w:rsidRPr="00F92420">
        <w:rPr>
          <w:rFonts w:ascii="Times New Roman" w:hAnsi="Times New Roman" w:cs="Times New Roman"/>
          <w:sz w:val="24"/>
          <w:szCs w:val="24"/>
        </w:rPr>
        <w:t>.</w:t>
      </w:r>
      <w:r w:rsidR="00F92420">
        <w:rPr>
          <w:rFonts w:ascii="Times New Roman" w:hAnsi="Times New Roman" w:cs="Times New Roman"/>
          <w:sz w:val="24"/>
          <w:szCs w:val="24"/>
        </w:rPr>
        <w:t xml:space="preserve"> </w:t>
      </w:r>
      <w:r w:rsidR="00F92420" w:rsidRPr="00F92420">
        <w:rPr>
          <w:rFonts w:ascii="Times New Roman" w:hAnsi="Times New Roman" w:cs="Times New Roman"/>
          <w:sz w:val="24"/>
          <w:szCs w:val="24"/>
        </w:rPr>
        <w:t>Cependant, les rendements sont très faibles en raison de la pauvreté des sols</w:t>
      </w:r>
      <w:r w:rsidR="00B51610">
        <w:rPr>
          <w:rFonts w:ascii="Times New Roman" w:hAnsi="Times New Roman" w:cs="Times New Roman"/>
          <w:sz w:val="24"/>
          <w:szCs w:val="24"/>
        </w:rPr>
        <w:t xml:space="preserve"> </w:t>
      </w:r>
      <w:r w:rsidR="00B51610">
        <w:rPr>
          <w:rFonts w:ascii="Times New Roman" w:hAnsi="Times New Roman" w:cs="Times New Roman"/>
          <w:sz w:val="24"/>
          <w:szCs w:val="24"/>
        </w:rPr>
        <w:fldChar w:fldCharType="begin" w:fldLock="1"/>
      </w:r>
      <w:r w:rsidR="0054598C">
        <w:rPr>
          <w:rFonts w:ascii="Times New Roman" w:hAnsi="Times New Roman" w:cs="Times New Roman"/>
          <w:sz w:val="24"/>
          <w:szCs w:val="24"/>
        </w:rPr>
        <w:instrText>ADDIN CSL_CITATION {"citationItems":[{"id":"ITEM-1","itemData":{"DOI":"10.19044/esj.2016.v12n9p382","ISSN":"18577881","abstract":"In Niger, agricultural production is based mainly on the association and rotation grains / legumes with generally low yields. To improve these yields, seeding effects and cowpea genotypes in combination with millet were studied in 2014 and 2015 in the Sahel region of Niger. The experimental device is a split plot design with three replications. cowpea genotypes were large plots, and two seeding (1: 1 and 1: 2, millet and cowpea) in small plots. In addition, four parcels of pure millet grown in the past two years have been used as control. Analysis of variance revealed that for cowpea, biomass yield, seed, weight of hundred seeds and seed harvest index were significantly affected by the genotypes for two years. However, there is no significant effect on the density and cowpea genotypes on grain yields of millet. In 2014, the biomass yield millet density 2 was lower than the density of one. The density 2 increased yields of cowpea and millet slightly diminish those.","author":[{"dropping-particle":"","family":"Karim","given":"Toudou DaoudaAbdoul","non-dropping-particle":"","parse-names":false,"suffix":""},{"dropping-particle":"","family":"Sanoussi","given":"Atta","non-dropping-particle":"","parse-names":false,"suffix":""},{"dropping-particle":"","family":"Falalou","given":"Hamidou","non-dropping-particle":"","parse-names":false,"suffix":""},{"dropping-particle":"","family":"Maârouhi","given":"Inoussa Maman","non-dropping-particle":"","parse-names":false,"suffix":""},{"dropping-particle":"","family":"Yacoubou","given":"Bakasso","non-dropping-particle":"","parse-names":false,"suffix":""},{"dropping-particle":"","family":"Mahamane","given":"Saadou","non-dropping-particle":"","parse-names":false,"suffix":""}],"container-title":"European Scientific Journal, ESJ","id":"ITEM-1","issue":"9","issued":{"date-parts":[["2016"]]},"page":"382","title":"Amelioration Du Rendement Du Mil Par L’association Avec Le Niebe En Zone Sahelienne","type":"article-journal","volume":"12"},"uris":["http://www.mendeley.com/documents/?uuid=251356b2-3ded-46f0-bbb2-290c697b9afd"]}],"mendeley":{"formattedCitation":"(Karim et al., 2016)","plainTextFormattedCitation":"(Karim et al., 2016)","previouslyFormattedCitation":"(Karim et al., 2016)"},"properties":{"noteIndex":0},"schema":"https://github.com/citation-style-language/schema/raw/master/csl-citation.json"}</w:instrText>
      </w:r>
      <w:r w:rsidR="00B51610">
        <w:rPr>
          <w:rFonts w:ascii="Times New Roman" w:hAnsi="Times New Roman" w:cs="Times New Roman"/>
          <w:sz w:val="24"/>
          <w:szCs w:val="24"/>
        </w:rPr>
        <w:fldChar w:fldCharType="separate"/>
      </w:r>
      <w:r w:rsidR="00B51610" w:rsidRPr="00B51610">
        <w:rPr>
          <w:rFonts w:ascii="Times New Roman" w:hAnsi="Times New Roman" w:cs="Times New Roman"/>
          <w:noProof/>
          <w:sz w:val="24"/>
          <w:szCs w:val="24"/>
        </w:rPr>
        <w:t>(Karim et al., 2016)</w:t>
      </w:r>
      <w:r w:rsidR="00B51610">
        <w:rPr>
          <w:rFonts w:ascii="Times New Roman" w:hAnsi="Times New Roman" w:cs="Times New Roman"/>
          <w:sz w:val="24"/>
          <w:szCs w:val="24"/>
        </w:rPr>
        <w:fldChar w:fldCharType="end"/>
      </w:r>
      <w:r w:rsidR="00F92420" w:rsidRPr="00F92420">
        <w:rPr>
          <w:rFonts w:ascii="Times New Roman" w:hAnsi="Times New Roman" w:cs="Times New Roman"/>
          <w:sz w:val="24"/>
          <w:szCs w:val="24"/>
        </w:rPr>
        <w:t xml:space="preserve">. </w:t>
      </w:r>
      <w:r w:rsidR="00584372">
        <w:rPr>
          <w:rFonts w:ascii="Times New Roman" w:hAnsi="Times New Roman" w:cs="Times New Roman"/>
          <w:sz w:val="24"/>
          <w:szCs w:val="24"/>
        </w:rPr>
        <w:t xml:space="preserve"> </w:t>
      </w:r>
      <w:r w:rsidR="00584372" w:rsidRPr="00584372">
        <w:rPr>
          <w:rFonts w:ascii="Times New Roman" w:hAnsi="Times New Roman" w:cs="Times New Roman"/>
          <w:sz w:val="24"/>
          <w:szCs w:val="24"/>
        </w:rPr>
        <w:t xml:space="preserve">Initialement, les agriculteurs utilisaient </w:t>
      </w:r>
      <w:r w:rsidR="00584372">
        <w:rPr>
          <w:rFonts w:ascii="Times New Roman" w:hAnsi="Times New Roman" w:cs="Times New Roman"/>
          <w:sz w:val="24"/>
          <w:szCs w:val="24"/>
        </w:rPr>
        <w:t xml:space="preserve">les </w:t>
      </w:r>
      <w:proofErr w:type="spellStart"/>
      <w:r w:rsidR="00584372">
        <w:rPr>
          <w:rFonts w:ascii="Times New Roman" w:hAnsi="Times New Roman" w:cs="Times New Roman"/>
          <w:sz w:val="24"/>
          <w:szCs w:val="24"/>
        </w:rPr>
        <w:t>residus</w:t>
      </w:r>
      <w:proofErr w:type="spellEnd"/>
      <w:r w:rsidR="00584372">
        <w:rPr>
          <w:rFonts w:ascii="Times New Roman" w:hAnsi="Times New Roman" w:cs="Times New Roman"/>
          <w:sz w:val="24"/>
          <w:szCs w:val="24"/>
        </w:rPr>
        <w:t xml:space="preserve"> de culture </w:t>
      </w:r>
      <w:r w:rsidR="00584372" w:rsidRPr="00584372">
        <w:rPr>
          <w:rFonts w:ascii="Times New Roman" w:hAnsi="Times New Roman" w:cs="Times New Roman"/>
          <w:sz w:val="24"/>
          <w:szCs w:val="24"/>
        </w:rPr>
        <w:t xml:space="preserve">pour améliorer la fertilité de leurs sols. Cependant, des quantités suffisantes sont rarement disponibles, car les résidus de récolte sont également utilisés pour la construction, comme combustible et comme fourrage pendant la saison sèche (Bationo &amp; </w:t>
      </w:r>
      <w:proofErr w:type="spellStart"/>
      <w:r w:rsidR="00584372" w:rsidRPr="00584372">
        <w:rPr>
          <w:rFonts w:ascii="Times New Roman" w:hAnsi="Times New Roman" w:cs="Times New Roman"/>
          <w:sz w:val="24"/>
          <w:szCs w:val="24"/>
        </w:rPr>
        <w:t>Mokwunye</w:t>
      </w:r>
      <w:proofErr w:type="spellEnd"/>
      <w:r w:rsidR="00584372" w:rsidRPr="00584372">
        <w:rPr>
          <w:rFonts w:ascii="Times New Roman" w:hAnsi="Times New Roman" w:cs="Times New Roman"/>
          <w:sz w:val="24"/>
          <w:szCs w:val="24"/>
        </w:rPr>
        <w:t xml:space="preserve">, 1991 ; </w:t>
      </w:r>
      <w:proofErr w:type="spellStart"/>
      <w:r w:rsidR="00584372" w:rsidRPr="00584372">
        <w:rPr>
          <w:rFonts w:ascii="Times New Roman" w:hAnsi="Times New Roman" w:cs="Times New Roman"/>
          <w:sz w:val="24"/>
          <w:szCs w:val="24"/>
        </w:rPr>
        <w:t>Jaleta</w:t>
      </w:r>
      <w:proofErr w:type="spellEnd"/>
      <w:r w:rsidR="00584372" w:rsidRPr="00584372">
        <w:rPr>
          <w:rFonts w:ascii="Times New Roman" w:hAnsi="Times New Roman" w:cs="Times New Roman"/>
          <w:sz w:val="24"/>
          <w:szCs w:val="24"/>
        </w:rPr>
        <w:t xml:space="preserve"> et al., 2012). Parmi ces pratiques figurent aussi l'épandage de fumier (</w:t>
      </w:r>
      <w:proofErr w:type="spellStart"/>
      <w:r w:rsidR="00584372" w:rsidRPr="00584372">
        <w:rPr>
          <w:rFonts w:ascii="Times New Roman" w:hAnsi="Times New Roman" w:cs="Times New Roman"/>
          <w:sz w:val="24"/>
          <w:szCs w:val="24"/>
        </w:rPr>
        <w:t>Vanlauwe</w:t>
      </w:r>
      <w:proofErr w:type="spellEnd"/>
      <w:r w:rsidR="00584372" w:rsidRPr="00584372">
        <w:rPr>
          <w:rFonts w:ascii="Times New Roman" w:hAnsi="Times New Roman" w:cs="Times New Roman"/>
          <w:sz w:val="24"/>
          <w:szCs w:val="24"/>
        </w:rPr>
        <w:t xml:space="preserve"> &amp; </w:t>
      </w:r>
      <w:proofErr w:type="spellStart"/>
      <w:r w:rsidR="00584372" w:rsidRPr="00584372">
        <w:rPr>
          <w:rFonts w:ascii="Times New Roman" w:hAnsi="Times New Roman" w:cs="Times New Roman"/>
          <w:sz w:val="24"/>
          <w:szCs w:val="24"/>
        </w:rPr>
        <w:t>Giller</w:t>
      </w:r>
      <w:proofErr w:type="spellEnd"/>
      <w:r w:rsidR="00584372" w:rsidRPr="00584372">
        <w:rPr>
          <w:rFonts w:ascii="Times New Roman" w:hAnsi="Times New Roman" w:cs="Times New Roman"/>
          <w:sz w:val="24"/>
          <w:szCs w:val="24"/>
        </w:rPr>
        <w:t>, 2006) et l’utilisation des engrais à microdose (Hamissou, 2023), qui ont des effets très bénéfiques sur les propriétés physico-chimiques et biologiques du sol (</w:t>
      </w:r>
      <w:proofErr w:type="spellStart"/>
      <w:r w:rsidR="00584372" w:rsidRPr="00584372">
        <w:rPr>
          <w:rFonts w:ascii="Times New Roman" w:hAnsi="Times New Roman" w:cs="Times New Roman"/>
          <w:sz w:val="24"/>
          <w:szCs w:val="24"/>
        </w:rPr>
        <w:t>Manssour</w:t>
      </w:r>
      <w:proofErr w:type="spellEnd"/>
      <w:r w:rsidR="00584372" w:rsidRPr="00584372">
        <w:rPr>
          <w:rFonts w:ascii="Times New Roman" w:hAnsi="Times New Roman" w:cs="Times New Roman"/>
          <w:sz w:val="24"/>
          <w:szCs w:val="24"/>
        </w:rPr>
        <w:t xml:space="preserve"> et al., 2020). Cependant, les agriculteurs manquent de moyens financiers pour acheter des engrais et de ressources en fumure organique pour mettre en œuvre ces pratiques (</w:t>
      </w:r>
      <w:proofErr w:type="spellStart"/>
      <w:r w:rsidR="00584372" w:rsidRPr="00584372">
        <w:rPr>
          <w:rFonts w:ascii="Times New Roman" w:hAnsi="Times New Roman" w:cs="Times New Roman"/>
          <w:sz w:val="24"/>
          <w:szCs w:val="24"/>
        </w:rPr>
        <w:t>Bagayogo</w:t>
      </w:r>
      <w:proofErr w:type="spellEnd"/>
      <w:r w:rsidR="00584372" w:rsidRPr="00584372">
        <w:rPr>
          <w:rFonts w:ascii="Times New Roman" w:hAnsi="Times New Roman" w:cs="Times New Roman"/>
          <w:sz w:val="24"/>
          <w:szCs w:val="24"/>
        </w:rPr>
        <w:t xml:space="preserve"> et al., 2011 ; </w:t>
      </w:r>
      <w:proofErr w:type="spellStart"/>
      <w:r w:rsidR="00584372" w:rsidRPr="00584372">
        <w:rPr>
          <w:rFonts w:ascii="Times New Roman" w:hAnsi="Times New Roman" w:cs="Times New Roman"/>
          <w:sz w:val="24"/>
          <w:szCs w:val="24"/>
        </w:rPr>
        <w:t>Wezel</w:t>
      </w:r>
      <w:proofErr w:type="spellEnd"/>
      <w:r w:rsidR="00584372" w:rsidRPr="00584372">
        <w:rPr>
          <w:rFonts w:ascii="Times New Roman" w:hAnsi="Times New Roman" w:cs="Times New Roman"/>
          <w:sz w:val="24"/>
          <w:szCs w:val="24"/>
        </w:rPr>
        <w:t>, 2000). À ce titre, les ligneux apparaissent comme une alternative importante à prendre en compte, notamment leur utilisation technologique à travers un recyclage approprié de la biomasse produite par l’arbre en association avec la plante cultivée (Saidou et al., 2018).</w:t>
      </w:r>
    </w:p>
    <w:p w14:paraId="2CC7BE9F" w14:textId="77777777" w:rsidR="00BA31C8" w:rsidRPr="00BA31C8" w:rsidRDefault="00BA31C8" w:rsidP="000109B8">
      <w:pPr>
        <w:spacing w:line="360" w:lineRule="auto"/>
        <w:jc w:val="both"/>
        <w:rPr>
          <w:rFonts w:ascii="Times New Roman" w:hAnsi="Times New Roman" w:cs="Times New Roman"/>
          <w:sz w:val="24"/>
          <w:szCs w:val="24"/>
        </w:rPr>
      </w:pPr>
      <w:r w:rsidRPr="00BA31C8">
        <w:rPr>
          <w:rFonts w:ascii="Times New Roman" w:hAnsi="Times New Roman" w:cs="Times New Roman"/>
          <w:sz w:val="24"/>
          <w:szCs w:val="24"/>
        </w:rPr>
        <w:t xml:space="preserve">Les avantages de l'intégration des arbres dans les systèmes de cultures ont été soulignés par plusieurs auteurs. Cet impact positif est principalement lié à l'amélioration des conditions </w:t>
      </w:r>
      <w:proofErr w:type="spellStart"/>
      <w:r w:rsidRPr="00BA31C8">
        <w:rPr>
          <w:rFonts w:ascii="Times New Roman" w:hAnsi="Times New Roman" w:cs="Times New Roman"/>
          <w:sz w:val="24"/>
          <w:szCs w:val="24"/>
        </w:rPr>
        <w:t>édapho</w:t>
      </w:r>
      <w:proofErr w:type="spellEnd"/>
      <w:r w:rsidRPr="00BA31C8">
        <w:rPr>
          <w:rFonts w:ascii="Times New Roman" w:hAnsi="Times New Roman" w:cs="Times New Roman"/>
          <w:sz w:val="24"/>
          <w:szCs w:val="24"/>
        </w:rPr>
        <w:t>-climatiques sous ombrage (</w:t>
      </w:r>
      <w:proofErr w:type="spellStart"/>
      <w:r w:rsidRPr="00BA31C8">
        <w:rPr>
          <w:rFonts w:ascii="Times New Roman" w:hAnsi="Times New Roman" w:cs="Times New Roman"/>
          <w:sz w:val="24"/>
          <w:szCs w:val="24"/>
        </w:rPr>
        <w:t>Grousis</w:t>
      </w:r>
      <w:proofErr w:type="spellEnd"/>
      <w:r w:rsidRPr="00BA31C8">
        <w:rPr>
          <w:rFonts w:ascii="Times New Roman" w:hAnsi="Times New Roman" w:cs="Times New Roman"/>
          <w:sz w:val="24"/>
          <w:szCs w:val="24"/>
        </w:rPr>
        <w:t xml:space="preserve"> &amp; </w:t>
      </w:r>
      <w:proofErr w:type="spellStart"/>
      <w:r w:rsidRPr="00BA31C8">
        <w:rPr>
          <w:rFonts w:ascii="Times New Roman" w:hAnsi="Times New Roman" w:cs="Times New Roman"/>
          <w:sz w:val="24"/>
          <w:szCs w:val="24"/>
        </w:rPr>
        <w:t>Akpo</w:t>
      </w:r>
      <w:proofErr w:type="spellEnd"/>
      <w:r w:rsidRPr="00BA31C8">
        <w:rPr>
          <w:rFonts w:ascii="Times New Roman" w:hAnsi="Times New Roman" w:cs="Times New Roman"/>
          <w:sz w:val="24"/>
          <w:szCs w:val="24"/>
        </w:rPr>
        <w:t xml:space="preserve">, 2006) et au maintien de la fertilité des sols </w:t>
      </w:r>
      <w:r w:rsidRPr="00BA31C8">
        <w:rPr>
          <w:rFonts w:ascii="Times New Roman" w:hAnsi="Times New Roman" w:cs="Times New Roman"/>
          <w:sz w:val="24"/>
          <w:szCs w:val="24"/>
        </w:rPr>
        <w:lastRenderedPageBreak/>
        <w:t>(Saidou et al., 2018). Les arbres fournissent également du fourrage, du bois de feu et de service, ainsi que des remèdes traditionnels (Abdou et al., 2014). La biomasse produite par ces arbres se décompose, permettant le recyclage des nutriments pompés par les arbres des horizons profonds vers les horizons de surface (</w:t>
      </w:r>
      <w:proofErr w:type="spellStart"/>
      <w:r w:rsidRPr="00BA31C8">
        <w:rPr>
          <w:rFonts w:ascii="Times New Roman" w:hAnsi="Times New Roman" w:cs="Times New Roman"/>
          <w:sz w:val="24"/>
          <w:szCs w:val="24"/>
        </w:rPr>
        <w:t>Gbemavo</w:t>
      </w:r>
      <w:proofErr w:type="spellEnd"/>
      <w:r w:rsidRPr="00BA31C8">
        <w:rPr>
          <w:rFonts w:ascii="Times New Roman" w:hAnsi="Times New Roman" w:cs="Times New Roman"/>
          <w:sz w:val="24"/>
          <w:szCs w:val="24"/>
        </w:rPr>
        <w:t xml:space="preserve"> et al., 2010).</w:t>
      </w:r>
    </w:p>
    <w:p w14:paraId="05E8AFDC" w14:textId="52CE22B7" w:rsidR="00BA31C8" w:rsidRDefault="00BA31C8" w:rsidP="000109B8">
      <w:pPr>
        <w:spacing w:line="360" w:lineRule="auto"/>
        <w:jc w:val="both"/>
        <w:rPr>
          <w:rFonts w:ascii="Times New Roman" w:hAnsi="Times New Roman" w:cs="Times New Roman"/>
          <w:sz w:val="24"/>
          <w:szCs w:val="24"/>
        </w:rPr>
      </w:pPr>
      <w:r w:rsidRPr="00BA31C8">
        <w:rPr>
          <w:rFonts w:ascii="Times New Roman" w:hAnsi="Times New Roman" w:cs="Times New Roman"/>
          <w:sz w:val="24"/>
          <w:szCs w:val="24"/>
        </w:rPr>
        <w:t>Certains ligneux, en plus de leur effet fertilisant, augmenteraient la teneur en eau pondérale et contribueraient à limiter la transpiration des cultures sous-jacentes et l'évaporation du sol (</w:t>
      </w:r>
      <w:proofErr w:type="spellStart"/>
      <w:r w:rsidRPr="00BA31C8">
        <w:rPr>
          <w:rFonts w:ascii="Times New Roman" w:hAnsi="Times New Roman" w:cs="Times New Roman"/>
          <w:sz w:val="24"/>
          <w:szCs w:val="24"/>
        </w:rPr>
        <w:t>Zomboudré</w:t>
      </w:r>
      <w:proofErr w:type="spellEnd"/>
      <w:r w:rsidRPr="00BA31C8">
        <w:rPr>
          <w:rFonts w:ascii="Times New Roman" w:hAnsi="Times New Roman" w:cs="Times New Roman"/>
          <w:sz w:val="24"/>
          <w:szCs w:val="24"/>
        </w:rPr>
        <w:t xml:space="preserve"> et al., 2005). Cependant, les effets des arbres sur la productivité des cultures semblent controversés. Les résultats obtenus peuvent être meilleurs, neutres ou mauvais selon la distance par rapport au tronc (</w:t>
      </w:r>
      <w:proofErr w:type="spellStart"/>
      <w:r w:rsidRPr="00BA31C8">
        <w:rPr>
          <w:rFonts w:ascii="Times New Roman" w:hAnsi="Times New Roman" w:cs="Times New Roman"/>
          <w:sz w:val="24"/>
          <w:szCs w:val="24"/>
        </w:rPr>
        <w:t>Raddad</w:t>
      </w:r>
      <w:proofErr w:type="spellEnd"/>
      <w:r w:rsidRPr="00BA31C8">
        <w:rPr>
          <w:rFonts w:ascii="Times New Roman" w:hAnsi="Times New Roman" w:cs="Times New Roman"/>
          <w:sz w:val="24"/>
          <w:szCs w:val="24"/>
        </w:rPr>
        <w:t xml:space="preserve"> &amp; </w:t>
      </w:r>
      <w:proofErr w:type="spellStart"/>
      <w:r w:rsidRPr="00BA31C8">
        <w:rPr>
          <w:rFonts w:ascii="Times New Roman" w:hAnsi="Times New Roman" w:cs="Times New Roman"/>
          <w:sz w:val="24"/>
          <w:szCs w:val="24"/>
        </w:rPr>
        <w:t>Luukkanen</w:t>
      </w:r>
      <w:proofErr w:type="spellEnd"/>
      <w:r w:rsidRPr="00BA31C8">
        <w:rPr>
          <w:rFonts w:ascii="Times New Roman" w:hAnsi="Times New Roman" w:cs="Times New Roman"/>
          <w:sz w:val="24"/>
          <w:szCs w:val="24"/>
        </w:rPr>
        <w:t>, 2006 ; El Tahir et al., 2009). Selon PACII (2011), les paysans évitent de semer sous le houppier, car la présence de ligneux inhibe la croissance des cultures sous-jacentes et crée une concurrence pour la lumière et l'eau.</w:t>
      </w:r>
    </w:p>
    <w:p w14:paraId="626D10ED" w14:textId="21FEAE21" w:rsidR="000109B8" w:rsidRPr="00644FD1" w:rsidRDefault="000109B8" w:rsidP="000109B8">
      <w:pPr>
        <w:spacing w:line="360" w:lineRule="auto"/>
        <w:jc w:val="both"/>
        <w:rPr>
          <w:rFonts w:ascii="Times New Roman" w:hAnsi="Times New Roman" w:cs="Times New Roman"/>
          <w:sz w:val="24"/>
          <w:szCs w:val="24"/>
        </w:rPr>
      </w:pPr>
      <w:r w:rsidRPr="000109B8">
        <w:rPr>
          <w:rFonts w:ascii="Times New Roman" w:hAnsi="Times New Roman" w:cs="Times New Roman"/>
          <w:sz w:val="24"/>
          <w:szCs w:val="24"/>
        </w:rPr>
        <w:t>Par ailleurs, toutes les études menées sur l’utilité des arbres pour l’amélioration de la fertilité et de la productivité se sont concentrées sur une seule culture et, tout au plus, sur trois ligneux. C'est pour cette raison que cette étude a été conçue pour évaluer l’effet des arbres dans des systèmes de cultures en association.</w:t>
      </w:r>
      <w:r>
        <w:rPr>
          <w:rFonts w:ascii="Times New Roman" w:hAnsi="Times New Roman" w:cs="Times New Roman"/>
          <w:sz w:val="24"/>
          <w:szCs w:val="24"/>
        </w:rPr>
        <w:t xml:space="preserve"> </w:t>
      </w:r>
      <w:r>
        <w:rPr>
          <w:rFonts w:ascii="Times New Roman" w:hAnsi="Times New Roman" w:cs="Times New Roman"/>
          <w:sz w:val="24"/>
          <w:szCs w:val="24"/>
        </w:rPr>
        <w:t>L’objectif de cette étude est d’Analyser</w:t>
      </w:r>
      <w:r w:rsidRPr="00644FD1">
        <w:rPr>
          <w:rFonts w:ascii="Times New Roman" w:hAnsi="Times New Roman" w:cs="Times New Roman"/>
          <w:sz w:val="24"/>
          <w:szCs w:val="24"/>
        </w:rPr>
        <w:t xml:space="preserve"> les compromis entre la gestion de la fertilité des sols et la productivité agricole sous les options agroécologiques dans les polycultures incluant le niébé au sein des terroirs de </w:t>
      </w:r>
      <w:proofErr w:type="spellStart"/>
      <w:r w:rsidRPr="00644FD1">
        <w:rPr>
          <w:rFonts w:ascii="Times New Roman" w:hAnsi="Times New Roman" w:cs="Times New Roman"/>
          <w:sz w:val="24"/>
          <w:szCs w:val="24"/>
        </w:rPr>
        <w:t>Falwel</w:t>
      </w:r>
      <w:proofErr w:type="spellEnd"/>
      <w:r w:rsidRPr="00644FD1">
        <w:rPr>
          <w:rFonts w:ascii="Times New Roman" w:hAnsi="Times New Roman" w:cs="Times New Roman"/>
          <w:sz w:val="24"/>
          <w:szCs w:val="24"/>
        </w:rPr>
        <w:t xml:space="preserve"> et </w:t>
      </w:r>
      <w:proofErr w:type="spellStart"/>
      <w:r w:rsidRPr="00644FD1">
        <w:rPr>
          <w:rFonts w:ascii="Times New Roman" w:hAnsi="Times New Roman" w:cs="Times New Roman"/>
          <w:sz w:val="24"/>
          <w:szCs w:val="24"/>
        </w:rPr>
        <w:t>Saé</w:t>
      </w:r>
      <w:proofErr w:type="spellEnd"/>
      <w:r w:rsidRPr="00644FD1">
        <w:rPr>
          <w:rFonts w:ascii="Times New Roman" w:hAnsi="Times New Roman" w:cs="Times New Roman"/>
          <w:sz w:val="24"/>
          <w:szCs w:val="24"/>
        </w:rPr>
        <w:t xml:space="preserve"> </w:t>
      </w:r>
      <w:proofErr w:type="spellStart"/>
      <w:r w:rsidRPr="00644FD1">
        <w:rPr>
          <w:rFonts w:ascii="Times New Roman" w:hAnsi="Times New Roman" w:cs="Times New Roman"/>
          <w:sz w:val="24"/>
          <w:szCs w:val="24"/>
        </w:rPr>
        <w:t>Sabuwa</w:t>
      </w:r>
      <w:proofErr w:type="spellEnd"/>
      <w:r w:rsidRPr="00644FD1">
        <w:rPr>
          <w:rFonts w:ascii="Times New Roman" w:hAnsi="Times New Roman" w:cs="Times New Roman"/>
          <w:sz w:val="24"/>
          <w:szCs w:val="24"/>
        </w:rPr>
        <w:t xml:space="preserve"> au Niger</w:t>
      </w:r>
      <w:r>
        <w:rPr>
          <w:rFonts w:ascii="Times New Roman" w:hAnsi="Times New Roman" w:cs="Times New Roman"/>
          <w:sz w:val="24"/>
          <w:szCs w:val="24"/>
        </w:rPr>
        <w:t xml:space="preserve">. </w:t>
      </w:r>
      <w:r w:rsidRPr="00644FD1">
        <w:rPr>
          <w:rFonts w:ascii="Times New Roman" w:hAnsi="Times New Roman" w:cs="Times New Roman"/>
          <w:sz w:val="24"/>
          <w:szCs w:val="24"/>
        </w:rPr>
        <w:t>Spécifiquement, il s’agit de :</w:t>
      </w:r>
    </w:p>
    <w:p w14:paraId="0D2F4A90" w14:textId="77777777" w:rsidR="000109B8" w:rsidRPr="00644FD1" w:rsidRDefault="000109B8" w:rsidP="000109B8">
      <w:pPr>
        <w:pStyle w:val="Paragraphedeliste"/>
        <w:numPr>
          <w:ilvl w:val="0"/>
          <w:numId w:val="1"/>
        </w:numPr>
        <w:spacing w:line="360" w:lineRule="auto"/>
        <w:jc w:val="both"/>
        <w:rPr>
          <w:rFonts w:ascii="Times New Roman" w:hAnsi="Times New Roman" w:cs="Times New Roman"/>
          <w:sz w:val="24"/>
          <w:szCs w:val="24"/>
        </w:rPr>
      </w:pPr>
      <w:r w:rsidRPr="00644FD1">
        <w:rPr>
          <w:rFonts w:ascii="Times New Roman" w:hAnsi="Times New Roman" w:cs="Times New Roman"/>
          <w:sz w:val="24"/>
          <w:szCs w:val="24"/>
        </w:rPr>
        <w:t>Décrire les options locales de gestion de la fertilité des sols</w:t>
      </w:r>
    </w:p>
    <w:p w14:paraId="6A4C3074" w14:textId="77777777" w:rsidR="000109B8" w:rsidRPr="00644FD1" w:rsidRDefault="000109B8" w:rsidP="000109B8">
      <w:pPr>
        <w:pStyle w:val="Paragraphedeliste"/>
        <w:numPr>
          <w:ilvl w:val="0"/>
          <w:numId w:val="1"/>
        </w:numPr>
        <w:spacing w:line="360" w:lineRule="auto"/>
        <w:jc w:val="both"/>
        <w:rPr>
          <w:rFonts w:ascii="Times New Roman" w:hAnsi="Times New Roman" w:cs="Times New Roman"/>
          <w:sz w:val="24"/>
          <w:szCs w:val="24"/>
        </w:rPr>
      </w:pPr>
      <w:r w:rsidRPr="00644FD1">
        <w:rPr>
          <w:rFonts w:ascii="Times New Roman" w:hAnsi="Times New Roman" w:cs="Times New Roman"/>
          <w:sz w:val="24"/>
          <w:szCs w:val="24"/>
        </w:rPr>
        <w:t>Évaluer les effets des options agroécologiques sur la productivité agricole au sein des polycultures incluant le niébé.</w:t>
      </w:r>
    </w:p>
    <w:p w14:paraId="07EBD08C" w14:textId="77777777" w:rsidR="000109B8" w:rsidRPr="00644FD1" w:rsidRDefault="000109B8" w:rsidP="000109B8">
      <w:pPr>
        <w:pStyle w:val="Paragraphedeliste"/>
        <w:numPr>
          <w:ilvl w:val="0"/>
          <w:numId w:val="1"/>
        </w:numPr>
        <w:spacing w:line="360" w:lineRule="auto"/>
        <w:jc w:val="both"/>
        <w:rPr>
          <w:rFonts w:ascii="Times New Roman" w:hAnsi="Times New Roman" w:cs="Times New Roman"/>
          <w:sz w:val="24"/>
          <w:szCs w:val="24"/>
        </w:rPr>
      </w:pPr>
      <w:r w:rsidRPr="00644FD1">
        <w:rPr>
          <w:rFonts w:ascii="Times New Roman" w:hAnsi="Times New Roman" w:cs="Times New Roman"/>
          <w:sz w:val="24"/>
          <w:szCs w:val="24"/>
        </w:rPr>
        <w:t xml:space="preserve">Identifier les compromis entre la gestion de la fertilité des sols et les autres services agroécologiques dans les terroirs agricole de </w:t>
      </w:r>
      <w:proofErr w:type="spellStart"/>
      <w:r w:rsidRPr="00644FD1">
        <w:rPr>
          <w:rFonts w:ascii="Times New Roman" w:hAnsi="Times New Roman" w:cs="Times New Roman"/>
          <w:sz w:val="24"/>
          <w:szCs w:val="24"/>
        </w:rPr>
        <w:t>Falwel</w:t>
      </w:r>
      <w:proofErr w:type="spellEnd"/>
      <w:r w:rsidRPr="00644FD1">
        <w:rPr>
          <w:rFonts w:ascii="Times New Roman" w:hAnsi="Times New Roman" w:cs="Times New Roman"/>
          <w:sz w:val="24"/>
          <w:szCs w:val="24"/>
        </w:rPr>
        <w:t xml:space="preserve"> et </w:t>
      </w:r>
      <w:proofErr w:type="spellStart"/>
      <w:r w:rsidRPr="00644FD1">
        <w:rPr>
          <w:rFonts w:ascii="Times New Roman" w:hAnsi="Times New Roman" w:cs="Times New Roman"/>
          <w:sz w:val="24"/>
          <w:szCs w:val="24"/>
        </w:rPr>
        <w:t>Saé</w:t>
      </w:r>
      <w:proofErr w:type="spellEnd"/>
      <w:r w:rsidRPr="00644FD1">
        <w:rPr>
          <w:rFonts w:ascii="Times New Roman" w:hAnsi="Times New Roman" w:cs="Times New Roman"/>
          <w:sz w:val="24"/>
          <w:szCs w:val="24"/>
        </w:rPr>
        <w:t xml:space="preserve"> </w:t>
      </w:r>
      <w:proofErr w:type="spellStart"/>
      <w:r w:rsidRPr="00644FD1">
        <w:rPr>
          <w:rFonts w:ascii="Times New Roman" w:hAnsi="Times New Roman" w:cs="Times New Roman"/>
          <w:sz w:val="24"/>
          <w:szCs w:val="24"/>
        </w:rPr>
        <w:t>Sabuwa</w:t>
      </w:r>
      <w:proofErr w:type="spellEnd"/>
    </w:p>
    <w:p w14:paraId="7CAC4EBE" w14:textId="77777777" w:rsidR="000109B8" w:rsidRPr="00644FD1" w:rsidRDefault="000109B8" w:rsidP="000109B8">
      <w:pPr>
        <w:spacing w:line="360" w:lineRule="auto"/>
        <w:jc w:val="both"/>
        <w:rPr>
          <w:rFonts w:ascii="Times New Roman" w:hAnsi="Times New Roman" w:cs="Times New Roman"/>
          <w:b/>
          <w:bCs/>
          <w:sz w:val="24"/>
          <w:szCs w:val="24"/>
        </w:rPr>
      </w:pPr>
      <w:r w:rsidRPr="00644FD1">
        <w:rPr>
          <w:rFonts w:ascii="Times New Roman" w:hAnsi="Times New Roman" w:cs="Times New Roman"/>
          <w:b/>
          <w:bCs/>
          <w:sz w:val="24"/>
          <w:szCs w:val="24"/>
        </w:rPr>
        <w:t>Hypothèses</w:t>
      </w:r>
    </w:p>
    <w:p w14:paraId="7955BE97" w14:textId="77777777" w:rsidR="000109B8" w:rsidRPr="00644FD1" w:rsidRDefault="000109B8" w:rsidP="000109B8">
      <w:pPr>
        <w:spacing w:line="360" w:lineRule="auto"/>
        <w:jc w:val="both"/>
        <w:rPr>
          <w:rFonts w:ascii="Times New Roman" w:hAnsi="Times New Roman" w:cs="Times New Roman"/>
          <w:sz w:val="24"/>
          <w:szCs w:val="24"/>
        </w:rPr>
      </w:pPr>
      <w:r w:rsidRPr="00644FD1">
        <w:rPr>
          <w:rFonts w:ascii="Times New Roman" w:hAnsi="Times New Roman" w:cs="Times New Roman"/>
          <w:sz w:val="24"/>
          <w:szCs w:val="24"/>
        </w:rPr>
        <w:t>Pour atteindre ces objectifs, les hypothèses suivantes ont été formulées :</w:t>
      </w:r>
    </w:p>
    <w:p w14:paraId="697D9286" w14:textId="77777777" w:rsidR="000109B8" w:rsidRPr="00644FD1" w:rsidRDefault="000109B8" w:rsidP="000109B8">
      <w:pPr>
        <w:pStyle w:val="Paragraphedeliste"/>
        <w:numPr>
          <w:ilvl w:val="0"/>
          <w:numId w:val="2"/>
        </w:numPr>
        <w:spacing w:line="360" w:lineRule="auto"/>
        <w:jc w:val="both"/>
        <w:rPr>
          <w:rFonts w:ascii="Times New Roman" w:hAnsi="Times New Roman" w:cs="Times New Roman"/>
          <w:sz w:val="24"/>
          <w:szCs w:val="24"/>
        </w:rPr>
      </w:pPr>
      <w:r w:rsidRPr="00644FD1">
        <w:rPr>
          <w:rFonts w:ascii="Times New Roman" w:hAnsi="Times New Roman" w:cs="Times New Roman"/>
          <w:sz w:val="24"/>
          <w:szCs w:val="24"/>
        </w:rPr>
        <w:t>L'adoption d'options agroécologiques conduit à une augmentation significative de la productivité agricole dans les systèmes de culture étudiés.</w:t>
      </w:r>
    </w:p>
    <w:p w14:paraId="116B1FA2" w14:textId="77777777" w:rsidR="000109B8" w:rsidRPr="00644FD1" w:rsidRDefault="000109B8" w:rsidP="000109B8">
      <w:pPr>
        <w:pStyle w:val="Paragraphedeliste"/>
        <w:numPr>
          <w:ilvl w:val="0"/>
          <w:numId w:val="2"/>
        </w:numPr>
        <w:spacing w:line="360" w:lineRule="auto"/>
        <w:jc w:val="both"/>
        <w:rPr>
          <w:rFonts w:ascii="Times New Roman" w:hAnsi="Times New Roman" w:cs="Times New Roman"/>
          <w:sz w:val="24"/>
          <w:szCs w:val="24"/>
        </w:rPr>
      </w:pPr>
      <w:r w:rsidRPr="00644FD1">
        <w:rPr>
          <w:rFonts w:ascii="Times New Roman" w:hAnsi="Times New Roman" w:cs="Times New Roman"/>
          <w:sz w:val="24"/>
          <w:szCs w:val="24"/>
        </w:rPr>
        <w:t>Il existe des compromis entre la gestion de la fertilité des sols et les rendements, qui varient en fonction des choix spécifiques d'options agroécologiques.</w:t>
      </w:r>
    </w:p>
    <w:p w14:paraId="55A9547B" w14:textId="77777777" w:rsidR="000109B8" w:rsidRPr="00644FD1" w:rsidRDefault="000109B8" w:rsidP="000109B8">
      <w:pPr>
        <w:pStyle w:val="Paragraphedeliste"/>
        <w:numPr>
          <w:ilvl w:val="0"/>
          <w:numId w:val="2"/>
        </w:numPr>
        <w:spacing w:line="360" w:lineRule="auto"/>
        <w:jc w:val="both"/>
        <w:rPr>
          <w:rFonts w:ascii="Times New Roman" w:hAnsi="Times New Roman" w:cs="Times New Roman"/>
          <w:sz w:val="24"/>
          <w:szCs w:val="24"/>
        </w:rPr>
      </w:pPr>
      <w:r w:rsidRPr="00644FD1">
        <w:rPr>
          <w:rFonts w:ascii="Times New Roman" w:hAnsi="Times New Roman" w:cs="Times New Roman"/>
          <w:sz w:val="24"/>
          <w:szCs w:val="24"/>
        </w:rPr>
        <w:t xml:space="preserve">Les terroirs de </w:t>
      </w:r>
      <w:proofErr w:type="spellStart"/>
      <w:r w:rsidRPr="00644FD1">
        <w:rPr>
          <w:rFonts w:ascii="Times New Roman" w:hAnsi="Times New Roman" w:cs="Times New Roman"/>
          <w:sz w:val="24"/>
          <w:szCs w:val="24"/>
        </w:rPr>
        <w:t>Falwel</w:t>
      </w:r>
      <w:proofErr w:type="spellEnd"/>
      <w:r w:rsidRPr="00644FD1">
        <w:rPr>
          <w:rFonts w:ascii="Times New Roman" w:hAnsi="Times New Roman" w:cs="Times New Roman"/>
          <w:sz w:val="24"/>
          <w:szCs w:val="24"/>
        </w:rPr>
        <w:t xml:space="preserve"> et </w:t>
      </w:r>
      <w:proofErr w:type="spellStart"/>
      <w:r w:rsidRPr="00644FD1">
        <w:rPr>
          <w:rFonts w:ascii="Times New Roman" w:hAnsi="Times New Roman" w:cs="Times New Roman"/>
          <w:sz w:val="24"/>
          <w:szCs w:val="24"/>
        </w:rPr>
        <w:t>Saye</w:t>
      </w:r>
      <w:proofErr w:type="spellEnd"/>
      <w:r w:rsidRPr="00644FD1">
        <w:rPr>
          <w:rFonts w:ascii="Times New Roman" w:hAnsi="Times New Roman" w:cs="Times New Roman"/>
          <w:sz w:val="24"/>
          <w:szCs w:val="24"/>
        </w:rPr>
        <w:t xml:space="preserve"> </w:t>
      </w:r>
      <w:proofErr w:type="spellStart"/>
      <w:r w:rsidRPr="00644FD1">
        <w:rPr>
          <w:rFonts w:ascii="Times New Roman" w:hAnsi="Times New Roman" w:cs="Times New Roman"/>
          <w:sz w:val="24"/>
          <w:szCs w:val="24"/>
        </w:rPr>
        <w:t>Sabuwa</w:t>
      </w:r>
      <w:proofErr w:type="spellEnd"/>
      <w:r w:rsidRPr="00644FD1">
        <w:rPr>
          <w:rFonts w:ascii="Times New Roman" w:hAnsi="Times New Roman" w:cs="Times New Roman"/>
          <w:sz w:val="24"/>
          <w:szCs w:val="24"/>
        </w:rPr>
        <w:t xml:space="preserve"> peuvent présenter des variations dans les compromis entre rendements et fertilité des sols.</w:t>
      </w:r>
    </w:p>
    <w:p w14:paraId="6F2D65E1" w14:textId="3A5058EC" w:rsidR="00BA31C8" w:rsidRDefault="000109B8" w:rsidP="000109B8">
      <w:pPr>
        <w:spacing w:line="360" w:lineRule="auto"/>
        <w:jc w:val="both"/>
        <w:rPr>
          <w:rFonts w:ascii="Times New Roman" w:hAnsi="Times New Roman" w:cs="Times New Roman"/>
          <w:sz w:val="24"/>
          <w:szCs w:val="24"/>
        </w:rPr>
      </w:pPr>
      <w:r w:rsidRPr="00644FD1">
        <w:rPr>
          <w:rFonts w:ascii="Times New Roman" w:hAnsi="Times New Roman" w:cs="Times New Roman"/>
          <w:sz w:val="24"/>
          <w:szCs w:val="24"/>
        </w:rPr>
        <w:lastRenderedPageBreak/>
        <w:t>Ce mémoire est structuré en trois chapitres. Le premier chapitre est dédié à la synthèse bibliographique, où les concepts clés sont définis, et les antagonismes et compromis liés aux options agroécologiques sont mis en évidence. Le deuxième chapitre décrit le matériel et les</w:t>
      </w:r>
      <w:r>
        <w:rPr>
          <w:rFonts w:ascii="Times New Roman" w:hAnsi="Times New Roman" w:cs="Times New Roman"/>
          <w:sz w:val="24"/>
          <w:szCs w:val="24"/>
        </w:rPr>
        <w:t xml:space="preserve"> </w:t>
      </w:r>
      <w:r w:rsidRPr="00644FD1">
        <w:rPr>
          <w:rFonts w:ascii="Times New Roman" w:hAnsi="Times New Roman" w:cs="Times New Roman"/>
          <w:sz w:val="24"/>
          <w:szCs w:val="24"/>
        </w:rPr>
        <w:t>méthodes utilisés pour atteindre les objectifs fixés. Le troisième chapitre présente les résultats des travaux menés, ainsi que la discussion de ces résultats. Le mémoire se conclut par une conclusion et quelques recommandations.</w:t>
      </w:r>
    </w:p>
    <w:sectPr w:rsidR="00BA31C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B8C0848"/>
    <w:multiLevelType w:val="hybridMultilevel"/>
    <w:tmpl w:val="ABB6D762"/>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7AEE5BF9"/>
    <w:multiLevelType w:val="hybridMultilevel"/>
    <w:tmpl w:val="F57C4A76"/>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58603234">
    <w:abstractNumId w:val="1"/>
  </w:num>
  <w:num w:numId="2" w16cid:durableId="2036803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02E"/>
    <w:rsid w:val="000109B8"/>
    <w:rsid w:val="0002392E"/>
    <w:rsid w:val="001B32B0"/>
    <w:rsid w:val="0054598C"/>
    <w:rsid w:val="00584372"/>
    <w:rsid w:val="005D7FE2"/>
    <w:rsid w:val="0064502E"/>
    <w:rsid w:val="007574CE"/>
    <w:rsid w:val="00797FCB"/>
    <w:rsid w:val="007A6143"/>
    <w:rsid w:val="00835E69"/>
    <w:rsid w:val="0099085B"/>
    <w:rsid w:val="009A65C1"/>
    <w:rsid w:val="00A8094D"/>
    <w:rsid w:val="00B161CD"/>
    <w:rsid w:val="00B51610"/>
    <w:rsid w:val="00BA31C8"/>
    <w:rsid w:val="00BF6D44"/>
    <w:rsid w:val="00D72897"/>
    <w:rsid w:val="00ED7D10"/>
    <w:rsid w:val="00F14207"/>
    <w:rsid w:val="00F9242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72CC6"/>
  <w15:chartTrackingRefBased/>
  <w15:docId w15:val="{ECEA9362-CD1C-41F4-876C-04BB5562E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109B8"/>
    <w:pPr>
      <w:ind w:left="720"/>
      <w:contextualSpacing/>
    </w:pPr>
  </w:style>
  <w:style w:type="character" w:styleId="Marquedecommentaire">
    <w:name w:val="annotation reference"/>
    <w:basedOn w:val="Policepardfaut"/>
    <w:uiPriority w:val="99"/>
    <w:semiHidden/>
    <w:unhideWhenUsed/>
    <w:rsid w:val="000109B8"/>
    <w:rPr>
      <w:sz w:val="16"/>
      <w:szCs w:val="16"/>
    </w:rPr>
  </w:style>
  <w:style w:type="paragraph" w:styleId="Commentaire">
    <w:name w:val="annotation text"/>
    <w:basedOn w:val="Normal"/>
    <w:link w:val="CommentaireCar"/>
    <w:uiPriority w:val="99"/>
    <w:unhideWhenUsed/>
    <w:rsid w:val="000109B8"/>
    <w:pPr>
      <w:spacing w:line="240" w:lineRule="auto"/>
    </w:pPr>
    <w:rPr>
      <w:sz w:val="20"/>
      <w:szCs w:val="20"/>
    </w:rPr>
  </w:style>
  <w:style w:type="character" w:customStyle="1" w:styleId="CommentaireCar">
    <w:name w:val="Commentaire Car"/>
    <w:basedOn w:val="Policepardfaut"/>
    <w:link w:val="Commentaire"/>
    <w:uiPriority w:val="99"/>
    <w:rsid w:val="000109B8"/>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4829480">
      <w:bodyDiv w:val="1"/>
      <w:marLeft w:val="0"/>
      <w:marRight w:val="0"/>
      <w:marTop w:val="0"/>
      <w:marBottom w:val="0"/>
      <w:divBdr>
        <w:top w:val="none" w:sz="0" w:space="0" w:color="auto"/>
        <w:left w:val="none" w:sz="0" w:space="0" w:color="auto"/>
        <w:bottom w:val="none" w:sz="0" w:space="0" w:color="auto"/>
        <w:right w:val="none" w:sz="0" w:space="0" w:color="auto"/>
      </w:divBdr>
    </w:div>
    <w:div w:id="742289543">
      <w:bodyDiv w:val="1"/>
      <w:marLeft w:val="0"/>
      <w:marRight w:val="0"/>
      <w:marTop w:val="0"/>
      <w:marBottom w:val="0"/>
      <w:divBdr>
        <w:top w:val="none" w:sz="0" w:space="0" w:color="auto"/>
        <w:left w:val="none" w:sz="0" w:space="0" w:color="auto"/>
        <w:bottom w:val="none" w:sz="0" w:space="0" w:color="auto"/>
        <w:right w:val="none" w:sz="0" w:space="0" w:color="auto"/>
      </w:divBdr>
    </w:div>
    <w:div w:id="1134982531">
      <w:bodyDiv w:val="1"/>
      <w:marLeft w:val="0"/>
      <w:marRight w:val="0"/>
      <w:marTop w:val="0"/>
      <w:marBottom w:val="0"/>
      <w:divBdr>
        <w:top w:val="none" w:sz="0" w:space="0" w:color="auto"/>
        <w:left w:val="none" w:sz="0" w:space="0" w:color="auto"/>
        <w:bottom w:val="none" w:sz="0" w:space="0" w:color="auto"/>
        <w:right w:val="none" w:sz="0" w:space="0" w:color="auto"/>
      </w:divBdr>
    </w:div>
    <w:div w:id="1421022643">
      <w:bodyDiv w:val="1"/>
      <w:marLeft w:val="0"/>
      <w:marRight w:val="0"/>
      <w:marTop w:val="0"/>
      <w:marBottom w:val="0"/>
      <w:divBdr>
        <w:top w:val="none" w:sz="0" w:space="0" w:color="auto"/>
        <w:left w:val="none" w:sz="0" w:space="0" w:color="auto"/>
        <w:bottom w:val="none" w:sz="0" w:space="0" w:color="auto"/>
        <w:right w:val="none" w:sz="0" w:space="0" w:color="auto"/>
      </w:divBdr>
    </w:div>
    <w:div w:id="1886599051">
      <w:bodyDiv w:val="1"/>
      <w:marLeft w:val="0"/>
      <w:marRight w:val="0"/>
      <w:marTop w:val="0"/>
      <w:marBottom w:val="0"/>
      <w:divBdr>
        <w:top w:val="none" w:sz="0" w:space="0" w:color="auto"/>
        <w:left w:val="none" w:sz="0" w:space="0" w:color="auto"/>
        <w:bottom w:val="none" w:sz="0" w:space="0" w:color="auto"/>
        <w:right w:val="none" w:sz="0" w:space="0" w:color="auto"/>
      </w:divBdr>
    </w:div>
    <w:div w:id="2100517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C74AF6-C133-4AE9-AD3C-0F2B0AB773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3</Pages>
  <Words>3021</Words>
  <Characters>16621</Characters>
  <Application>Microsoft Office Word</Application>
  <DocSecurity>0</DocSecurity>
  <Lines>138</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 Seybou</dc:creator>
  <cp:keywords/>
  <dc:description/>
  <cp:lastModifiedBy>Hamza Seybou</cp:lastModifiedBy>
  <cp:revision>1</cp:revision>
  <dcterms:created xsi:type="dcterms:W3CDTF">2024-12-31T09:47:00Z</dcterms:created>
  <dcterms:modified xsi:type="dcterms:W3CDTF">2024-12-31T16:16:00Z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1673f727-93f3-3f1b-805c-1c3874ff4cc9</vt:lpwstr>
  </property>
  <property fmtid="{D5CDD505-2E9C-101B-9397-08002B2CF9AE}" pid="24" name="Mendeley Citation Style_1">
    <vt:lpwstr>http://www.zotero.org/styles/apa</vt:lpwstr>
  </property>
</Properties>
</file>