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F329C" w14:textId="185EBAFF" w:rsidR="00A8094D" w:rsidRDefault="00C300A6" w:rsidP="001173CB">
      <w:pPr>
        <w:pStyle w:val="Titre1"/>
        <w:jc w:val="both"/>
      </w:pPr>
      <w:bookmarkStart w:id="0" w:name="_Hlk183436359"/>
      <w:r>
        <w:t>Définitions des concepts</w:t>
      </w:r>
    </w:p>
    <w:p w14:paraId="4AE598DA" w14:textId="576BC3F9" w:rsidR="00C300A6" w:rsidRPr="00B5005B" w:rsidRDefault="00C300A6"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Antagonismes</w:t>
      </w:r>
      <w:r w:rsidR="001173CB" w:rsidRPr="00B5005B">
        <w:rPr>
          <w:rFonts w:ascii="Times New Roman" w:hAnsi="Times New Roman" w:cs="Times New Roman"/>
          <w:sz w:val="24"/>
          <w:szCs w:val="24"/>
        </w:rPr>
        <w:t>/Concurrence</w:t>
      </w:r>
      <w:r w:rsidRPr="00B5005B">
        <w:rPr>
          <w:rFonts w:ascii="Times New Roman" w:hAnsi="Times New Roman" w:cs="Times New Roman"/>
          <w:sz w:val="24"/>
          <w:szCs w:val="24"/>
        </w:rPr>
        <w:t xml:space="preserve"> : </w:t>
      </w:r>
      <w:r w:rsidR="002B7922" w:rsidRPr="00B5005B">
        <w:rPr>
          <w:rFonts w:ascii="Times New Roman" w:hAnsi="Times New Roman" w:cs="Times New Roman"/>
          <w:sz w:val="24"/>
          <w:szCs w:val="24"/>
        </w:rPr>
        <w:t>Selon une définition classique chez les végétaux (</w:t>
      </w:r>
      <w:proofErr w:type="spellStart"/>
      <w:r w:rsidR="002B7922" w:rsidRPr="00B5005B">
        <w:rPr>
          <w:rFonts w:ascii="Times New Roman" w:hAnsi="Times New Roman" w:cs="Times New Roman"/>
          <w:sz w:val="24"/>
          <w:szCs w:val="24"/>
        </w:rPr>
        <w:t>Bleasdale</w:t>
      </w:r>
      <w:proofErr w:type="spellEnd"/>
      <w:r w:rsidR="002B7922" w:rsidRPr="00B5005B">
        <w:rPr>
          <w:rFonts w:ascii="Times New Roman" w:hAnsi="Times New Roman" w:cs="Times New Roman"/>
          <w:sz w:val="24"/>
          <w:szCs w:val="24"/>
        </w:rPr>
        <w:t>, 1959), deux plantes entrent en situation de concurrence lorsque la croissance de l’une d’entre elles ou celle des deux est réduite ou que leur forme est modifiée, comparativement à la croissance ou à la forme qu’elles ont isolément. La compétition se définit comme la concurrence qui s’établit entre plusieurs organismes pour une même source d’énergie ou de matière lorsque la demande est en excès sur les disponibilités (</w:t>
      </w:r>
      <w:proofErr w:type="spellStart"/>
      <w:r w:rsidR="002B7922" w:rsidRPr="00B5005B">
        <w:rPr>
          <w:rFonts w:ascii="Times New Roman" w:hAnsi="Times New Roman" w:cs="Times New Roman"/>
          <w:sz w:val="24"/>
          <w:szCs w:val="24"/>
        </w:rPr>
        <w:t>Lemée</w:t>
      </w:r>
      <w:proofErr w:type="spellEnd"/>
      <w:r w:rsidR="002B7922" w:rsidRPr="00B5005B">
        <w:rPr>
          <w:rFonts w:ascii="Times New Roman" w:hAnsi="Times New Roman" w:cs="Times New Roman"/>
          <w:sz w:val="24"/>
          <w:szCs w:val="24"/>
        </w:rPr>
        <w:t xml:space="preserve">, 1967) </w:t>
      </w:r>
      <w:r w:rsidR="002B7922" w:rsidRPr="00B5005B">
        <w:rPr>
          <w:rFonts w:ascii="Times New Roman" w:hAnsi="Times New Roman" w:cs="Times New Roman"/>
          <w:sz w:val="24"/>
          <w:szCs w:val="24"/>
        </w:rPr>
        <w:fldChar w:fldCharType="begin" w:fldLock="1"/>
      </w:r>
      <w:r w:rsidR="00BF32E4" w:rsidRPr="00B5005B">
        <w:rPr>
          <w:rFonts w:ascii="Times New Roman" w:hAnsi="Times New Roman" w:cs="Times New Roman"/>
          <w:sz w:val="24"/>
          <w:szCs w:val="24"/>
        </w:rPr>
        <w:instrText>ADDIN CSL_CITATION {"citationItems":[{"id":"ITEM-1","itemData":{"DOI":"10.1051/agro:19890301","ISSN":"0249-5627","abstract":"To cite this version: J.P. Caussanel. Nuisibilité et seuils de nuisibilité des mauvaises herbes dans une culture annuelle : situation de concurrence bispécifique. Agronomie, EDP Sciences, 1989, 9 (3), pp.219-240. ï¿¿hal-00885190ï¿¿ Agronomie Nuisibilité et seuils de nuisibilité des mauvaises herbes dans une culture annuelle : situation de concurrence bispécifique le 24-4-1988, accepté le 18-12-1988) Résumé &amp;mdash; La nuisibilité des mauvaises herbes dans une culture annuelle est à relier principalement à leurs effets négatifs sur la croissance et le développement de la plante cultivée. En termes d'interactions biologiques, les effets mesurés traduisent les résultats de la concurrence entre mauvaises herbes et plante cultivée. Ils sont causés par divers processus biologiques comme la compétition, l'allélopathie ou tout autre processus d'exploitation. Dans cet article, les seuils biologiques et économiques de nuisibilité sont définis dans une culture annuelle en faisant référence à une espèce adventice dominante dans la culture. La densité de l'adventice est généralement utilisée pour exprimer ces seuils de nuisibilité et pour établir des courbes de régression du rendement. Cependant, l'analyse des mécanismes de la concurrence due aux mauvaises herbes dans les cultures montre que la détermination du seuil biologique de nui-sibilité est améliorée en prenant en considération d'autres facteurs démographiques que la densité comme la structure temporelle ou la structure spatiale des populations végétales en présence. Pour chaque espèce adventice, la connais-sance de ces données est nécessaire afin d'estimer des seuils économiques de nuisibilité et d'établir des prévisions de risques à plus ou moins long terme. mauvaises herbes-cultures annuelles-compétition-pertes de rendement-évaluation des dégâts-prévi-sions de risques Summary &amp;mdash; Injurious effects of weeds and weed thresholds in an annual arable crop: interference between two species. Injurious effects of weeds in an annual arable crop are mainly related to their negative influence on crop growth and development. When such negative effects are measured among all different biological interactions, the following biological process may be implicated: competition, allelopathy or any other process of exploitation. In this paper, biological and economic thresholds are assessed in an annual arable crop in relation to one main weed species. Weed density is generally used to express these thresholds and to relat…","author":[{"dropping-particle":"","family":"Caussanel","given":"J. P.","non-dropping-particle":"","parse-names":false,"suffix":""}],"container-title":"Agronomie","id":"ITEM-1","issue":"3","issued":{"date-parts":[["1989"]]},"page":"219-240","title":"Nuisibilité et seuils de nuisibilité des mauvaises herbes dans une culture annuelle : situation de concurrence bispécifique","type":"article-journal","volume":"9"},"uris":["http://www.mendeley.com/documents/?uuid=204d7064-deaf-4359-981a-dccdd1ca0c18"]}],"mendeley":{"formattedCitation":"(Caussanel, 1989)","plainTextFormattedCitation":"(Caussanel, 1989)","previouslyFormattedCitation":"(Caussanel, 1989)"},"properties":{"noteIndex":0},"schema":"https://github.com/citation-style-language/schema/raw/master/csl-citation.json"}</w:instrText>
      </w:r>
      <w:r w:rsidR="002B7922" w:rsidRPr="00B5005B">
        <w:rPr>
          <w:rFonts w:ascii="Times New Roman" w:hAnsi="Times New Roman" w:cs="Times New Roman"/>
          <w:sz w:val="24"/>
          <w:szCs w:val="24"/>
        </w:rPr>
        <w:fldChar w:fldCharType="separate"/>
      </w:r>
      <w:r w:rsidR="002B7922" w:rsidRPr="00B5005B">
        <w:rPr>
          <w:rFonts w:ascii="Times New Roman" w:hAnsi="Times New Roman" w:cs="Times New Roman"/>
          <w:noProof/>
          <w:sz w:val="24"/>
          <w:szCs w:val="24"/>
        </w:rPr>
        <w:t>(Caussanel, 1989)</w:t>
      </w:r>
      <w:r w:rsidR="002B7922" w:rsidRPr="00B5005B">
        <w:rPr>
          <w:rFonts w:ascii="Times New Roman" w:hAnsi="Times New Roman" w:cs="Times New Roman"/>
          <w:sz w:val="24"/>
          <w:szCs w:val="24"/>
        </w:rPr>
        <w:fldChar w:fldCharType="end"/>
      </w:r>
      <w:r w:rsidR="002B7922" w:rsidRPr="00B5005B">
        <w:rPr>
          <w:rFonts w:ascii="Times New Roman" w:hAnsi="Times New Roman" w:cs="Times New Roman"/>
          <w:sz w:val="24"/>
          <w:szCs w:val="24"/>
        </w:rPr>
        <w:t>.</w:t>
      </w:r>
    </w:p>
    <w:p w14:paraId="1680B89D" w14:textId="7FD00A8A" w:rsidR="00C300A6" w:rsidRPr="00B5005B" w:rsidRDefault="00C300A6"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 xml:space="preserve">Compromis : En économie, le compromis est souvent défini comme le coût d’opportunité, qui est l’option privilégiée lors de la prise d’une décision économique, étant donné que les ressources sont rares. Pour obtenir plus d’une ressource rare, un individu ou un groupe doit collectivement renoncer à une certaine quantité d’un autre bien rare </w:t>
      </w:r>
      <w:r w:rsidRPr="00B5005B">
        <w:rPr>
          <w:rFonts w:ascii="Times New Roman" w:hAnsi="Times New Roman" w:cs="Times New Roman"/>
          <w:sz w:val="24"/>
          <w:szCs w:val="24"/>
        </w:rPr>
        <w:fldChar w:fldCharType="begin" w:fldLock="1"/>
      </w:r>
      <w:r w:rsidRPr="00B5005B">
        <w:rPr>
          <w:rFonts w:ascii="Times New Roman" w:hAnsi="Times New Roman" w:cs="Times New Roman"/>
          <w:sz w:val="24"/>
          <w:szCs w:val="24"/>
        </w:rPr>
        <w:instrText>ADDIN CSL_CITATION {"citationItems":[{"id":"ITEM-1","itemData":{"DOI":"10.4324/9781849775489","ISBN":"9781849775489","author":[{"dropping-particle":"","family":"Groot","given":"Rudolf","non-dropping-particle":"De","parse-names":false,"suffix":""},{"dropping-particle":"","family":"Fisher","given":"Brendan","non-dropping-particle":"","parse-names":false,"suffix":""},{"dropping-particle":"","family":"Christie","given":"Mike","non-dropping-particle":"","parse-names":false,"suffix":""},{"dropping-particle":"","family":"Aronson","given":"James","non-dropping-particle":"","parse-names":false,"suffix":""},{"dropping-particle":"","family":"Braat","given":"Leon","non-dropping-particle":"","parse-names":false,"suffix":""},{"dropping-particle":"","family":"Gowdy","given":"John","non-dropping-particle":"","parse-names":false,"suffix":""},{"dropping-particle":"","family":"Haines-Young","given":"Roy","non-dropping-particle":"","parse-names":false,"suffix":""},{"dropping-particle":"","family":"Maltby","given":"Edward","non-dropping-particle":"","parse-names":false,"suffix":""},{"dropping-particle":"","family":"Neuville","given":"Aude","non-dropping-particle":"","parse-names":false,"suffix":""},{"dropping-particle":"","family":"Polasky","given":"Stephen","non-dropping-particle":"","parse-names":false,"suffix":""},{"dropping-particle":"","family":"Portela","given":"Rosimeiry","non-dropping-particle":"","parse-names":false,"suffix":""},{"dropping-particle":"","family":"Ring","given":"Irene","non-dropping-particle":"","parse-names":false,"suffix":""},{"dropping-particle":"","family":"Blignaut","given":"James","non-dropping-particle":"","parse-names":false,"suffix":""},{"dropping-particle":"","family":"Brondízio","given":"Eduardo","non-dropping-particle":"","parse-names":false,"suffix":""},{"dropping-particle":"","family":"Costanza","given":"Robert","non-dropping-particle":"","parse-names":false,"suffix":""},{"dropping-particle":"","family":"Jax","given":"Kurt","non-dropping-particle":"","parse-names":false,"suffix":""},{"dropping-particle":"","family":"Kadekodi","given":"Gopal K.","non-dropping-particle":"","parse-names":false,"suffix":""},{"dropping-particle":"","family":"May","given":"Peter H.","non-dropping-particle":"","parse-names":false,"suffix":""},{"dropping-particle":"","family":"Mc Neely","given":"Jeffrey A.","non-dropping-particle":"","parse-names":false,"suffix":""},{"dropping-particle":"","family":"Shmelev","given":"Stanislav","non-dropping-particle":"","parse-names":false,"suffix":""},{"dropping-particle":"","family":"Kadekodi","given":"Gopal K.","non-dropping-particle":"","parse-names":false,"suffix":""}],"container-title":"The Economics of Ecosystems and Biodiversity: Ecological and Economic Foundations","id":"ITEM-1","issue":"March","issued":{"date-parts":[["2012"]]},"page":"9-40","title":"Integrating the ecological and economic dimensions in biodiversity and ecosystem service valuation","type":"article-journal"},"uris":["http://www.mendeley.com/documents/?uuid=db117153-cb32-4301-8ab3-aba9b0506e23"]}],"mendeley":{"formattedCitation":"(De Groot et al., 2012)","plainTextFormattedCitation":"(De Groot et al., 2012)","previouslyFormattedCitation":"(De Groot et al., 2012)"},"properties":{"noteIndex":0},"schema":"https://github.com/citation-style-language/schema/raw/master/csl-citation.json"}</w:instrText>
      </w:r>
      <w:r w:rsidRPr="00B5005B">
        <w:rPr>
          <w:rFonts w:ascii="Times New Roman" w:hAnsi="Times New Roman" w:cs="Times New Roman"/>
          <w:sz w:val="24"/>
          <w:szCs w:val="24"/>
        </w:rPr>
        <w:fldChar w:fldCharType="separate"/>
      </w:r>
      <w:r w:rsidRPr="00B5005B">
        <w:rPr>
          <w:rFonts w:ascii="Times New Roman" w:hAnsi="Times New Roman" w:cs="Times New Roman"/>
          <w:noProof/>
          <w:sz w:val="24"/>
          <w:szCs w:val="24"/>
        </w:rPr>
        <w:t>(De Groot et al., 2012)</w:t>
      </w:r>
      <w:r w:rsidRPr="00B5005B">
        <w:rPr>
          <w:rFonts w:ascii="Times New Roman" w:hAnsi="Times New Roman" w:cs="Times New Roman"/>
          <w:sz w:val="24"/>
          <w:szCs w:val="24"/>
        </w:rPr>
        <w:fldChar w:fldCharType="end"/>
      </w:r>
      <w:r w:rsidRPr="00B5005B">
        <w:rPr>
          <w:rFonts w:ascii="Times New Roman" w:hAnsi="Times New Roman" w:cs="Times New Roman"/>
          <w:sz w:val="24"/>
          <w:szCs w:val="24"/>
        </w:rPr>
        <w:t>.</w:t>
      </w:r>
      <w:r w:rsidR="00891FCC" w:rsidRPr="00B5005B">
        <w:rPr>
          <w:rFonts w:ascii="Times New Roman" w:hAnsi="Times New Roman" w:cs="Times New Roman"/>
          <w:sz w:val="24"/>
          <w:szCs w:val="24"/>
        </w:rPr>
        <w:t xml:space="preserve"> </w:t>
      </w:r>
      <w:r w:rsidRPr="00B5005B">
        <w:rPr>
          <w:rFonts w:ascii="Times New Roman" w:hAnsi="Times New Roman" w:cs="Times New Roman"/>
          <w:sz w:val="24"/>
          <w:szCs w:val="24"/>
        </w:rPr>
        <w:t xml:space="preserve">Dans le domaine des services écosystémiques, la notion de compromis est principalement résultant de l’Évaluation des écosystèmes pour le millénaire (EM), qui définit les compromis comme des décisions de gestion qui modifient de manière intentionnelle les services fournis par les écosystèmes (EM, 2005a). D’après le projet de Gestion des compromis pour une intensification durable de l’agriculture (SITAM) le compromis est « une situation dans laquelle plusieurs objectifs souhaitables mais dans une certaine mesure incompatible doivent être conciliés » </w:t>
      </w:r>
      <w:r w:rsidRPr="00B5005B">
        <w:rPr>
          <w:rFonts w:ascii="Times New Roman" w:hAnsi="Times New Roman" w:cs="Times New Roman"/>
          <w:sz w:val="24"/>
          <w:szCs w:val="24"/>
        </w:rPr>
        <w:fldChar w:fldCharType="begin" w:fldLock="1"/>
      </w:r>
      <w:r w:rsidRPr="00B5005B">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Faso","type":"report"},"uris":["http://www.mendeley.com/documents/?uuid=70127ab1-d04c-4386-a43a-88b89795903a"]}],"mendeley":{"formattedCitation":"(Zongo et al., 2020)","plainTextFormattedCitation":"(Zongo et al., 2020)","previouslyFormattedCitation":"(Zongo et al., 2020)"},"properties":{"noteIndex":0},"schema":"https://github.com/citation-style-language/schema/raw/master/csl-citation.json"}</w:instrText>
      </w:r>
      <w:r w:rsidRPr="00B5005B">
        <w:rPr>
          <w:rFonts w:ascii="Times New Roman" w:hAnsi="Times New Roman" w:cs="Times New Roman"/>
          <w:sz w:val="24"/>
          <w:szCs w:val="24"/>
        </w:rPr>
        <w:fldChar w:fldCharType="separate"/>
      </w:r>
      <w:r w:rsidRPr="00B5005B">
        <w:rPr>
          <w:rFonts w:ascii="Times New Roman" w:hAnsi="Times New Roman" w:cs="Times New Roman"/>
          <w:noProof/>
          <w:sz w:val="24"/>
          <w:szCs w:val="24"/>
        </w:rPr>
        <w:t>(Zongo et al., 2020)</w:t>
      </w:r>
      <w:r w:rsidRPr="00B5005B">
        <w:rPr>
          <w:rFonts w:ascii="Times New Roman" w:hAnsi="Times New Roman" w:cs="Times New Roman"/>
          <w:sz w:val="24"/>
          <w:szCs w:val="24"/>
        </w:rPr>
        <w:fldChar w:fldCharType="end"/>
      </w:r>
      <w:r w:rsidRPr="00B5005B">
        <w:rPr>
          <w:rFonts w:ascii="Times New Roman" w:hAnsi="Times New Roman" w:cs="Times New Roman"/>
          <w:sz w:val="24"/>
          <w:szCs w:val="24"/>
        </w:rPr>
        <w:t xml:space="preserve">. Selon </w:t>
      </w:r>
      <w:proofErr w:type="spellStart"/>
      <w:r w:rsidRPr="00B5005B">
        <w:rPr>
          <w:rFonts w:ascii="Times New Roman" w:hAnsi="Times New Roman" w:cs="Times New Roman"/>
          <w:sz w:val="24"/>
          <w:szCs w:val="24"/>
        </w:rPr>
        <w:t>Turkelboom</w:t>
      </w:r>
      <w:proofErr w:type="spellEnd"/>
      <w:r w:rsidRPr="00B5005B">
        <w:rPr>
          <w:rFonts w:ascii="Times New Roman" w:hAnsi="Times New Roman" w:cs="Times New Roman"/>
          <w:sz w:val="24"/>
          <w:szCs w:val="24"/>
        </w:rPr>
        <w:t xml:space="preserve"> et al., (2016) dans le cas d'un compromis, l'utilisation d'un service écosystémique réduit directement l'offre ou les avantages d'un autre service écosystémique </w:t>
      </w:r>
      <w:r w:rsidRPr="00B5005B">
        <w:rPr>
          <w:rFonts w:ascii="Times New Roman" w:hAnsi="Times New Roman" w:cs="Times New Roman"/>
          <w:sz w:val="24"/>
          <w:szCs w:val="24"/>
        </w:rPr>
        <w:fldChar w:fldCharType="begin" w:fldLock="1"/>
      </w:r>
      <w:r w:rsidRPr="00B5005B">
        <w:rPr>
          <w:rFonts w:ascii="Times New Roman" w:hAnsi="Times New Roman" w:cs="Times New Roman"/>
          <w:sz w:val="24"/>
          <w:szCs w:val="24"/>
        </w:rPr>
        <w:instrText>ADDIN CSL_CITATION {"citationItems":[{"id":"ITEM-1","itemData":{"ISBN":"978-1-78431-305-0","author":[{"dropping-particle":"","family":"Gusenbauer","given":"Daniel","non-dropping-particle":"","parse-names":false,"suffix":""},{"dropping-particle":"","family":"Franks","given":"Phil","non-dropping-particle":"","parse-names":false,"suffix":""}],"id":"ITEM-1","issue":"December","issued":{"date-parts":[["2019"]]},"number-of-pages":"1-40","title":"Agriculture, nature conservation or both? Managing trade-offs and synergies in sub-Saharan Africa","type":"report"},"uris":["http://www.mendeley.com/documents/?uuid=0c6b4aef-d17b-4977-8aed-10ba57b745de"]}],"mendeley":{"formattedCitation":"(Gusenbauer &amp; Franks, 2019)","plainTextFormattedCitation":"(Gusenbauer &amp; Franks, 2019)","previouslyFormattedCitation":"(Gusenbauer &amp; Franks, 2019)"},"properties":{"noteIndex":0},"schema":"https://github.com/citation-style-language/schema/raw/master/csl-citation.json"}</w:instrText>
      </w:r>
      <w:r w:rsidRPr="00B5005B">
        <w:rPr>
          <w:rFonts w:ascii="Times New Roman" w:hAnsi="Times New Roman" w:cs="Times New Roman"/>
          <w:sz w:val="24"/>
          <w:szCs w:val="24"/>
        </w:rPr>
        <w:fldChar w:fldCharType="separate"/>
      </w:r>
      <w:r w:rsidRPr="00B5005B">
        <w:rPr>
          <w:rFonts w:ascii="Times New Roman" w:hAnsi="Times New Roman" w:cs="Times New Roman"/>
          <w:noProof/>
          <w:sz w:val="24"/>
          <w:szCs w:val="24"/>
        </w:rPr>
        <w:t>(Gusenbauer &amp; Franks, 2019)</w:t>
      </w:r>
      <w:r w:rsidRPr="00B5005B">
        <w:rPr>
          <w:rFonts w:ascii="Times New Roman" w:hAnsi="Times New Roman" w:cs="Times New Roman"/>
          <w:sz w:val="24"/>
          <w:szCs w:val="24"/>
        </w:rPr>
        <w:fldChar w:fldCharType="end"/>
      </w:r>
      <w:r w:rsidRPr="00B5005B">
        <w:rPr>
          <w:rFonts w:ascii="Times New Roman" w:hAnsi="Times New Roman" w:cs="Times New Roman"/>
          <w:sz w:val="24"/>
          <w:szCs w:val="24"/>
        </w:rPr>
        <w:t xml:space="preserve">. Pour </w:t>
      </w:r>
      <w:r w:rsidRPr="00B5005B">
        <w:rPr>
          <w:rFonts w:ascii="Times New Roman" w:hAnsi="Times New Roman" w:cs="Times New Roman"/>
          <w:sz w:val="24"/>
          <w:szCs w:val="24"/>
        </w:rPr>
        <w:fldChar w:fldCharType="begin" w:fldLock="1"/>
      </w:r>
      <w:r w:rsidRPr="00B5005B">
        <w:rPr>
          <w:rFonts w:ascii="Times New Roman" w:hAnsi="Times New Roman" w:cs="Times New Roman"/>
          <w:sz w:val="24"/>
          <w:szCs w:val="24"/>
        </w:rPr>
        <w:instrText>ADDIN CSL_CITATION {"citationItems":[{"id":"ITEM-1","itemData":{"ISBN":"9781784317287","abstract":"How can agricultural production increase to meet the rapidly growing food demand in sub-Saharan Africa without reducing its precious forest areas? This is one of the greatest challenges in achieving sustainable land use and the Sustainable Development Goals (SDGs) in the region.","author":[{"dropping-particle":"","family":"Hou-Jones","given":"Xiaoting","non-dropping-particle":"","parse-names":false,"suffix":""},{"dropping-particle":"","family":"Franks","given":"Phil","non-dropping-particle":"","parse-names":false,"suffix":""},{"dropping-particle":"","family":"Chung","given":"Jin-Ho","non-dropping-particle":"","parse-names":false,"suffix":""}],"id":"ITEM-1","issued":{"date-parts":[["2019"]]},"number-of-pages":"67","title":"Creating enabling conditions for managing trade-offs between food production and forest conservation in Africa Case studies from Ethiopia and Zambia","type":"book"},"uris":["http://www.mendeley.com/documents/?uuid=286f42ea-76f1-43b7-b1bf-d50611fa96bf"]},{"id":"ITEM-2","itemData":{"DOI":"10.1007/s11442-016-1309-9","ISSN":"1009637X","abstract":"Ecosystem services are substantial elements for human society. The central challenge to meet the human needs from ecosystems while sustain the Earth’s life support systems makes it urgent to enhance efficient natural resource management for sustainable ecological and socioeconomic development. Trade-off analysis of ecosystem services can help to identify optimal decision points to balance the costs and benefits of the diverse human uses of ecosystems. In this sense, the aim of this paper is to provide key insights into ecosystem services trade-off analysis at different scales from a land use perspective, by comprehensively reviewing the trade-offs analysis tools and approaches that addressed in ecology, economics and other fields. The review will significantly contribute to future research on trade-off analysis to avoid inferior management options and offer a win-win solution based on comprehensive and efficient planning for interacting multiple ecosystem services.","author":[{"dropping-particle":"","family":"Deng","given":"Xiangzheng","non-dropping-particle":"","parse-names":false,"suffix":""},{"dropping-particle":"","family":"Li","given":"Zhihui","non-dropping-particle":"","parse-names":false,"suffix":""},{"dropping-particle":"","family":"Gibson","given":"John","non-dropping-particle":"","parse-names":false,"suffix":""}],"container-title":"Journal of Geographical Sciences","id":"ITEM-2","issue":"7","issued":{"date-parts":[["2016"]]},"page":"953-968","title":"A review on trade-off analysis of ecosystem services for sustainable land-use management","type":"article-journal","volume":"26"},"uris":["http://www.mendeley.com/documents/?uuid=66312ab2-4761-438b-b83d-cc24aa693921"]}],"mendeley":{"formattedCitation":"(Deng et al., 2016; Hou-Jones et al., 2019)","manualFormatting":"Deng et al., (2016); Hou-Jones et al., (2019)","plainTextFormattedCitation":"(Deng et al., 2016; Hou-Jones et al., 2019)","previouslyFormattedCitation":"(Deng et al., 2016; Hou-Jones et al., 2019)"},"properties":{"noteIndex":0},"schema":"https://github.com/citation-style-language/schema/raw/master/csl-citation.json"}</w:instrText>
      </w:r>
      <w:r w:rsidRPr="00B5005B">
        <w:rPr>
          <w:rFonts w:ascii="Times New Roman" w:hAnsi="Times New Roman" w:cs="Times New Roman"/>
          <w:sz w:val="24"/>
          <w:szCs w:val="24"/>
        </w:rPr>
        <w:fldChar w:fldCharType="separate"/>
      </w:r>
      <w:r w:rsidRPr="00B5005B">
        <w:rPr>
          <w:rFonts w:ascii="Times New Roman" w:hAnsi="Times New Roman" w:cs="Times New Roman"/>
          <w:noProof/>
          <w:sz w:val="24"/>
          <w:szCs w:val="24"/>
        </w:rPr>
        <w:t>Deng et al., (2016); Hou-Jones et al., (2019)</w:t>
      </w:r>
      <w:r w:rsidRPr="00B5005B">
        <w:rPr>
          <w:rFonts w:ascii="Times New Roman" w:hAnsi="Times New Roman" w:cs="Times New Roman"/>
          <w:sz w:val="24"/>
          <w:szCs w:val="24"/>
        </w:rPr>
        <w:fldChar w:fldCharType="end"/>
      </w:r>
      <w:r w:rsidRPr="00B5005B">
        <w:rPr>
          <w:rFonts w:ascii="Times New Roman" w:hAnsi="Times New Roman" w:cs="Times New Roman"/>
          <w:sz w:val="24"/>
          <w:szCs w:val="24"/>
        </w:rPr>
        <w:t xml:space="preserve"> lorsque les interventions humaines améliorent la production d'un service écosystémique tout en affectant négativement la fourniture d'autres services, cela entraîne généralement des compromis entre les services écosystémiques.</w:t>
      </w:r>
    </w:p>
    <w:p w14:paraId="6F8FD38C" w14:textId="3EF255E3" w:rsidR="00C300A6" w:rsidRPr="00B5005B" w:rsidRDefault="00C300A6"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Synergies : Les synergies existent lorsque la réalisation d’un objectif améliore la réalisation d’un autre. Dans une synergie positive, l'emploi d'un service écosystémique entraîne une augmentation directe de l'offre ou des profits d'un autre service. La synergie peut également présenter des conséquences négatives lorsque l'un des impacts négatifs est associé à un autre impact négatif</w:t>
      </w:r>
      <w:r w:rsidR="00891FCC" w:rsidRPr="00B5005B">
        <w:rPr>
          <w:rFonts w:ascii="Times New Roman" w:hAnsi="Times New Roman" w:cs="Times New Roman"/>
          <w:sz w:val="24"/>
          <w:szCs w:val="24"/>
        </w:rPr>
        <w:t xml:space="preserve"> </w:t>
      </w:r>
      <w:r w:rsidR="00891FCC" w:rsidRPr="00B5005B">
        <w:rPr>
          <w:rFonts w:ascii="Times New Roman" w:hAnsi="Times New Roman" w:cs="Times New Roman"/>
          <w:sz w:val="24"/>
          <w:szCs w:val="24"/>
        </w:rPr>
        <w:fldChar w:fldCharType="begin" w:fldLock="1"/>
      </w:r>
      <w:r w:rsidR="002B7922" w:rsidRPr="00B5005B">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id":"ITEM-2","itemData":{"ISBN":"978-1-78431-305-0","author":[{"dropping-particle":"","family":"Gusenbauer","given":"Daniel","non-dropping-particle":"","parse-names":false,"suffix":""},{"dropping-particle":"","family":"Franks","given":"Phil","non-dropping-particle":"","parse-names":false,"suffix":""}],"id":"ITEM-2","issue":"December","issued":{"date-parts":[["2019"]]},"number-of-pages":"1-40","title":"Agriculture, nature conservation or both? Managing trade-offs and synergies in sub-Saharan Africa","type":"report"},"uris":["http://www.mendeley.com/documents/?uuid=0c6b4aef-d17b-4977-8aed-10ba57b745de"]}],"mendeley":{"formattedCitation":"(Gusenbauer &amp; Franks, 2019; Zongo et al., 2020)","plainTextFormattedCitation":"(Gusenbauer &amp; Franks, 2019; Zongo et al., 2020)","previouslyFormattedCitation":"(Gusenbauer &amp; Franks, 2019; Zongo et al., 2020)"},"properties":{"noteIndex":0},"schema":"https://github.com/citation-style-language/schema/raw/master/csl-citation.json"}</w:instrText>
      </w:r>
      <w:r w:rsidR="00891FCC" w:rsidRPr="00B5005B">
        <w:rPr>
          <w:rFonts w:ascii="Times New Roman" w:hAnsi="Times New Roman" w:cs="Times New Roman"/>
          <w:sz w:val="24"/>
          <w:szCs w:val="24"/>
        </w:rPr>
        <w:fldChar w:fldCharType="separate"/>
      </w:r>
      <w:r w:rsidR="00891FCC" w:rsidRPr="00B5005B">
        <w:rPr>
          <w:rFonts w:ascii="Times New Roman" w:hAnsi="Times New Roman" w:cs="Times New Roman"/>
          <w:noProof/>
          <w:sz w:val="24"/>
          <w:szCs w:val="24"/>
        </w:rPr>
        <w:t>(Gusenbauer &amp; Franks, 2019; Zongo et al., 2020)</w:t>
      </w:r>
      <w:r w:rsidR="00891FCC" w:rsidRPr="00B5005B">
        <w:rPr>
          <w:rFonts w:ascii="Times New Roman" w:hAnsi="Times New Roman" w:cs="Times New Roman"/>
          <w:sz w:val="24"/>
          <w:szCs w:val="24"/>
        </w:rPr>
        <w:fldChar w:fldCharType="end"/>
      </w:r>
      <w:r w:rsidRPr="00B5005B">
        <w:rPr>
          <w:rFonts w:ascii="Times New Roman" w:hAnsi="Times New Roman" w:cs="Times New Roman"/>
          <w:sz w:val="24"/>
          <w:szCs w:val="24"/>
        </w:rPr>
        <w:t xml:space="preserve">. </w:t>
      </w:r>
    </w:p>
    <w:p w14:paraId="37533B00" w14:textId="06254653" w:rsidR="005801DF" w:rsidRPr="00B5005B" w:rsidRDefault="005801DF"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 xml:space="preserve">Pratiques agroécologiques : les pratiques agroécologiques sont des approches agricoles qui s'inspirent de tout ou partie des principes de l'agroécologie. Ces pratiques visent à améliorer les systèmes agricoles en imitant les processus naturels et en mettant l'accent sur le rôle multifonctionnel de l'agriculture. Elles se caractérisent par une forte intensité de connaissances, </w:t>
      </w:r>
      <w:r w:rsidRPr="00B5005B">
        <w:rPr>
          <w:rFonts w:ascii="Times New Roman" w:hAnsi="Times New Roman" w:cs="Times New Roman"/>
          <w:sz w:val="24"/>
          <w:szCs w:val="24"/>
        </w:rPr>
        <w:lastRenderedPageBreak/>
        <w:t>s'appuyant à la fois sur la compréhension scientifique des relations écologiques et sur les connaissances et l'expérimentation des agriculteurs. Les objectifs immédiats des pratiques agroécologiques comprennent la construction de la structure du sol, l'amélioration de la santé du sol, le recyclage des nutriments, la conservation de l'eau et le maintien de la diversité fonctionnelle à la fois dans l'espace et dans le temps</w:t>
      </w:r>
      <w:r w:rsidR="00C82407" w:rsidRPr="00B5005B">
        <w:rPr>
          <w:rFonts w:ascii="Times New Roman" w:hAnsi="Times New Roman" w:cs="Times New Roman"/>
          <w:sz w:val="24"/>
          <w:szCs w:val="24"/>
        </w:rPr>
        <w:t xml:space="preserve"> </w:t>
      </w:r>
      <w:r w:rsidR="00C82407" w:rsidRPr="00B5005B">
        <w:rPr>
          <w:rFonts w:ascii="Times New Roman" w:hAnsi="Times New Roman" w:cs="Times New Roman"/>
          <w:sz w:val="24"/>
          <w:szCs w:val="24"/>
        </w:rPr>
        <w:fldChar w:fldCharType="begin" w:fldLock="1"/>
      </w:r>
      <w:r w:rsidR="00BD5D6B" w:rsidRPr="00B5005B">
        <w:rPr>
          <w:rFonts w:ascii="Times New Roman" w:hAnsi="Times New Roman" w:cs="Times New Roman"/>
          <w:sz w:val="24"/>
          <w:szCs w:val="24"/>
        </w:rPr>
        <w:instrText>ADDIN CSL_CITATION {"citationItems":[{"id":"ITEM-1","itemData":{"DOI":"https://doi.org/10.1051/agro/2009004","author":[{"dropping-particle":"","family":"Wezel","given":"A.","non-dropping-particle":"","parse-names":false,"suffix":""},{"dropping-particle":"","family":"Bellon","given":"S.","non-dropping-particle":"","parse-names":false,"suffix":""},{"dropping-particle":"","family":"T.Dore","given":"","non-dropping-particle":"","parse-names":false,"suffix":""},{"dropping-particle":"","family":"Francis","given":"C.","non-dropping-particle":"","parse-names":false,"suffix":""},{"dropping-particle":"","family":"Vallod","given":"D.","non-dropping-particle":"","parse-names":false,"suffix":""},{"dropping-particle":"","family":"David","given":"C.","non-dropping-particle":"","parse-names":false,"suffix":""}],"container-title":"Agronomy for Sustainable Development for Sustainable Development Reviewfor Sustainable Development Review","id":"ITEM-1","issued":{"date-parts":[["2009"]]},"page":"503-515","title":"Agroecology as a science, a movement and a practice. A review","type":"article-journal","volume":"29"},"uris":["http://www.mendeley.com/documents/?uuid=90b09c82-48ec-4067-b033-e5f6e25d5448"]},{"id":"ITEM-2","itemData":{"DOI":"10.1080/14735903.2018.1448047","ISBN":"9783960210399","ISSN":"1747762X","abstract":"With the sustainable development goals has come a renewed global interest in ending hunger and achieving food security, while preventing natural resource degradation. Despite this renewed interest and increased commitments to invest in agricultural development, there is an outstanding debate over the technological trajectories to sustainability. The debate centres on sustainable agricultural intensification (SAI) and agroecological intensification (AEI) pathways to agricultural sustainability. Using a systematic literature review approach, this study examines the debate over AEI and SAI. This study employs a theoretical framework based on the economic, social, and ecological dimensions of sustainable agriculture within a policy and institutional space. Based on the sustainability dimensions, a discourse analytical technique is applied to unravel the debate. The results reveal differences in actor composition in the SAI and AEI pathways. Both pathways aim to promote food security with optimal and sustainable use of inputs; however, the actors differ on discourse relating to the concept of farming, the role of genetic engineering, the scale of operation, land use and soil health. Resolving these differences requires a blended sustainability approach that moves beyond the current AEI and SAI debate by acknowledging the tradeoffs and synergies of the socio-economic and ecological dimensions.","author":[{"dropping-particle":"","family":"Mockshell","given":"Jonathan","non-dropping-particle":"","parse-names":false,"suffix":""},{"dropping-particle":"","family":"Kamanda","given":"Josey","non-dropping-particle":"","parse-names":false,"suffix":""}],"container-title":"International Journal of Agricultural Sustainability","id":"ITEM-2","issue":"2","issued":{"date-parts":[["2018"]]},"page":"127-149","title":"Beyond the agroecological and sustainable agricultural intensification debate: Is blended sustainability the way forward?","type":"article-journal","volume":"16"},"uris":["http://www.mendeley.com/documents/?uuid=be23d2c7-3660-4c51-9798-9336b9bbc5bf"]},{"id":"ITEM-3","itemData":{"ISBN":"9781784310653","abstract":"In a context of a changing climate and growing concerns for more healthy food systems, agroecology is gaining momentum as a scientific discipline, sustainable farming approach and social movement. There is growing anecdotal and case study evidence of its multiple benefits, from climate resilience to farm productivity. Yet its promotion in public agricultural policies, research and extension is still limited. This paper explores why this is. It calls for consolidating the evidence base for agroecology through multi-dimensional tools that not only measure yields, but also its many other benefits: economic, environmental and social. Mainstreaming agroecology will require a fundamental cultural and philosophical shift in how we as a society define ‘productive’ and ‘efficient’ agriculture.","author":[{"dropping-particle":"","family":"Silici","given":"Laura","non-dropping-particle":"","parse-names":false,"suffix":""}],"container-title":"International Institute for Environment and Development, London","id":"ITEM-3","issue":"June","issued":{"date-parts":[["2014"]]},"page":"1-27","title":"Agroecology. What It Is And What It Has To Offer","type":"article-journal"},"uris":["http://www.mendeley.com/documents/?uuid=9fe67ca5-6347-4796-9dae-14ba93d4cedf"]},{"id":"ITEM-4","itemData":{"DOI":"10.1016/B978-0-12-812687-5.22211-9","author":[{"dropping-particle":"","family":"Mockshell","given":"Jonathan","non-dropping-particle":"","parse-names":false,"suffix":""},{"dropping-particle":"","family":"Villarino","given":"Ma Eliza J","non-dropping-particle":"","parse-names":false,"suffix":""},{"dropping-particle":"","family":"Ciat","given":"Agriculture","non-dropping-particle":"","parse-names":false,"suffix":""}],"container-title":"Encyclopedia of Food Security and Sustainability","id":"ITEM-4","issued":{"date-parts":[["2018"]]},"number-of-pages":"1-7","publisher":"Elsevier","title":"Agroecological Intensification: Potential and Limitations to Achieving Food Security and Sustainability","type":"book"},"uris":["http://www.mendeley.com/documents/?uuid=a39315d6-4044-4222-aad1-acaeb5ae9911"]}],"mendeley":{"formattedCitation":"(Mockshell et al., 2018; Mockshell &amp; Kamanda, 2018; Silici, 2014; Wezel et al., 2009)","plainTextFormattedCitation":"(Mockshell et al., 2018; Mockshell &amp; Kamanda, 2018; Silici, 2014; Wezel et al., 2009)","previouslyFormattedCitation":"(Mockshell et al., 2018; Mockshell &amp; Kamanda, 2018; Silici, 2014; Wezel et al., 2009)"},"properties":{"noteIndex":0},"schema":"https://github.com/citation-style-language/schema/raw/master/csl-citation.json"}</w:instrText>
      </w:r>
      <w:r w:rsidR="00C82407" w:rsidRPr="00B5005B">
        <w:rPr>
          <w:rFonts w:ascii="Times New Roman" w:hAnsi="Times New Roman" w:cs="Times New Roman"/>
          <w:sz w:val="24"/>
          <w:szCs w:val="24"/>
        </w:rPr>
        <w:fldChar w:fldCharType="separate"/>
      </w:r>
      <w:r w:rsidR="00C82407" w:rsidRPr="00B5005B">
        <w:rPr>
          <w:rFonts w:ascii="Times New Roman" w:hAnsi="Times New Roman" w:cs="Times New Roman"/>
          <w:noProof/>
          <w:sz w:val="24"/>
          <w:szCs w:val="24"/>
        </w:rPr>
        <w:t>(Mockshell et al., 2018; Mockshell &amp; Kamanda, 2018; Silici, 2014; Wezel et al., 2009)</w:t>
      </w:r>
      <w:r w:rsidR="00C82407" w:rsidRPr="00B5005B">
        <w:rPr>
          <w:rFonts w:ascii="Times New Roman" w:hAnsi="Times New Roman" w:cs="Times New Roman"/>
          <w:sz w:val="24"/>
          <w:szCs w:val="24"/>
        </w:rPr>
        <w:fldChar w:fldCharType="end"/>
      </w:r>
      <w:r w:rsidRPr="00B5005B">
        <w:rPr>
          <w:rFonts w:ascii="Times New Roman" w:hAnsi="Times New Roman" w:cs="Times New Roman"/>
          <w:sz w:val="24"/>
          <w:szCs w:val="24"/>
        </w:rPr>
        <w:t>.</w:t>
      </w:r>
    </w:p>
    <w:p w14:paraId="6AA20081" w14:textId="73562FC6" w:rsidR="00B12661" w:rsidRPr="00B5005B" w:rsidRDefault="00B12661"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 xml:space="preserve">Fertilité des sols : </w:t>
      </w:r>
      <w:r w:rsidR="00BD5D6B" w:rsidRPr="00B5005B">
        <w:rPr>
          <w:rFonts w:ascii="Times New Roman" w:hAnsi="Times New Roman" w:cs="Times New Roman"/>
          <w:sz w:val="24"/>
          <w:szCs w:val="24"/>
        </w:rPr>
        <w:t xml:space="preserve">: la fertilité du sol est une composante de la productivité biologique du sol s'intéressant à son état en matière de disponibilité en éléments nutritifs, et à sa capacité à fournir les éléments nutritifs à partir de ses propres réserves pour la production des cultures et, enfin, à ses réactions concernant les apports externes d'éléments nutritifs </w:t>
      </w:r>
      <w:r w:rsidR="00BD5D6B" w:rsidRPr="00B5005B">
        <w:rPr>
          <w:rFonts w:ascii="Times New Roman" w:hAnsi="Times New Roman" w:cs="Times New Roman"/>
          <w:sz w:val="24"/>
          <w:szCs w:val="24"/>
        </w:rPr>
        <w:fldChar w:fldCharType="begin" w:fldLock="1"/>
      </w:r>
      <w:r w:rsidR="008F7CC0" w:rsidRPr="00B5005B">
        <w:rPr>
          <w:rFonts w:ascii="Times New Roman" w:hAnsi="Times New Roman" w:cs="Times New Roman"/>
          <w:sz w:val="24"/>
          <w:szCs w:val="24"/>
        </w:rPr>
        <w:instrText>ADDIN CSL_CITATION {"citationItems":[{"id":"ITEM-1","itemData":{"author":[{"dropping-particle":"","family":"Alabouvette","given":"Claude","non-dropping-particle":"","parse-names":false,"suffix":""},{"dropping-particle":"","family":"Cordier","given":"Christelle","non-dropping-particle":"","parse-names":false,"suffix":""}],"container-title":"Innovations Agronomiques","id":"ITEM-1","issued":{"date-parts":[["2019"]]},"page":"11","title":"Fertilité biologique des sols : des microorganismes utiles à la croissance des plantes","type":"article-journal"},"uris":["http://www.mendeley.com/documents/?uuid=df7d9dcb-5789-46e7-b3c8-5a5d25b84233"]}],"mendeley":{"formattedCitation":"(Alabouvette &amp; Cordier, 2019)","plainTextFormattedCitation":"(Alabouvette &amp; Cordier, 2019)","previouslyFormattedCitation":"(Alabouvette &amp; Cordier, 2019)"},"properties":{"noteIndex":0},"schema":"https://github.com/citation-style-language/schema/raw/master/csl-citation.json"}</w:instrText>
      </w:r>
      <w:r w:rsidR="00BD5D6B" w:rsidRPr="00B5005B">
        <w:rPr>
          <w:rFonts w:ascii="Times New Roman" w:hAnsi="Times New Roman" w:cs="Times New Roman"/>
          <w:sz w:val="24"/>
          <w:szCs w:val="24"/>
        </w:rPr>
        <w:fldChar w:fldCharType="separate"/>
      </w:r>
      <w:r w:rsidR="00BD5D6B" w:rsidRPr="00B5005B">
        <w:rPr>
          <w:rFonts w:ascii="Times New Roman" w:hAnsi="Times New Roman" w:cs="Times New Roman"/>
          <w:noProof/>
          <w:sz w:val="24"/>
          <w:szCs w:val="24"/>
        </w:rPr>
        <w:t>(Alabouvette &amp; Cordier, 2019)</w:t>
      </w:r>
      <w:r w:rsidR="00BD5D6B" w:rsidRPr="00B5005B">
        <w:rPr>
          <w:rFonts w:ascii="Times New Roman" w:hAnsi="Times New Roman" w:cs="Times New Roman"/>
          <w:sz w:val="24"/>
          <w:szCs w:val="24"/>
        </w:rPr>
        <w:fldChar w:fldCharType="end"/>
      </w:r>
      <w:r w:rsidR="00BD5D6B" w:rsidRPr="00B5005B">
        <w:rPr>
          <w:rFonts w:ascii="Times New Roman" w:hAnsi="Times New Roman" w:cs="Times New Roman"/>
          <w:sz w:val="24"/>
          <w:szCs w:val="24"/>
        </w:rPr>
        <w:t>.</w:t>
      </w:r>
    </w:p>
    <w:p w14:paraId="6A37A8FD" w14:textId="17832560" w:rsidR="00F55520" w:rsidRPr="00B5005B" w:rsidRDefault="00F55520" w:rsidP="00B5005B">
      <w:pPr>
        <w:spacing w:line="360" w:lineRule="auto"/>
        <w:jc w:val="both"/>
        <w:rPr>
          <w:rFonts w:ascii="Times New Roman" w:hAnsi="Times New Roman" w:cs="Times New Roman"/>
          <w:sz w:val="24"/>
          <w:szCs w:val="24"/>
        </w:rPr>
      </w:pPr>
      <w:r w:rsidRPr="00B5005B">
        <w:rPr>
          <w:rFonts w:ascii="Times New Roman" w:hAnsi="Times New Roman" w:cs="Times New Roman"/>
          <w:sz w:val="24"/>
          <w:szCs w:val="24"/>
        </w:rPr>
        <w:t xml:space="preserve">Bloc </w:t>
      </w:r>
      <w:r w:rsidR="008F7CC0" w:rsidRPr="00B5005B">
        <w:rPr>
          <w:rFonts w:ascii="Times New Roman" w:hAnsi="Times New Roman" w:cs="Times New Roman"/>
          <w:sz w:val="24"/>
          <w:szCs w:val="24"/>
        </w:rPr>
        <w:t xml:space="preserve">expérimental : Par définition, un bloc est un groupe homogène d'unités expérimentales. C'est à dire que la variabilité du phénomène étudié doit être plus faible entre unités (parcelles) appartenant à un même bloc qu'entre unités appartenant à des blocs différents </w:t>
      </w:r>
      <w:r w:rsidR="008F7CC0" w:rsidRPr="00B5005B">
        <w:rPr>
          <w:rFonts w:ascii="Times New Roman" w:hAnsi="Times New Roman" w:cs="Times New Roman"/>
          <w:sz w:val="24"/>
          <w:szCs w:val="24"/>
        </w:rPr>
        <w:fldChar w:fldCharType="begin" w:fldLock="1"/>
      </w:r>
      <w:r w:rsidR="008F7CC0" w:rsidRPr="00B5005B">
        <w:rPr>
          <w:rFonts w:ascii="Times New Roman" w:hAnsi="Times New Roman" w:cs="Times New Roman"/>
          <w:sz w:val="24"/>
          <w:szCs w:val="24"/>
        </w:rPr>
        <w:instrText>ADDIN CSL_CITATION {"citationItems":[{"id":"ITEM-1","itemData":{"abstract":"Le présent document a été rédigé pour servir de support à des cours sur l'expérimentation agronomique. Ces cours comportaient des applications sur le logiciel STATITCF. Le document y fait fréquemment référence. On ne fait pas ici des exemples d'application qui sont vus en cours. Seuls sont exposés quelques principes généraux de l'expériementation agronomique et de l'analyse de variance unidimensionnelle, ainsi que la construction, l'analyse, les avantages et les inconvénients des principaux dispositifs. Enfin, le problème des regroupement d'essais est abordé en se focalisant sur l'analyse exploratoire de l'interaction traitement-essai par des tehniques d'analyse de données, d'où le chapitre de présentation de l'analyse en composantes principales (ACP) à la fin du document. L'attention a été portée plus particulièrement sur les dispositifs expérimentaux analysables par STATITCF. Les dispositifs équilibrés non analysables par ce logiciel ne sont que survolés. Ceux non équilibrés ne sont pas abordés car leur analyse utilise des notions sur le modèle linéaire général qui ne sont pas développées ici.","author":[{"dropping-particle":"","family":"Letourmy","given":"Philippe","non-dropping-particle":"","parse-names":false,"suffix":""}],"id":"ITEM-1","issued":{"date-parts":[["1999"]]},"number-of-pages":"1-50","publisher-place":"Montpellier","title":"Expérimentation agronomique planifiée (support de cours, 2e version)","type":"report"},"uris":["http://www.mendeley.com/documents/?uuid=bea1810d-74ec-474a-a70e-acc29833eb11"]}],"mendeley":{"formattedCitation":"(Letourmy, 1999)","plainTextFormattedCitation":"(Letourmy, 1999)","previouslyFormattedCitation":"(Letourmy, 1999)"},"properties":{"noteIndex":0},"schema":"https://github.com/citation-style-language/schema/raw/master/csl-citation.json"}</w:instrText>
      </w:r>
      <w:r w:rsidR="008F7CC0" w:rsidRPr="00B5005B">
        <w:rPr>
          <w:rFonts w:ascii="Times New Roman" w:hAnsi="Times New Roman" w:cs="Times New Roman"/>
          <w:sz w:val="24"/>
          <w:szCs w:val="24"/>
        </w:rPr>
        <w:fldChar w:fldCharType="separate"/>
      </w:r>
      <w:r w:rsidR="008F7CC0" w:rsidRPr="00B5005B">
        <w:rPr>
          <w:rFonts w:ascii="Times New Roman" w:hAnsi="Times New Roman" w:cs="Times New Roman"/>
          <w:noProof/>
          <w:sz w:val="24"/>
          <w:szCs w:val="24"/>
        </w:rPr>
        <w:t>(Letourmy, 1999)</w:t>
      </w:r>
      <w:r w:rsidR="008F7CC0" w:rsidRPr="00B5005B">
        <w:rPr>
          <w:rFonts w:ascii="Times New Roman" w:hAnsi="Times New Roman" w:cs="Times New Roman"/>
          <w:sz w:val="24"/>
          <w:szCs w:val="24"/>
        </w:rPr>
        <w:fldChar w:fldCharType="end"/>
      </w:r>
      <w:r w:rsidR="008F7CC0" w:rsidRPr="00B5005B">
        <w:rPr>
          <w:rFonts w:ascii="Times New Roman" w:hAnsi="Times New Roman" w:cs="Times New Roman"/>
          <w:sz w:val="24"/>
          <w:szCs w:val="24"/>
        </w:rPr>
        <w:t xml:space="preserve">. Aucune raison théorique n’impose de placer les blocs les uns à côté des autres. On peut les disposer dans les zones les plus homogènes de la parcelle d’expérimentation. Lorsqu’un gradient de fertilité est connu ou supposé dans une direction donnée, ils faut disposer les parcelles de façon que leur grande dimension soit selon le sens de cette variation </w:t>
      </w:r>
      <w:r w:rsidR="008F7CC0" w:rsidRPr="00B5005B">
        <w:rPr>
          <w:rFonts w:ascii="Times New Roman" w:hAnsi="Times New Roman" w:cs="Times New Roman"/>
          <w:sz w:val="24"/>
          <w:szCs w:val="24"/>
        </w:rPr>
        <w:fldChar w:fldCharType="begin" w:fldLock="1"/>
      </w:r>
      <w:r w:rsidR="00DD1C97" w:rsidRPr="00B5005B">
        <w:rPr>
          <w:rFonts w:ascii="Times New Roman" w:hAnsi="Times New Roman" w:cs="Times New Roman"/>
          <w:sz w:val="24"/>
          <w:szCs w:val="24"/>
        </w:rPr>
        <w:instrText>ADDIN CSL_CITATION {"citationItems":[{"id":"ITEM-1","itemData":{"author":[{"dropping-particle":"","family":"Naudin","given":"Krishna","non-dropping-particle":"","parse-names":false,"suffix":""}],"id":"ITEM-1","issued":{"date-parts":[["2007"]]},"number-of-pages":"1-19","publisher-place":"Madagascar","title":"Expérimentations agronomiques Conduites et plans des essais Guide méthodologique pour les antennes TAFA","type":"report"},"uris":["http://www.mendeley.com/documents/?uuid=b5ebaf34-2ca4-4ec8-bd25-f1869c0db298"]}],"mendeley":{"formattedCitation":"(Naudin, 2007)","plainTextFormattedCitation":"(Naudin, 2007)","previouslyFormattedCitation":"(Naudin, 2007)"},"properties":{"noteIndex":0},"schema":"https://github.com/citation-style-language/schema/raw/master/csl-citation.json"}</w:instrText>
      </w:r>
      <w:r w:rsidR="008F7CC0" w:rsidRPr="00B5005B">
        <w:rPr>
          <w:rFonts w:ascii="Times New Roman" w:hAnsi="Times New Roman" w:cs="Times New Roman"/>
          <w:sz w:val="24"/>
          <w:szCs w:val="24"/>
        </w:rPr>
        <w:fldChar w:fldCharType="separate"/>
      </w:r>
      <w:r w:rsidR="008F7CC0" w:rsidRPr="00B5005B">
        <w:rPr>
          <w:rFonts w:ascii="Times New Roman" w:hAnsi="Times New Roman" w:cs="Times New Roman"/>
          <w:noProof/>
          <w:sz w:val="24"/>
          <w:szCs w:val="24"/>
        </w:rPr>
        <w:t>(Naudin, 2007)</w:t>
      </w:r>
      <w:r w:rsidR="008F7CC0" w:rsidRPr="00B5005B">
        <w:rPr>
          <w:rFonts w:ascii="Times New Roman" w:hAnsi="Times New Roman" w:cs="Times New Roman"/>
          <w:sz w:val="24"/>
          <w:szCs w:val="24"/>
        </w:rPr>
        <w:fldChar w:fldCharType="end"/>
      </w:r>
      <w:r w:rsidR="008F7CC0" w:rsidRPr="00B5005B">
        <w:rPr>
          <w:rFonts w:ascii="Times New Roman" w:hAnsi="Times New Roman" w:cs="Times New Roman"/>
          <w:sz w:val="24"/>
          <w:szCs w:val="24"/>
        </w:rPr>
        <w:t>.</w:t>
      </w:r>
    </w:p>
    <w:p w14:paraId="4E0F3EC4" w14:textId="3BC56D72" w:rsidR="002B7922" w:rsidRDefault="002B7922" w:rsidP="00B5005B">
      <w:pPr>
        <w:spacing w:line="360" w:lineRule="auto"/>
        <w:jc w:val="both"/>
        <w:rPr>
          <w:rFonts w:cstheme="minorHAnsi"/>
        </w:rPr>
      </w:pPr>
      <w:r w:rsidRPr="00B5005B">
        <w:rPr>
          <w:rFonts w:ascii="Times New Roman" w:hAnsi="Times New Roman" w:cs="Times New Roman"/>
          <w:sz w:val="24"/>
          <w:szCs w:val="24"/>
        </w:rPr>
        <w:t xml:space="preserve">Terroir : la </w:t>
      </w:r>
      <w:r w:rsidR="00BF32E4" w:rsidRPr="00B5005B">
        <w:rPr>
          <w:rFonts w:ascii="Times New Roman" w:hAnsi="Times New Roman" w:cs="Times New Roman"/>
          <w:sz w:val="24"/>
          <w:szCs w:val="24"/>
        </w:rPr>
        <w:t>charte Terroirs</w:t>
      </w:r>
      <w:r w:rsidRPr="00B5005B">
        <w:rPr>
          <w:rFonts w:ascii="Times New Roman" w:hAnsi="Times New Roman" w:cs="Times New Roman"/>
          <w:sz w:val="24"/>
          <w:szCs w:val="24"/>
        </w:rPr>
        <w:t xml:space="preserve"> &amp; Cultures, 2005 a abouti à la définition suivante : « Un terroir est un espace géographique délimité défini à partir d’une communauté humaine qui construit au cours de son histoire un ensemble de traits culturels distinctifs, de savoirs et de pratiques, fondés sur un système d’interactions entre le milieu naturel et les facteurs humains. Les savoir-faire </w:t>
      </w:r>
      <w:proofErr w:type="gramStart"/>
      <w:r w:rsidRPr="00B5005B">
        <w:rPr>
          <w:rFonts w:ascii="Times New Roman" w:hAnsi="Times New Roman" w:cs="Times New Roman"/>
          <w:sz w:val="24"/>
          <w:szCs w:val="24"/>
        </w:rPr>
        <w:t>mis</w:t>
      </w:r>
      <w:proofErr w:type="gramEnd"/>
      <w:r w:rsidRPr="00B5005B">
        <w:rPr>
          <w:rFonts w:ascii="Times New Roman" w:hAnsi="Times New Roman" w:cs="Times New Roman"/>
          <w:sz w:val="24"/>
          <w:szCs w:val="24"/>
        </w:rPr>
        <w:t xml:space="preserve"> en jeu révèlent une originalité, confèrent une typicité et permettent une reconnaissance pour les produits ou services originaires de cet espace et donc pour les hommes qui y vivent. Les terroirs sont des espaces vivants et innovants qui ne peuvent être assimilés à la seule tradition »</w:t>
      </w:r>
      <w:r w:rsidR="00BF32E4" w:rsidRPr="00B5005B">
        <w:rPr>
          <w:rFonts w:ascii="Times New Roman" w:hAnsi="Times New Roman" w:cs="Times New Roman"/>
          <w:sz w:val="24"/>
          <w:szCs w:val="24"/>
        </w:rPr>
        <w:t xml:space="preserve"> </w:t>
      </w:r>
      <w:r w:rsidR="00BF32E4" w:rsidRPr="00B5005B">
        <w:rPr>
          <w:rFonts w:ascii="Times New Roman" w:hAnsi="Times New Roman" w:cs="Times New Roman"/>
          <w:sz w:val="24"/>
          <w:szCs w:val="24"/>
        </w:rPr>
        <w:fldChar w:fldCharType="begin" w:fldLock="1"/>
      </w:r>
      <w:r w:rsidR="00C82407" w:rsidRPr="00B5005B">
        <w:rPr>
          <w:rFonts w:ascii="Times New Roman" w:hAnsi="Times New Roman" w:cs="Times New Roman"/>
          <w:sz w:val="24"/>
          <w:szCs w:val="24"/>
        </w:rPr>
        <w:instrText>ADDIN CSL_CITATION {"citationItems":[{"id":"ITEM-1","itemData":{"DOI":"10.4000/vertigo.14807","abstract":"Entre les usages professionnels et sociaux du mot terroir et les significations correspondantes, une grande diversité de représentations mentales du mot engendre une difficulté à le mobiliser chez les chercheurs et les formateurs. L’analyse transdisciplinaire proposée dans ce texte vise à mieux cerner sa compréhension et à identifier le potentiel de ce concept pour la recherche, le développement et la formation. Le concept de terroir a ainsi été caractérisé par une multiréférentialitée : d’une part un objet représentant un système productif et culturel local, d’autre part un projet d’une communauté dont les finalités et la dynamique sont empreints de subjectivité. Cette multiréférentialité donne au concept de terroir un potentiel pour (i) la médiation dans des projets de développement des territoires ruraux, et (ii) la formation interdisciplinaire des agronomes","author":[{"dropping-particle":"","family":"Prévost","given":"Philippe","non-dropping-particle":"","parse-names":false,"suffix":""},{"dropping-particle":"","family":"Capitaine","given":"Mathieu","non-dropping-particle":"","parse-names":false,"suffix":""},{"dropping-particle":"","family":"Gautier-Pelissier","given":"François","non-dropping-particle":"","parse-names":false,"suffix":""},{"dropping-particle":"","family":"Michelin","given":"Yves","non-dropping-particle":"","parse-names":false,"suffix":""},{"dropping-particle":"","family":"Jeanneaux","given":"Philippe","non-dropping-particle":"","parse-names":false,"suffix":""},{"dropping-particle":"","family":"Fort","given":"Fatiha","non-dropping-particle":"","parse-names":false,"suffix":""},{"dropping-particle":"","family":"Javelle","given":"Aurélie","non-dropping-particle":"","parse-names":false,"suffix":""},{"dropping-particle":"","family":"Moïti-Maïzi","given":"Pascale","non-dropping-particle":"","parse-names":false,"suffix":""},{"dropping-particle":"","family":"Lériche","given":"Françoise","non-dropping-particle":"","parse-names":false,"suffix":""},{"dropping-particle":"","family":"Brunschwig","given":"Gilles","non-dropping-particle":"","parse-names":false,"suffix":""},{"dropping-particle":"","family":"Fournier","given":"Stéphane","non-dropping-particle":"","parse-names":false,"suffix":""},{"dropping-particle":"","family":"Lapeyronie","given":"Paul","non-dropping-particle":"","parse-names":false,"suffix":""},{"dropping-particle":"","family":"Josien","given":"Étienne","non-dropping-particle":"","parse-names":false,"suffix":""}],"container-title":"VertigO","id":"ITEM-1","issue":"Volume 14 Numéro 1","issued":{"date-parts":[["2014"]]},"title":"Le terroir, un concept pour l’action dans le développement des territoires","type":"article-journal"},"uris":["http://www.mendeley.com/documents/?uuid=11254061-b271-4781-b597-1e9a9f2bd1b8"]}],"mendeley":{"formattedCitation":"(Prévost et al., 2014)","plainTextFormattedCitation":"(Prévost et al., 2014)","previouslyFormattedCitation":"(Prévost et al., 2014)"},"properties":{"noteIndex":0},"schema":"https://github.com/citation-style-language/schema/raw/master/csl-citation.json"}</w:instrText>
      </w:r>
      <w:r w:rsidR="00BF32E4" w:rsidRPr="00B5005B">
        <w:rPr>
          <w:rFonts w:ascii="Times New Roman" w:hAnsi="Times New Roman" w:cs="Times New Roman"/>
          <w:sz w:val="24"/>
          <w:szCs w:val="24"/>
        </w:rPr>
        <w:fldChar w:fldCharType="separate"/>
      </w:r>
      <w:r w:rsidR="00BF32E4" w:rsidRPr="00B5005B">
        <w:rPr>
          <w:rFonts w:ascii="Times New Roman" w:hAnsi="Times New Roman" w:cs="Times New Roman"/>
          <w:noProof/>
          <w:sz w:val="24"/>
          <w:szCs w:val="24"/>
        </w:rPr>
        <w:t>(Prévost et al., 2014)</w:t>
      </w:r>
      <w:r w:rsidR="00BF32E4" w:rsidRPr="00B5005B">
        <w:rPr>
          <w:rFonts w:ascii="Times New Roman" w:hAnsi="Times New Roman" w:cs="Times New Roman"/>
          <w:sz w:val="24"/>
          <w:szCs w:val="24"/>
        </w:rPr>
        <w:fldChar w:fldCharType="end"/>
      </w:r>
      <w:r w:rsidRPr="00B5005B">
        <w:rPr>
          <w:rFonts w:ascii="Times New Roman" w:hAnsi="Times New Roman" w:cs="Times New Roman"/>
          <w:sz w:val="24"/>
          <w:szCs w:val="24"/>
        </w:rPr>
        <w:t>.</w:t>
      </w:r>
    </w:p>
    <w:bookmarkEnd w:id="0"/>
    <w:p w14:paraId="7A4A8624" w14:textId="77777777" w:rsidR="00323E3C" w:rsidRPr="00C300A6" w:rsidRDefault="00323E3C" w:rsidP="001173CB">
      <w:pPr>
        <w:spacing w:line="240" w:lineRule="auto"/>
        <w:jc w:val="both"/>
        <w:rPr>
          <w:rFonts w:cstheme="minorHAnsi"/>
        </w:rPr>
      </w:pPr>
    </w:p>
    <w:p w14:paraId="4154AE74" w14:textId="7BB384FC" w:rsidR="00C300A6" w:rsidRDefault="00C300A6" w:rsidP="001173CB">
      <w:pPr>
        <w:spacing w:line="240" w:lineRule="auto"/>
        <w:jc w:val="both"/>
        <w:rPr>
          <w:rFonts w:cstheme="minorHAnsi"/>
        </w:rPr>
      </w:pPr>
    </w:p>
    <w:p w14:paraId="54AFC2AC" w14:textId="6337198D" w:rsidR="00C300A6" w:rsidRDefault="00C300A6" w:rsidP="001173CB">
      <w:pPr>
        <w:jc w:val="both"/>
      </w:pPr>
    </w:p>
    <w:sectPr w:rsidR="00C300A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CEE66" w14:textId="77777777" w:rsidR="00482034" w:rsidRDefault="00482034" w:rsidP="00DD1C97">
      <w:pPr>
        <w:spacing w:after="0" w:line="240" w:lineRule="auto"/>
      </w:pPr>
      <w:r>
        <w:separator/>
      </w:r>
    </w:p>
  </w:endnote>
  <w:endnote w:type="continuationSeparator" w:id="0">
    <w:p w14:paraId="560BDA58" w14:textId="77777777" w:rsidR="00482034" w:rsidRDefault="00482034" w:rsidP="00DD1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6EDBC" w14:textId="77777777" w:rsidR="00482034" w:rsidRDefault="00482034" w:rsidP="00DD1C97">
      <w:pPr>
        <w:spacing w:after="0" w:line="240" w:lineRule="auto"/>
      </w:pPr>
      <w:r>
        <w:separator/>
      </w:r>
    </w:p>
  </w:footnote>
  <w:footnote w:type="continuationSeparator" w:id="0">
    <w:p w14:paraId="43AE7CC5" w14:textId="77777777" w:rsidR="00482034" w:rsidRDefault="00482034" w:rsidP="00DD1C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A6"/>
    <w:rsid w:val="001173CB"/>
    <w:rsid w:val="00215527"/>
    <w:rsid w:val="002B7922"/>
    <w:rsid w:val="00323E3C"/>
    <w:rsid w:val="00482034"/>
    <w:rsid w:val="005047C7"/>
    <w:rsid w:val="0054745A"/>
    <w:rsid w:val="00563D1A"/>
    <w:rsid w:val="005801DF"/>
    <w:rsid w:val="006B2E0B"/>
    <w:rsid w:val="007242D2"/>
    <w:rsid w:val="00891FCC"/>
    <w:rsid w:val="008F7CC0"/>
    <w:rsid w:val="00921BE7"/>
    <w:rsid w:val="00997B10"/>
    <w:rsid w:val="009A2708"/>
    <w:rsid w:val="009A61BE"/>
    <w:rsid w:val="00A8094D"/>
    <w:rsid w:val="00B12661"/>
    <w:rsid w:val="00B5005B"/>
    <w:rsid w:val="00BC51CE"/>
    <w:rsid w:val="00BD5D6B"/>
    <w:rsid w:val="00BF32E4"/>
    <w:rsid w:val="00C300A6"/>
    <w:rsid w:val="00C82407"/>
    <w:rsid w:val="00DD1C97"/>
    <w:rsid w:val="00F55520"/>
    <w:rsid w:val="00FC6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2928B"/>
  <w15:chartTrackingRefBased/>
  <w15:docId w15:val="{BEC0FA9A-FED4-430B-89FA-0A856CD1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00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00A6"/>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DD1C97"/>
    <w:pPr>
      <w:tabs>
        <w:tab w:val="center" w:pos="4536"/>
        <w:tab w:val="right" w:pos="9072"/>
      </w:tabs>
      <w:spacing w:after="0" w:line="240" w:lineRule="auto"/>
    </w:pPr>
  </w:style>
  <w:style w:type="character" w:customStyle="1" w:styleId="En-tteCar">
    <w:name w:val="En-tête Car"/>
    <w:basedOn w:val="Policepardfaut"/>
    <w:link w:val="En-tte"/>
    <w:uiPriority w:val="99"/>
    <w:rsid w:val="00DD1C97"/>
  </w:style>
  <w:style w:type="paragraph" w:styleId="Pieddepage">
    <w:name w:val="footer"/>
    <w:basedOn w:val="Normal"/>
    <w:link w:val="PieddepageCar"/>
    <w:uiPriority w:val="99"/>
    <w:unhideWhenUsed/>
    <w:rsid w:val="00DD1C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1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344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1DDB6-1E84-4D76-9849-7A6EFE9E2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Pages>
  <Words>4962</Words>
  <Characters>27295</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Seybou</dc:creator>
  <cp:keywords/>
  <dc:description/>
  <cp:lastModifiedBy>Hamza Seybou</cp:lastModifiedBy>
  <cp:revision>9</cp:revision>
  <dcterms:created xsi:type="dcterms:W3CDTF">2024-10-28T10:56:00Z</dcterms:created>
  <dcterms:modified xsi:type="dcterms:W3CDTF">2024-11-25T13:13:00Z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