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80479" w14:textId="072AC02F" w:rsidR="00A8094D" w:rsidRDefault="00E97E17" w:rsidP="00E97E17">
      <w:pPr>
        <w:pStyle w:val="Titre1"/>
      </w:pPr>
      <w:r>
        <w:t>Discussion</w:t>
      </w:r>
    </w:p>
    <w:p w14:paraId="5DA6D3F4" w14:textId="7BA79F49"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Cette étude met en avant l'importance de l'agriculture familiale dans deux terroirs au Niger, reflet de l'agriculture nationale. Les superficies cultivées par les agriculteurs sont petites, ce qui s'explique par le manque de terres agricoles disponibles en raison de faibles revenus et d'équipements de production rudimentaires</w:t>
      </w:r>
      <w:r w:rsidR="00DE3FE2">
        <w:rPr>
          <w:rFonts w:ascii="Times New Roman" w:hAnsi="Times New Roman" w:cs="Times New Roman"/>
          <w:sz w:val="24"/>
          <w:szCs w:val="24"/>
        </w:rPr>
        <w:t xml:space="preserve"> </w:t>
      </w:r>
      <w:r w:rsidR="00DE3FE2">
        <w:rPr>
          <w:rFonts w:ascii="Times New Roman" w:hAnsi="Times New Roman" w:cs="Times New Roman"/>
          <w:sz w:val="24"/>
          <w:szCs w:val="24"/>
        </w:rPr>
        <w:fldChar w:fldCharType="begin" w:fldLock="1"/>
      </w:r>
      <w:r w:rsidR="00007FED">
        <w:rPr>
          <w:rFonts w:ascii="Times New Roman" w:hAnsi="Times New Roman" w:cs="Times New Roman"/>
          <w:sz w:val="24"/>
          <w:szCs w:val="24"/>
        </w:rPr>
        <w:instrText>ADDIN CSL_CITATION {"citationItems":[{"id":"ITEM-1","itemData":{"author":[{"dropping-particle":"","family":"Rabe","given":"Mahamane Moctar","non-dropping-particle":"","parse-names":false,"suffix":""},{"dropping-particle":"","family":"Ibrahim","given":"Baoua","non-dropping-particle":"","parse-names":false,"suffix":""},{"dropping-particle":"","family":"Lawali","given":"Sitou","non-dropping-particle":"","parse-names":false,"suffix":""}],"container-title":"Rev. Mar. Sci. Agron. Vét.","id":"ITEM-1","issue":"2","issued":{"date-parts":[["2022"]]},"page":"8","title":"Caractérisation et typologie des exploitations agricoles dans le Sud-Est du Niger","type":"article-journal","volume":"10"},"uris":["http://www.mendeley.com/documents/?uuid=a40cf213-2925-4132-a414-96fa5191c25f"]}],"mendeley":{"formattedCitation":"(Rabe et al., 2022)","plainTextFormattedCitation":"(Rabe et al., 2022)","previouslyFormattedCitation":"(Rabe et al., 2022)"},"properties":{"noteIndex":0},"schema":"https://github.com/citation-style-language/schema/raw/master/csl-citation.json"}</w:instrText>
      </w:r>
      <w:r w:rsidR="00DE3FE2">
        <w:rPr>
          <w:rFonts w:ascii="Times New Roman" w:hAnsi="Times New Roman" w:cs="Times New Roman"/>
          <w:sz w:val="24"/>
          <w:szCs w:val="24"/>
        </w:rPr>
        <w:fldChar w:fldCharType="separate"/>
      </w:r>
      <w:r w:rsidR="00DE3FE2" w:rsidRPr="00DE3FE2">
        <w:rPr>
          <w:rFonts w:ascii="Times New Roman" w:hAnsi="Times New Roman" w:cs="Times New Roman"/>
          <w:noProof/>
          <w:sz w:val="24"/>
          <w:szCs w:val="24"/>
        </w:rPr>
        <w:t>(Rabe et al., 2022)</w:t>
      </w:r>
      <w:r w:rsidR="00DE3FE2">
        <w:rPr>
          <w:rFonts w:ascii="Times New Roman" w:hAnsi="Times New Roman" w:cs="Times New Roman"/>
          <w:sz w:val="24"/>
          <w:szCs w:val="24"/>
        </w:rPr>
        <w:fldChar w:fldCharType="end"/>
      </w:r>
      <w:r w:rsidRPr="00D40A79">
        <w:rPr>
          <w:rFonts w:ascii="Times New Roman" w:hAnsi="Times New Roman" w:cs="Times New Roman"/>
          <w:sz w:val="24"/>
          <w:szCs w:val="24"/>
        </w:rPr>
        <w:t xml:space="preserve">. On note que 80 à 85% des terres cultivables sont dunaires et seulement 15 à 20% sont des sols hydromorphes moyennement argileux </w:t>
      </w:r>
      <w:r w:rsidR="000E109E">
        <w:rPr>
          <w:rFonts w:ascii="Times New Roman" w:hAnsi="Times New Roman" w:cs="Times New Roman"/>
          <w:sz w:val="24"/>
          <w:szCs w:val="24"/>
        </w:rPr>
        <w:fldChar w:fldCharType="begin" w:fldLock="1"/>
      </w:r>
      <w:r w:rsidR="00452AA4">
        <w:rPr>
          <w:rFonts w:ascii="Times New Roman" w:hAnsi="Times New Roman" w:cs="Times New Roman"/>
          <w:sz w:val="24"/>
          <w:szCs w:val="24"/>
        </w:rPr>
        <w:instrText>ADDIN CSL_CITATION {"citationItems":[{"id":"ITEM-1","itemData":{"author":[{"dropping-particle":"","family":"Soutet Olivier. J.-L de Boissieu","given":"A.-M. Garagnon","non-dropping-particle":"","parse-names":false,"suffix":""}],"id":"ITEM-1","issued":{"date-parts":[["2024"]]},"title":"Commentaires stylistiques, Paris, SEDES, 1987. In: L'Information Grammaticale, N. 39, 1988. pp. 48-1","type":"thesis"},"uris":["http://www.mendeley.com/documents/?uuid=870765fb-691c-4ccc-bfc4-d3f4be098165"]}],"mendeley":{"formattedCitation":"(Soutet Olivier. J.-L de Boissieu, 2024)","plainTextFormattedCitation":"(Soutet Olivier. J.-L de Boissieu, 2024)","previouslyFormattedCitation":"(Soutet Olivier. J.-L de Boissieu, 2024)"},"properties":{"noteIndex":0},"schema":"https://github.com/citation-style-language/schema/raw/master/csl-citation.json"}</w:instrText>
      </w:r>
      <w:r w:rsidR="000E109E">
        <w:rPr>
          <w:rFonts w:ascii="Times New Roman" w:hAnsi="Times New Roman" w:cs="Times New Roman"/>
          <w:sz w:val="24"/>
          <w:szCs w:val="24"/>
        </w:rPr>
        <w:fldChar w:fldCharType="separate"/>
      </w:r>
      <w:r w:rsidR="00296120" w:rsidRPr="00296120">
        <w:rPr>
          <w:rFonts w:ascii="Times New Roman" w:hAnsi="Times New Roman" w:cs="Times New Roman"/>
          <w:noProof/>
          <w:sz w:val="24"/>
          <w:szCs w:val="24"/>
        </w:rPr>
        <w:t>(Soutet Olivier. J.-L de Boissieu, 2024)</w:t>
      </w:r>
      <w:r w:rsidR="000E109E">
        <w:rPr>
          <w:rFonts w:ascii="Times New Roman" w:hAnsi="Times New Roman" w:cs="Times New Roman"/>
          <w:sz w:val="24"/>
          <w:szCs w:val="24"/>
        </w:rPr>
        <w:fldChar w:fldCharType="end"/>
      </w:r>
      <w:r w:rsidRPr="00D40A79">
        <w:rPr>
          <w:rFonts w:ascii="Times New Roman" w:hAnsi="Times New Roman" w:cs="Times New Roman"/>
          <w:sz w:val="24"/>
          <w:szCs w:val="24"/>
        </w:rPr>
        <w:t>. Cela justifie l'usage majoritaire de petits outils traditionnels (daba, houe, hilaire, etc.) dans les pratiques agricoles. De plus, l'équipement en matériel agricole reflète le niveau de richesse des familles, la plupart des exploitations étudiées étant pauvres (82%)</w:t>
      </w:r>
      <w:r w:rsidR="00007FED">
        <w:rPr>
          <w:rFonts w:ascii="Times New Roman" w:hAnsi="Times New Roman" w:cs="Times New Roman"/>
          <w:sz w:val="24"/>
          <w:szCs w:val="24"/>
        </w:rPr>
        <w:t xml:space="preserve"> </w:t>
      </w:r>
      <w:r w:rsidR="00007FED">
        <w:rPr>
          <w:rFonts w:ascii="Times New Roman" w:hAnsi="Times New Roman" w:cs="Times New Roman"/>
          <w:sz w:val="24"/>
          <w:szCs w:val="24"/>
        </w:rPr>
        <w:fldChar w:fldCharType="begin" w:fldLock="1"/>
      </w:r>
      <w:r w:rsidR="00007FED">
        <w:rPr>
          <w:rFonts w:ascii="Times New Roman" w:hAnsi="Times New Roman" w:cs="Times New Roman"/>
          <w:sz w:val="24"/>
          <w:szCs w:val="24"/>
        </w:rPr>
        <w:instrText>ADDIN CSL_CITATION {"citationItems":[{"id":"ITEM-1","itemData":{"author":[{"dropping-particle":"","family":"Rabe","given":"Mahamane Moctar","non-dropping-particle":"","parse-names":false,"suffix":""},{"dropping-particle":"","family":"Ibrahim","given":"Baoua","non-dropping-particle":"","parse-names":false,"suffix":""},{"dropping-particle":"","family":"Lawali","given":"Sitou","non-dropping-particle":"","parse-names":false,"suffix":""}],"container-title":"Rev. Mar. Sci. Agron. Vét.","id":"ITEM-1","issue":"2","issued":{"date-parts":[["2022"]]},"page":"8","title":"Caractérisation et typologie des exploitations agricoles dans le Sud-Est du Niger","type":"article-journal","volume":"10"},"uris":["http://www.mendeley.com/documents/?uuid=a40cf213-2925-4132-a414-96fa5191c25f"]}],"mendeley":{"formattedCitation":"(Rabe et al., 2022)","plainTextFormattedCitation":"(Rabe et al., 2022)","previouslyFormattedCitation":"(Rabe et al., 2022)"},"properties":{"noteIndex":0},"schema":"https://github.com/citation-style-language/schema/raw/master/csl-citation.json"}</w:instrText>
      </w:r>
      <w:r w:rsidR="00007FED">
        <w:rPr>
          <w:rFonts w:ascii="Times New Roman" w:hAnsi="Times New Roman" w:cs="Times New Roman"/>
          <w:sz w:val="24"/>
          <w:szCs w:val="24"/>
        </w:rPr>
        <w:fldChar w:fldCharType="separate"/>
      </w:r>
      <w:r w:rsidR="00007FED" w:rsidRPr="00007FED">
        <w:rPr>
          <w:rFonts w:ascii="Times New Roman" w:hAnsi="Times New Roman" w:cs="Times New Roman"/>
          <w:noProof/>
          <w:sz w:val="24"/>
          <w:szCs w:val="24"/>
        </w:rPr>
        <w:t>(Rabe et al., 2022)</w:t>
      </w:r>
      <w:r w:rsidR="00007FED">
        <w:rPr>
          <w:rFonts w:ascii="Times New Roman" w:hAnsi="Times New Roman" w:cs="Times New Roman"/>
          <w:sz w:val="24"/>
          <w:szCs w:val="24"/>
        </w:rPr>
        <w:fldChar w:fldCharType="end"/>
      </w:r>
      <w:r w:rsidRPr="00D40A79">
        <w:rPr>
          <w:rFonts w:ascii="Times New Roman" w:hAnsi="Times New Roman" w:cs="Times New Roman"/>
          <w:sz w:val="24"/>
          <w:szCs w:val="24"/>
        </w:rPr>
        <w:t>.</w:t>
      </w:r>
    </w:p>
    <w:p w14:paraId="7A3B49C6" w14:textId="76475CB4"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Cette étude analyse les compromis entre fertilité et productivité dans les options agroécologiques, en se focalisant sur les objectifs et stratégies des agriculteurs. Les compromis sont cruciaux pour l'agriculture durable en raison des utilisations concurrentes des terres, des ressources limitées et des objectifs conflictuels entre les parties prenantes</w:t>
      </w:r>
      <w:r w:rsidR="00DA54EB">
        <w:rPr>
          <w:rFonts w:ascii="Times New Roman" w:hAnsi="Times New Roman" w:cs="Times New Roman"/>
          <w:sz w:val="24"/>
          <w:szCs w:val="24"/>
        </w:rPr>
        <w:t xml:space="preserve"> </w:t>
      </w:r>
      <w:r w:rsidR="00DA54EB">
        <w:rPr>
          <w:rFonts w:ascii="Times New Roman" w:hAnsi="Times New Roman" w:cs="Times New Roman"/>
          <w:sz w:val="24"/>
          <w:szCs w:val="24"/>
        </w:rPr>
        <w:fldChar w:fldCharType="begin" w:fldLock="1"/>
      </w:r>
      <w:r w:rsidR="006E3221">
        <w:rPr>
          <w:rFonts w:ascii="Times New Roman" w:hAnsi="Times New Roman" w:cs="Times New Roman"/>
          <w:sz w:val="24"/>
          <w:szCs w:val="24"/>
        </w:rPr>
        <w:instrText>ADDIN CSL_CITATION {"citationItems":[{"id":"ITEM-1","itemData":{"DOI":"10.1080/14735903.2020.1786947","ISSN":"1747762X","abstract":"Meeting multiple, often competing objectives when seeking to sustainably intensify their agricultural operations is a constant challenge for smallholder farmers in Sub-Saharan Africa. Trade-offs between social, economic and environmental goals at different time and spatial scales need to be reconciled, making best use of scarce resources. This study explored how different types of farm households in Northwest Ghana, Eastern Burkina Faso and Central Malawi make choices about resource allocation and farming strategies, and how they manage the trade-offs encountered. It used both quantitative (questionnaire survey) and qualitative (household case studies) methods to identify trade-offs experienced by farmers and to analyse trade-off management strategies used by them. The 10 main trade-offs identified across the 3 countries occurred across sustainability domains, across time, across spatial scales, across types of farmers or a combination of these. Famers were disincentivized from prioritizing long-term sustainability in their farming operation by resource constraints to meet multiple farming and livelihood objectives, mainstream agricultural policies encouraging short-term productivity gains and adoption-focused interventions, which disregard the diversity of farming households.","author":[{"dropping-particle":"","family":"Adolph","given":"Barbara","non-dropping-particle":"","parse-names":false,"suffix":""},{"dropping-particle":"","family":"Allen","given":"Mary","non-dropping-particle":"","parse-names":false,"suffix":""},{"dropping-particle":"","family":"Beyuo","given":"Evans","non-dropping-particle":"","parse-names":false,"suffix":""},{"dropping-particle":"","family":"Banuoku","given":"Daniel","non-dropping-particle":"","parse-names":false,"suffix":""},{"dropping-particle":"","family":"Barrett","given":"Sam","non-dropping-particle":"","parse-names":false,"suffix":""},{"dropping-particle":"","family":"Bourgou","given":"Tsuamba","non-dropping-particle":"","parse-names":false,"suffix":""},{"dropping-particle":"","family":"Bwanausi","given":"Ndapile","non-dropping-particle":"","parse-names":false,"suffix":""},{"dropping-particle":"","family":"Dakyaga","given":"Francis","non-dropping-particle":"","parse-names":false,"suffix":""},{"dropping-particle":"","family":"Derbile","given":"Emmanuel K.","non-dropping-particle":"","parse-names":false,"suffix":""},{"dropping-particle":"","family":"Gubbels","given":"Peter","non-dropping-particle":"","parse-names":false,"suffix":""},{"dropping-particle":"","family":"Hié","given":"Batchéné","non-dropping-particle":"","parse-names":false,"suffix":""},{"dropping-particle":"","family":"Kachamba","given":"Chancy","non-dropping-particle":"","parse-names":false,"suffix":""},{"dropping-particle":"","family":"Naazie","given":"Godwin Kumpong","non-dropping-particle":"","parse-names":false,"suffix":""},{"dropping-particle":"","family":"Niber","given":"Ebenezer Betiera","non-dropping-particle":"","parse-names":false,"suffix":""},{"dropping-particle":"","family":"Nyirengo","given":"Isaac","non-dropping-particle":"","parse-names":false,"suffix":""},{"dropping-particle":"","family":"Tampulu","given":"Samuel Faamuo","non-dropping-particle":"","parse-names":false,"suffix":""},{"dropping-particle":"","family":"Zongo","given":"Alex Fabrice","non-dropping-particle":"","parse-names":false,"suffix":""}],"container-title":"International Journal of Agricultural Sustainability","id":"ITEM-1","issued":{"date-parts":[["2020"]]},"page":"1-18","publisher":"Taylor &amp; Francis","title":"Supporting smallholders’ decision making: managing trade-offs and synergies for sustainable agricultural intensification","type":"article-journal"},"uris":["http://www.mendeley.com/documents/?uuid=dc4e9f11-59f5-454e-b993-f344f107e36a"]}],"mendeley":{"formattedCitation":"(Adolph et al., 2020)","plainTextFormattedCitation":"(Adolph et al., 2020)","previouslyFormattedCitation":"(Adolph et al., 2020)"},"properties":{"noteIndex":0},"schema":"https://github.com/citation-style-language/schema/raw/master/csl-citation.json"}</w:instrText>
      </w:r>
      <w:r w:rsidR="00DA54EB">
        <w:rPr>
          <w:rFonts w:ascii="Times New Roman" w:hAnsi="Times New Roman" w:cs="Times New Roman"/>
          <w:sz w:val="24"/>
          <w:szCs w:val="24"/>
        </w:rPr>
        <w:fldChar w:fldCharType="separate"/>
      </w:r>
      <w:r w:rsidR="00DA54EB" w:rsidRPr="00DA54EB">
        <w:rPr>
          <w:rFonts w:ascii="Times New Roman" w:hAnsi="Times New Roman" w:cs="Times New Roman"/>
          <w:noProof/>
          <w:sz w:val="24"/>
          <w:szCs w:val="24"/>
        </w:rPr>
        <w:t>(Adolph et al., 2020)</w:t>
      </w:r>
      <w:r w:rsidR="00DA54EB">
        <w:rPr>
          <w:rFonts w:ascii="Times New Roman" w:hAnsi="Times New Roman" w:cs="Times New Roman"/>
          <w:sz w:val="24"/>
          <w:szCs w:val="24"/>
        </w:rPr>
        <w:fldChar w:fldCharType="end"/>
      </w:r>
      <w:r w:rsidRPr="00D40A79">
        <w:rPr>
          <w:rFonts w:ascii="Times New Roman" w:hAnsi="Times New Roman" w:cs="Times New Roman"/>
          <w:sz w:val="24"/>
          <w:szCs w:val="24"/>
        </w:rPr>
        <w:t xml:space="preserve">. Dans les deux terroirs étudiés, le fumier et le paillage sont des pratiques qui équilibrent la production agricole et la fertilité. En revanche, le compost offre des avantages synergétiques pour plusieurs services. Ces résultats concordent avec ceux de </w:t>
      </w:r>
      <w:r w:rsidR="00007FED">
        <w:rPr>
          <w:rFonts w:ascii="Times New Roman" w:hAnsi="Times New Roman" w:cs="Times New Roman"/>
          <w:sz w:val="24"/>
          <w:szCs w:val="24"/>
        </w:rPr>
        <w:fldChar w:fldCharType="begin" w:fldLock="1"/>
      </w:r>
      <w:r w:rsidR="00DA54EB">
        <w:rPr>
          <w:rFonts w:ascii="Times New Roman" w:hAnsi="Times New Roman" w:cs="Times New Roman"/>
          <w:sz w:val="24"/>
          <w:szCs w:val="24"/>
        </w:rPr>
        <w:instrText>ADDIN CSL_CITATION {"citationItems":[{"id":"ITEM-1","itemData":{"DOI":"10.2139/ssrn.3906994","author":[{"dropping-particle":"","family":"Musumba","given":"Mark","non-dropping-particle":"","parse-names":false,"suffix":""},{"dropping-particle":"","family":"Grabowski","given":"Philip","non-dropping-particle":"","parse-names":false,"suffix":""},{"dropping-particle":"","family":"Palm","given":"Cheryl","non-dropping-particle":"","parse-names":false,"suffix":""},{"dropping-particle":"","family":"Snapp","given":"Sieglinde","non-dropping-particle":"","parse-names":false,"suffix":""}],"container-title":"SSRN Electronic Journal","id":"ITEM-1","issue":"October","issued":{"date-parts":[["2017"]]},"page":"43","title":"Guide for the Sustainable Intensification Assessment Framework","type":"article-journal"},"uris":["http://www.mendeley.com/documents/?uuid=c33dd728-d697-45ee-b220-56b62f7043cb"]}],"mendeley":{"formattedCitation":"(Musumba et al., 2017)","manualFormatting":"Musumba et al., (2017)","plainTextFormattedCitation":"(Musumba et al., 2017)","previouslyFormattedCitation":"(Musumba et al., 2017)"},"properties":{"noteIndex":0},"schema":"https://github.com/citation-style-language/schema/raw/master/csl-citation.json"}</w:instrText>
      </w:r>
      <w:r w:rsidR="00007FED">
        <w:rPr>
          <w:rFonts w:ascii="Times New Roman" w:hAnsi="Times New Roman" w:cs="Times New Roman"/>
          <w:sz w:val="24"/>
          <w:szCs w:val="24"/>
        </w:rPr>
        <w:fldChar w:fldCharType="separate"/>
      </w:r>
      <w:r w:rsidR="00007FED" w:rsidRPr="00007FED">
        <w:rPr>
          <w:rFonts w:ascii="Times New Roman" w:hAnsi="Times New Roman" w:cs="Times New Roman"/>
          <w:noProof/>
          <w:sz w:val="24"/>
          <w:szCs w:val="24"/>
        </w:rPr>
        <w:t xml:space="preserve">Musumba et al., </w:t>
      </w:r>
      <w:r w:rsidR="00007FED">
        <w:rPr>
          <w:rFonts w:ascii="Times New Roman" w:hAnsi="Times New Roman" w:cs="Times New Roman"/>
          <w:noProof/>
          <w:sz w:val="24"/>
          <w:szCs w:val="24"/>
        </w:rPr>
        <w:t>(</w:t>
      </w:r>
      <w:r w:rsidR="00007FED" w:rsidRPr="00007FED">
        <w:rPr>
          <w:rFonts w:ascii="Times New Roman" w:hAnsi="Times New Roman" w:cs="Times New Roman"/>
          <w:noProof/>
          <w:sz w:val="24"/>
          <w:szCs w:val="24"/>
        </w:rPr>
        <w:t>2017)</w:t>
      </w:r>
      <w:r w:rsidR="00007FED">
        <w:rPr>
          <w:rFonts w:ascii="Times New Roman" w:hAnsi="Times New Roman" w:cs="Times New Roman"/>
          <w:sz w:val="24"/>
          <w:szCs w:val="24"/>
        </w:rPr>
        <w:fldChar w:fldCharType="end"/>
      </w:r>
      <w:r w:rsidR="00007FED">
        <w:rPr>
          <w:rFonts w:ascii="Times New Roman" w:hAnsi="Times New Roman" w:cs="Times New Roman"/>
          <w:sz w:val="24"/>
          <w:szCs w:val="24"/>
        </w:rPr>
        <w:t xml:space="preserve"> </w:t>
      </w:r>
      <w:r w:rsidRPr="00D40A79">
        <w:rPr>
          <w:rFonts w:ascii="Times New Roman" w:hAnsi="Times New Roman" w:cs="Times New Roman"/>
          <w:sz w:val="24"/>
          <w:szCs w:val="24"/>
        </w:rPr>
        <w:t xml:space="preserve">et </w:t>
      </w:r>
      <w:r w:rsidR="00DA54EB">
        <w:rPr>
          <w:rFonts w:ascii="Times New Roman" w:hAnsi="Times New Roman" w:cs="Times New Roman"/>
          <w:sz w:val="24"/>
          <w:szCs w:val="24"/>
        </w:rPr>
        <w:fldChar w:fldCharType="begin" w:fldLock="1"/>
      </w:r>
      <w:r w:rsidR="00DA54EB">
        <w:rPr>
          <w:rFonts w:ascii="Times New Roman" w:hAnsi="Times New Roman" w:cs="Times New Roman"/>
          <w:sz w:val="24"/>
          <w:szCs w:val="24"/>
        </w:rPr>
        <w:instrText>ADDIN CSL_CITATION {"citationItems":[{"id":"ITEM-1","itemData":{"ISBN":"9781784318208","author":[{"dropping-particle":"","family":"Zongo","given":"W C Alex-fabrice","non-dropping-particle":"","parse-names":false,"suffix":""},{"dropping-particle":"","family":"Allen","given":"Mary","non-dropping-particle":"","parse-names":false,"suffix":""},{"dropping-particle":"","family":"Batchéné","given":"Hié","non-dropping-particle":"","parse-names":false,"suffix":""},{"dropping-particle":"","family":"Bourgou","given":"Tsuamba","non-dropping-particle":"","parse-names":false,"suffix":""},{"dropping-particle":"","family":"Sigué","given":"Hamadé","non-dropping-particle":"","parse-names":false,"suffix":""}],"id":"ITEM-1","issued":{"date-parts":[["2020"]]},"number-of-pages":"60","publisher-place":"Burkina Faso","title":"Compromis dans l ’ intensification durable de l ’ agriculture : Études de cas dans deux villages du Burkina Faso","type":"report"},"uris":["http://www.mendeley.com/documents/?uuid=70127ab1-d04c-4386-a43a-88b89795903a"]}],"mendeley":{"formattedCitation":"(Zongo et al., 2020)","manualFormatting":"Zongo et al., (2020)","plainTextFormattedCitation":"(Zongo et al., 2020)","previouslyFormattedCitation":"(Zongo et al., 2020)"},"properties":{"noteIndex":0},"schema":"https://github.com/citation-style-language/schema/raw/master/csl-citation.json"}</w:instrText>
      </w:r>
      <w:r w:rsidR="00DA54EB">
        <w:rPr>
          <w:rFonts w:ascii="Times New Roman" w:hAnsi="Times New Roman" w:cs="Times New Roman"/>
          <w:sz w:val="24"/>
          <w:szCs w:val="24"/>
        </w:rPr>
        <w:fldChar w:fldCharType="separate"/>
      </w:r>
      <w:r w:rsidR="00DA54EB" w:rsidRPr="00DA54EB">
        <w:rPr>
          <w:rFonts w:ascii="Times New Roman" w:hAnsi="Times New Roman" w:cs="Times New Roman"/>
          <w:noProof/>
          <w:sz w:val="24"/>
          <w:szCs w:val="24"/>
        </w:rPr>
        <w:t xml:space="preserve">Zongo et al., </w:t>
      </w:r>
      <w:r w:rsidR="00DA54EB">
        <w:rPr>
          <w:rFonts w:ascii="Times New Roman" w:hAnsi="Times New Roman" w:cs="Times New Roman"/>
          <w:noProof/>
          <w:sz w:val="24"/>
          <w:szCs w:val="24"/>
        </w:rPr>
        <w:t>(</w:t>
      </w:r>
      <w:r w:rsidR="00DA54EB" w:rsidRPr="00DA54EB">
        <w:rPr>
          <w:rFonts w:ascii="Times New Roman" w:hAnsi="Times New Roman" w:cs="Times New Roman"/>
          <w:noProof/>
          <w:sz w:val="24"/>
          <w:szCs w:val="24"/>
        </w:rPr>
        <w:t>2020)</w:t>
      </w:r>
      <w:r w:rsidR="00DA54EB">
        <w:rPr>
          <w:rFonts w:ascii="Times New Roman" w:hAnsi="Times New Roman" w:cs="Times New Roman"/>
          <w:sz w:val="24"/>
          <w:szCs w:val="24"/>
        </w:rPr>
        <w:fldChar w:fldCharType="end"/>
      </w:r>
      <w:r w:rsidR="00DA54EB">
        <w:rPr>
          <w:rFonts w:ascii="Times New Roman" w:hAnsi="Times New Roman" w:cs="Times New Roman"/>
          <w:sz w:val="24"/>
          <w:szCs w:val="24"/>
        </w:rPr>
        <w:t xml:space="preserve"> </w:t>
      </w:r>
      <w:r w:rsidRPr="00D40A79">
        <w:rPr>
          <w:rFonts w:ascii="Times New Roman" w:hAnsi="Times New Roman" w:cs="Times New Roman"/>
          <w:sz w:val="24"/>
          <w:szCs w:val="24"/>
        </w:rPr>
        <w:t>au Burkina Faso, qui ont démontré que le paillage est un bon compromis entre productivité, fertilité et alimentation animale.</w:t>
      </w:r>
    </w:p>
    <w:p w14:paraId="22812B6C" w14:textId="5413ED94"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L'inventaire floristique des deux terroirs a recensé treize espèces réparties en dix familles, parmi lesquelles les Caesalpiniaceae (53%) et les Combretaceae (25,32%) sont les plus représentées. Les autres familles, dont les Anacardiaceae, Arecaceae, Bombacaceae, Ebenaceae, Fabaceae, Meliaceae, Rhamnaceae et Zygophyllaceae, composent 21,68% des espèces identifiées. Ces résultats sont en accord avec ceux d</w:t>
      </w:r>
      <w:r w:rsidR="006E3221">
        <w:rPr>
          <w:rFonts w:ascii="Times New Roman" w:hAnsi="Times New Roman" w:cs="Times New Roman"/>
          <w:sz w:val="24"/>
          <w:szCs w:val="24"/>
        </w:rPr>
        <w:t xml:space="preserve">e </w:t>
      </w:r>
      <w:r w:rsidR="006E3221">
        <w:rPr>
          <w:rFonts w:ascii="Times New Roman" w:hAnsi="Times New Roman" w:cs="Times New Roman"/>
          <w:sz w:val="24"/>
          <w:szCs w:val="24"/>
        </w:rPr>
        <w:fldChar w:fldCharType="begin" w:fldLock="1"/>
      </w:r>
      <w:r w:rsidR="000E109E">
        <w:rPr>
          <w:rFonts w:ascii="Times New Roman" w:hAnsi="Times New Roman" w:cs="Times New Roman"/>
          <w:sz w:val="24"/>
          <w:szCs w:val="24"/>
        </w:rPr>
        <w:instrText>ADDIN CSL_CITATION {"citationItems":[{"id":"ITEM-1","itemData":{"author":[{"dropping-particle":"","family":"Yahaya","given":"ALIO DAN LADI","non-dropping-particle":"","parse-names":false,"suffix":""}],"id":"ITEM-1","issued":{"date-parts":[["2017"]]},"number-of-pages":"66","publisher":"UNIVERSITE ABDOU MOUMOUNI","title":"Effets de la pratique de la Régénération Naturelle Assistée (RNA) et des arbres sur le sol et la production agricole dans les Communes de Sakadamna et Gorou Bankassam et le village de Tidirka","type":"thesis"},"uris":["http://www.mendeley.com/documents/?uuid=9b8b7a25-fa08-446e-bbe3-b80af9513ac7"]}],"mendeley":{"formattedCitation":"(Yahaya, 2017)","manualFormatting":"Yahaya (2017)","plainTextFormattedCitation":"(Yahaya, 2017)","previouslyFormattedCitation":"(Yahaya, 2017)"},"properties":{"noteIndex":0},"schema":"https://github.com/citation-style-language/schema/raw/master/csl-citation.json"}</w:instrText>
      </w:r>
      <w:r w:rsidR="006E3221">
        <w:rPr>
          <w:rFonts w:ascii="Times New Roman" w:hAnsi="Times New Roman" w:cs="Times New Roman"/>
          <w:sz w:val="24"/>
          <w:szCs w:val="24"/>
        </w:rPr>
        <w:fldChar w:fldCharType="separate"/>
      </w:r>
      <w:r w:rsidR="006E3221" w:rsidRPr="006E3221">
        <w:rPr>
          <w:rFonts w:ascii="Times New Roman" w:hAnsi="Times New Roman" w:cs="Times New Roman"/>
          <w:noProof/>
          <w:sz w:val="24"/>
          <w:szCs w:val="24"/>
        </w:rPr>
        <w:t xml:space="preserve">Yahaya </w:t>
      </w:r>
      <w:r w:rsidR="006E3221">
        <w:rPr>
          <w:rFonts w:ascii="Times New Roman" w:hAnsi="Times New Roman" w:cs="Times New Roman"/>
          <w:noProof/>
          <w:sz w:val="24"/>
          <w:szCs w:val="24"/>
        </w:rPr>
        <w:t>(</w:t>
      </w:r>
      <w:r w:rsidR="006E3221" w:rsidRPr="006E3221">
        <w:rPr>
          <w:rFonts w:ascii="Times New Roman" w:hAnsi="Times New Roman" w:cs="Times New Roman"/>
          <w:noProof/>
          <w:sz w:val="24"/>
          <w:szCs w:val="24"/>
        </w:rPr>
        <w:t>2017)</w:t>
      </w:r>
      <w:r w:rsidR="006E3221">
        <w:rPr>
          <w:rFonts w:ascii="Times New Roman" w:hAnsi="Times New Roman" w:cs="Times New Roman"/>
          <w:sz w:val="24"/>
          <w:szCs w:val="24"/>
        </w:rPr>
        <w:fldChar w:fldCharType="end"/>
      </w:r>
      <w:r w:rsidR="006E3221">
        <w:rPr>
          <w:rFonts w:ascii="Times New Roman" w:hAnsi="Times New Roman" w:cs="Times New Roman"/>
          <w:sz w:val="24"/>
          <w:szCs w:val="24"/>
        </w:rPr>
        <w:t xml:space="preserve"> et </w:t>
      </w:r>
      <w:r w:rsidR="006E3221">
        <w:rPr>
          <w:rFonts w:ascii="Times New Roman" w:hAnsi="Times New Roman" w:cs="Times New Roman"/>
          <w:sz w:val="24"/>
          <w:szCs w:val="24"/>
        </w:rPr>
        <w:fldChar w:fldCharType="begin" w:fldLock="1"/>
      </w:r>
      <w:r w:rsidR="000E109E">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2023)","manualFormatting":"Hamissou (2023)","plainTextFormattedCitation":"(Hamissou, 2023)","previouslyFormattedCitation":"(Hamissou, 2023)"},"properties":{"noteIndex":0},"schema":"https://github.com/citation-style-language/schema/raw/master/csl-citation.json"}</w:instrText>
      </w:r>
      <w:r w:rsidR="006E3221">
        <w:rPr>
          <w:rFonts w:ascii="Times New Roman" w:hAnsi="Times New Roman" w:cs="Times New Roman"/>
          <w:sz w:val="24"/>
          <w:szCs w:val="24"/>
        </w:rPr>
        <w:fldChar w:fldCharType="separate"/>
      </w:r>
      <w:r w:rsidR="006E3221" w:rsidRPr="006E3221">
        <w:rPr>
          <w:rFonts w:ascii="Times New Roman" w:hAnsi="Times New Roman" w:cs="Times New Roman"/>
          <w:noProof/>
          <w:sz w:val="24"/>
          <w:szCs w:val="24"/>
        </w:rPr>
        <w:t>Hamissou</w:t>
      </w:r>
      <w:r w:rsidR="006E3221">
        <w:rPr>
          <w:rFonts w:ascii="Times New Roman" w:hAnsi="Times New Roman" w:cs="Times New Roman"/>
          <w:noProof/>
          <w:sz w:val="24"/>
          <w:szCs w:val="24"/>
        </w:rPr>
        <w:t xml:space="preserve"> (</w:t>
      </w:r>
      <w:r w:rsidR="006E3221" w:rsidRPr="006E3221">
        <w:rPr>
          <w:rFonts w:ascii="Times New Roman" w:hAnsi="Times New Roman" w:cs="Times New Roman"/>
          <w:noProof/>
          <w:sz w:val="24"/>
          <w:szCs w:val="24"/>
        </w:rPr>
        <w:t>2023)</w:t>
      </w:r>
      <w:r w:rsidR="006E3221">
        <w:rPr>
          <w:rFonts w:ascii="Times New Roman" w:hAnsi="Times New Roman" w:cs="Times New Roman"/>
          <w:sz w:val="24"/>
          <w:szCs w:val="24"/>
        </w:rPr>
        <w:fldChar w:fldCharType="end"/>
      </w:r>
      <w:r w:rsidRPr="00D40A79">
        <w:rPr>
          <w:rFonts w:ascii="Times New Roman" w:hAnsi="Times New Roman" w:cs="Times New Roman"/>
          <w:sz w:val="24"/>
          <w:szCs w:val="24"/>
        </w:rPr>
        <w:t xml:space="preserve">, qui </w:t>
      </w:r>
      <w:r w:rsidR="006E3221">
        <w:rPr>
          <w:rFonts w:ascii="Times New Roman" w:hAnsi="Times New Roman" w:cs="Times New Roman"/>
          <w:sz w:val="24"/>
          <w:szCs w:val="24"/>
        </w:rPr>
        <w:t>ont</w:t>
      </w:r>
      <w:r w:rsidRPr="00D40A79">
        <w:rPr>
          <w:rFonts w:ascii="Times New Roman" w:hAnsi="Times New Roman" w:cs="Times New Roman"/>
          <w:sz w:val="24"/>
          <w:szCs w:val="24"/>
        </w:rPr>
        <w:t xml:space="preserve"> également trouvé que les Caesalpiniaceae étaient parmi les familles les plus présentes</w:t>
      </w:r>
      <w:r w:rsidR="006E3221">
        <w:rPr>
          <w:rFonts w:ascii="Times New Roman" w:hAnsi="Times New Roman" w:cs="Times New Roman"/>
          <w:sz w:val="24"/>
          <w:szCs w:val="24"/>
        </w:rPr>
        <w:t xml:space="preserve"> dans les zones </w:t>
      </w:r>
      <w:r w:rsidR="005928B5">
        <w:rPr>
          <w:rFonts w:ascii="Times New Roman" w:hAnsi="Times New Roman" w:cs="Times New Roman"/>
          <w:sz w:val="24"/>
          <w:szCs w:val="24"/>
        </w:rPr>
        <w:t>des deux terroirs</w:t>
      </w:r>
      <w:r w:rsidRPr="00D40A79">
        <w:rPr>
          <w:rFonts w:ascii="Times New Roman" w:hAnsi="Times New Roman" w:cs="Times New Roman"/>
          <w:sz w:val="24"/>
          <w:szCs w:val="24"/>
        </w:rPr>
        <w:t>.</w:t>
      </w:r>
    </w:p>
    <w:p w14:paraId="6B2A5C78" w14:textId="63094793"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 xml:space="preserve">Les analyses des sols montrent que le pH est généralement plus acide hors houppier, et augmente légèrement sous houppier. Cela corrobore les travaux de </w:t>
      </w:r>
      <w:r w:rsidR="00452AA4">
        <w:rPr>
          <w:rFonts w:ascii="Times New Roman" w:hAnsi="Times New Roman" w:cs="Times New Roman"/>
          <w:sz w:val="24"/>
          <w:szCs w:val="24"/>
        </w:rPr>
        <w:fldChar w:fldCharType="begin" w:fldLock="1"/>
      </w:r>
      <w:r w:rsidR="00D11D9E">
        <w:rPr>
          <w:rFonts w:ascii="Times New Roman" w:hAnsi="Times New Roman" w:cs="Times New Roman"/>
          <w:sz w:val="24"/>
          <w:szCs w:val="24"/>
        </w:rPr>
        <w:instrText>ADDIN CSL_CITATION {"citationItems":[{"id":"ITEM-1","itemData":{"author":[{"dropping-particle":"","family":"Ndiaga","given":"Samb","non-dropping-particle":"","parse-names":false,"suffix":""}],"id":"ITEM-1","issued":{"date-parts":[["2010"]]},"number-of-pages":"69","publisher":"Faculte des sciences et techniques, Université CHEIKH ANTA DIOP DE DAKAR","title":"Influence d’acacia senegal (l.) Willd sur les proprietes physiques, chimiques et biologiques des sols","type":"thesis"},"uris":["http://www.mendeley.com/documents/?uuid=a86473f2-408b-44e7-b388-21680b1434e1"]}],"mendeley":{"formattedCitation":"(Ndiaga, 2010)","plainTextFormattedCitation":"(Ndiaga, 2010)","previouslyFormattedCitation":"(Ndiaga, 2010)"},"properties":{"noteIndex":0},"schema":"https://github.com/citation-style-language/schema/raw/master/csl-citation.json"}</w:instrText>
      </w:r>
      <w:r w:rsidR="00452AA4">
        <w:rPr>
          <w:rFonts w:ascii="Times New Roman" w:hAnsi="Times New Roman" w:cs="Times New Roman"/>
          <w:sz w:val="24"/>
          <w:szCs w:val="24"/>
        </w:rPr>
        <w:fldChar w:fldCharType="separate"/>
      </w:r>
      <w:r w:rsidR="00452AA4" w:rsidRPr="00452AA4">
        <w:rPr>
          <w:rFonts w:ascii="Times New Roman" w:hAnsi="Times New Roman" w:cs="Times New Roman"/>
          <w:noProof/>
          <w:sz w:val="24"/>
          <w:szCs w:val="24"/>
        </w:rPr>
        <w:t>(Ndiaga, 2010)</w:t>
      </w:r>
      <w:r w:rsidR="00452AA4">
        <w:rPr>
          <w:rFonts w:ascii="Times New Roman" w:hAnsi="Times New Roman" w:cs="Times New Roman"/>
          <w:sz w:val="24"/>
          <w:szCs w:val="24"/>
        </w:rPr>
        <w:fldChar w:fldCharType="end"/>
      </w:r>
      <w:r w:rsidR="00452AA4">
        <w:rPr>
          <w:rFonts w:ascii="Times New Roman" w:hAnsi="Times New Roman" w:cs="Times New Roman"/>
          <w:sz w:val="24"/>
          <w:szCs w:val="24"/>
        </w:rPr>
        <w:t xml:space="preserve"> </w:t>
      </w:r>
      <w:r w:rsidRPr="00D40A79">
        <w:rPr>
          <w:rFonts w:ascii="Times New Roman" w:hAnsi="Times New Roman" w:cs="Times New Roman"/>
          <w:sz w:val="24"/>
          <w:szCs w:val="24"/>
        </w:rPr>
        <w:t xml:space="preserve">et </w:t>
      </w:r>
      <w:r w:rsidR="000E109E">
        <w:rPr>
          <w:rFonts w:ascii="Times New Roman" w:hAnsi="Times New Roman" w:cs="Times New Roman"/>
          <w:sz w:val="24"/>
          <w:szCs w:val="24"/>
        </w:rPr>
        <w:fldChar w:fldCharType="begin" w:fldLock="1"/>
      </w:r>
      <w:r w:rsidR="006E3A9F">
        <w:rPr>
          <w:rFonts w:ascii="Times New Roman" w:hAnsi="Times New Roman" w:cs="Times New Roman"/>
          <w:sz w:val="24"/>
          <w:szCs w:val="24"/>
        </w:rPr>
        <w:instrText>ADDIN CSL_CITATION {"citationItems":[{"id":"ITEM-1","itemData":{"DOI":"10.4314/ijbcs.v7i6.13","ISSN":"1991-8631","author":[{"dropping-particle":"","family":"Abdou","given":"MM","non-dropping-particle":"","parse-names":false,"suffix":""},{"dropping-particle":"","family":"Alzouma Mayaki","given":"Z","non-dropping-particle":"","parse-names":false,"suffix":""},{"dropping-particle":"","family":"Kadri","given":"A","non-dropping-particle":"","parse-names":false,"suffix":""},{"dropping-particle":"","family":"Ambouta","given":"J-MK","non-dropping-particle":"","parse-names":false,"suffix":""},{"dropping-particle":"","family":"Dan Lamso","given":"N","non-dropping-particle":"","parse-names":false,"suffix":""}],"container-title":"International Journal of Biological and Chemical Sciences","id":"ITEM-1","issue":"6","issued":{"date-parts":[["2014"]]},"page":"2328","title":"Effet de l’arbre Acacia senegal sur la fertilité des sols de gommeraies au Niger","type":"article-journal","volume":"7"},"uris":["http://www.mendeley.com/documents/?uuid=31dc261b-9ccc-47a5-8b29-01cba73dafc7"]}],"mendeley":{"formattedCitation":"(Abdou et al., 2014)","manualFormatting":"Abdou et al., (2014)","plainTextFormattedCitation":"(Abdou et al., 2014)","previouslyFormattedCitation":"(Abdou et al., 2014)"},"properties":{"noteIndex":0},"schema":"https://github.com/citation-style-language/schema/raw/master/csl-citation.json"}</w:instrText>
      </w:r>
      <w:r w:rsidR="000E109E">
        <w:rPr>
          <w:rFonts w:ascii="Times New Roman" w:hAnsi="Times New Roman" w:cs="Times New Roman"/>
          <w:sz w:val="24"/>
          <w:szCs w:val="24"/>
        </w:rPr>
        <w:fldChar w:fldCharType="separate"/>
      </w:r>
      <w:r w:rsidR="000E109E" w:rsidRPr="000E109E">
        <w:rPr>
          <w:rFonts w:ascii="Times New Roman" w:hAnsi="Times New Roman" w:cs="Times New Roman"/>
          <w:noProof/>
          <w:sz w:val="24"/>
          <w:szCs w:val="24"/>
        </w:rPr>
        <w:t xml:space="preserve">Abdou et al., </w:t>
      </w:r>
      <w:r w:rsidR="000E109E">
        <w:rPr>
          <w:rFonts w:ascii="Times New Roman" w:hAnsi="Times New Roman" w:cs="Times New Roman"/>
          <w:noProof/>
          <w:sz w:val="24"/>
          <w:szCs w:val="24"/>
        </w:rPr>
        <w:t>(</w:t>
      </w:r>
      <w:r w:rsidR="000E109E" w:rsidRPr="000E109E">
        <w:rPr>
          <w:rFonts w:ascii="Times New Roman" w:hAnsi="Times New Roman" w:cs="Times New Roman"/>
          <w:noProof/>
          <w:sz w:val="24"/>
          <w:szCs w:val="24"/>
        </w:rPr>
        <w:t>2014)</w:t>
      </w:r>
      <w:r w:rsidR="000E109E">
        <w:rPr>
          <w:rFonts w:ascii="Times New Roman" w:hAnsi="Times New Roman" w:cs="Times New Roman"/>
          <w:sz w:val="24"/>
          <w:szCs w:val="24"/>
        </w:rPr>
        <w:fldChar w:fldCharType="end"/>
      </w:r>
      <w:r w:rsidR="000E109E">
        <w:rPr>
          <w:rFonts w:ascii="Times New Roman" w:hAnsi="Times New Roman" w:cs="Times New Roman"/>
          <w:sz w:val="24"/>
          <w:szCs w:val="24"/>
        </w:rPr>
        <w:t xml:space="preserve"> </w:t>
      </w:r>
      <w:r w:rsidRPr="00D40A79">
        <w:rPr>
          <w:rFonts w:ascii="Times New Roman" w:hAnsi="Times New Roman" w:cs="Times New Roman"/>
          <w:sz w:val="24"/>
          <w:szCs w:val="24"/>
        </w:rPr>
        <w:t xml:space="preserve">, mais diffère de ceux de </w:t>
      </w:r>
      <w:r w:rsidR="000E109E">
        <w:rPr>
          <w:rFonts w:ascii="Times New Roman" w:hAnsi="Times New Roman" w:cs="Times New Roman"/>
          <w:sz w:val="24"/>
          <w:szCs w:val="24"/>
        </w:rPr>
        <w:fldChar w:fldCharType="begin" w:fldLock="1"/>
      </w:r>
      <w:r w:rsidR="00F849B0">
        <w:rPr>
          <w:rFonts w:ascii="Times New Roman" w:hAnsi="Times New Roman" w:cs="Times New Roman"/>
          <w:sz w:val="24"/>
          <w:szCs w:val="24"/>
        </w:rPr>
        <w:instrText>ADDIN CSL_CITATION {"citationItems":[{"id":"ITEM-1","itemData":{"DOI":"10.4314/ijbcs.v9i5.19","ISSN":"1991-8631","abstract":"AJOL Abstract: La région de Maradi est confrontée à la saturation de l’espace et à la baisse généralisée de la fertilité dessols. Pour faire face à cette situation, les paysans ont adopté l’association céréales - légumineuses, l’apport desfertilisants par micro doses et l’utilisation des ligneux dans les champs. Ainsi, dans le terroir de El Guéza, lescéréales sont cultivées en association avec l’arbuste Hyphaene thebaica, très répandu dans la localité. C’estdans cette optique que cette étude a été conduite pour évaluer l’influence des touffes de Hyphaene thebaica surla production du mil dans ce terroir. Ainsi, des essais de culture du mil ont été menés selon un dispositif enblocs randomisés complet sur 3 parcelles avec touffes de Hyphaene thebaica et une parcelle témoin (sanstouffes). Les résultats obtenus ont révélé qu’autour de la touffe de Hyphaene thebaica, le mil présente unenracinement très dense et bien développé alors qu’hors Hyphaene thebaica, il a des racines fines, moinsdenses et développées latéralement. Par ailleurs, les rendements en grains et en paille autour de Hyphaenethebaica sont respectivement de 1300 à 1820 kg/ha et 4630 à 6740 kg/ha alors qu’ils sont de 440 kg/ha et 2000kg/ha pour le témoin. Cette étude montre clairement que les touffes de Hyphaene thebaica améliorent laproduction du mil.© 2015 International Formulae Group. All rights reserved.Mots clés: Touffes, Hyphaene thebaica, mil, rendements, El Guéza, MaradiEnglish Title: Effect of Hyphaene thebaica (Mart) tufts on the millet production in Maradi region (Niger)English AbstractThe region Maradi is facing the land saturation and the general decline of soil fertility. To cope, farmershave adopted several techniques like “association cereals - legumes”, input of micro-doses fertilizers and theuse of woody species in the fields. Thus, in the land of El Guéza, cereal crops grains are grown in combination with Hyphaene thebaica shrub, widespread in this locality. It is in this light that this study was conducted to evaluate the influence of Hyphaene thebaica tufts on millet production in this region. Thus, millet cultivation trials were conducted according to a randomized complete block design of 3 plots with Hyphaene thebaica tufts and a control plot (without tufts). The results obtained revealed that around the tufts of Hyphaene thebaica, millet has a very dense root and well developed whereas outside Hyphaene thebaica, millet has fine roots, less denses and developed laterally. …","author":[{"dropping-particle":"","family":"Dan Lamso","given":"Nomaou","non-dropping-particle":"","parse-names":false,"suffix":""},{"dropping-particle":"","family":"Guero","given":"Yadji","non-dropping-particle":"","parse-names":false,"suffix":""},{"dropping-particle":"","family":"Tankari Dan-Badjo","given":"Abdourahamane","non-dropping-particle":"","parse-names":false,"suffix":""},{"dropping-particle":"","family":"Lamar","given":"Rabah","non-dropping-particle":"","parse-names":false,"suffix":""},{"dropping-particle":"","family":"Andre Bationo","given":"Babou","non-dropping-particle":"","parse-names":false,"suffix":""},{"dropping-particle":"","family":"Djamen","given":"Patrice","non-dropping-particle":"","parse-names":false,"suffix":""},{"dropping-particle":"","family":"Tidjani","given":"Adamou Didier","non-dropping-particle":"","parse-names":false,"suffix":""},{"dropping-particle":"","family":"Ado Maman","given":"Nassirou","non-dropping-particle":"","parse-names":false,"suffix":""},{"dropping-particle":"","family":"Karimou","given":"Ambouta Jean Marie","non-dropping-particle":"","parse-names":false,"suffix":""}],"container-title":"International Journal of Biological and Chemical Sciences","id":"ITEM-1","issue":"5","issued":{"date-parts":[["2016"]]},"page":"2477","title":"Effet des touffes de Hyphaene thebaica (Mart) sur la production du mil dans la région de Maradi (Niger)","type":"article-journal","volume":"9"},"uris":["http://www.mendeley.com/documents/?uuid=28854d7e-d1e0-4c7a-b3b4-2ea5c75b6cb3"]}],"mendeley":{"formattedCitation":"(Dan Lamso et al., 2016)","manualFormatting":"Dan Lamso et al., (2015)","plainTextFormattedCitation":"(Dan Lamso et al., 2016)","previouslyFormattedCitation":"(Dan Lamso et al., 2016)"},"properties":{"noteIndex":0},"schema":"https://github.com/citation-style-language/schema/raw/master/csl-citation.json"}</w:instrText>
      </w:r>
      <w:r w:rsidR="000E109E">
        <w:rPr>
          <w:rFonts w:ascii="Times New Roman" w:hAnsi="Times New Roman" w:cs="Times New Roman"/>
          <w:sz w:val="24"/>
          <w:szCs w:val="24"/>
        </w:rPr>
        <w:fldChar w:fldCharType="separate"/>
      </w:r>
      <w:r w:rsidR="000E109E" w:rsidRPr="000E109E">
        <w:rPr>
          <w:rFonts w:ascii="Times New Roman" w:hAnsi="Times New Roman" w:cs="Times New Roman"/>
          <w:noProof/>
          <w:sz w:val="24"/>
          <w:szCs w:val="24"/>
        </w:rPr>
        <w:t xml:space="preserve">Dan Lamso et al., </w:t>
      </w:r>
      <w:r w:rsidR="000E109E">
        <w:rPr>
          <w:rFonts w:ascii="Times New Roman" w:hAnsi="Times New Roman" w:cs="Times New Roman"/>
          <w:noProof/>
          <w:sz w:val="24"/>
          <w:szCs w:val="24"/>
        </w:rPr>
        <w:t>(</w:t>
      </w:r>
      <w:r w:rsidR="000E109E" w:rsidRPr="000E109E">
        <w:rPr>
          <w:rFonts w:ascii="Times New Roman" w:hAnsi="Times New Roman" w:cs="Times New Roman"/>
          <w:noProof/>
          <w:sz w:val="24"/>
          <w:szCs w:val="24"/>
        </w:rPr>
        <w:t>2015)</w:t>
      </w:r>
      <w:r w:rsidR="000E109E">
        <w:rPr>
          <w:rFonts w:ascii="Times New Roman" w:hAnsi="Times New Roman" w:cs="Times New Roman"/>
          <w:sz w:val="24"/>
          <w:szCs w:val="24"/>
        </w:rPr>
        <w:fldChar w:fldCharType="end"/>
      </w:r>
      <w:r w:rsidR="000E109E">
        <w:rPr>
          <w:rFonts w:ascii="Times New Roman" w:hAnsi="Times New Roman" w:cs="Times New Roman"/>
          <w:sz w:val="24"/>
          <w:szCs w:val="24"/>
        </w:rPr>
        <w:t xml:space="preserve"> </w:t>
      </w:r>
      <w:r w:rsidRPr="00D40A79">
        <w:rPr>
          <w:rFonts w:ascii="Times New Roman" w:hAnsi="Times New Roman" w:cs="Times New Roman"/>
          <w:sz w:val="24"/>
          <w:szCs w:val="24"/>
        </w:rPr>
        <w:t>qui rapportent une diminution significative du pH en s'éloignant du houppier</w:t>
      </w:r>
      <w:r w:rsidR="00F849B0">
        <w:rPr>
          <w:rFonts w:ascii="Times New Roman" w:hAnsi="Times New Roman" w:cs="Times New Roman"/>
          <w:sz w:val="24"/>
          <w:szCs w:val="24"/>
        </w:rPr>
        <w:t xml:space="preserve"> mais cela pourrait être dû au faite que nous n’avons pas effectués des mesures de pH à des distances très éloignées du houpier</w:t>
      </w:r>
      <w:r w:rsidRPr="00D40A79">
        <w:rPr>
          <w:rFonts w:ascii="Times New Roman" w:hAnsi="Times New Roman" w:cs="Times New Roman"/>
          <w:sz w:val="24"/>
          <w:szCs w:val="24"/>
        </w:rPr>
        <w:t xml:space="preserve">. L'augmentation du pH sous houppier est attribuée à la décomposition de la litière par les </w:t>
      </w:r>
      <w:r w:rsidRPr="00D40A79">
        <w:rPr>
          <w:rFonts w:ascii="Times New Roman" w:hAnsi="Times New Roman" w:cs="Times New Roman"/>
          <w:sz w:val="24"/>
          <w:szCs w:val="24"/>
        </w:rPr>
        <w:lastRenderedPageBreak/>
        <w:t>microorganismes du sol, libérant des cations (Ca2+, Mg2+, K+, etc.) qui neutralisent l'acidité du sol</w:t>
      </w:r>
      <w:r w:rsidR="00F849B0">
        <w:rPr>
          <w:rFonts w:ascii="Times New Roman" w:hAnsi="Times New Roman" w:cs="Times New Roman"/>
          <w:sz w:val="24"/>
          <w:szCs w:val="24"/>
        </w:rPr>
        <w:t xml:space="preserve"> </w:t>
      </w:r>
      <w:r w:rsidR="00F849B0">
        <w:rPr>
          <w:rFonts w:ascii="Times New Roman" w:hAnsi="Times New Roman" w:cs="Times New Roman"/>
          <w:sz w:val="24"/>
          <w:szCs w:val="24"/>
        </w:rPr>
        <w:fldChar w:fldCharType="begin" w:fldLock="1"/>
      </w:r>
      <w:r w:rsidR="00F849B0">
        <w:rPr>
          <w:rFonts w:ascii="Times New Roman" w:hAnsi="Times New Roman" w:cs="Times New Roman"/>
          <w:sz w:val="24"/>
          <w:szCs w:val="24"/>
        </w:rPr>
        <w:instrText>ADDIN CSL_CITATION {"citationItems":[{"id":"ITEM-1","itemData":{"DOI":"10.19044/esj.2018.v14n27p176","ISSN":"18577881","abstract":"This paper focuses on the influence of Acacia senegal on soil and cowpea production (Vigna unguiculata) at the N'Dounga Forest Station (INRAN) through a complete randomized block design. Treatments based on its association with cowpea in isolated trees and planting were applied. Chemical parameters, nitrogen fixation potential, and cowpea production were evaluated under these treatments. The results show an improvement in the chemical property of the soil in the presence of A. Senegal. Since the pH is acidic irrespective of the modality, the analysis of the variance shows a highly significant difference between the control and the other treatments for the water pH (P &lt;0.000 1). Also, the nitrogen fixation potential cowpea was better expressed in his presence. However, the A. Senegal has less influenced the production of cowpea. The yields of pods, seeds, and fodder were reduced compared to the control. This study also revealed the dynamics of mineral elements after harvests, which reassures producers about the sustainability of the tree/crop system.","author":[{"dropping-particle":"","family":"Saidou","given":"Addam Kiari","non-dropping-particle":"","parse-names":false,"suffix":""},{"dropping-particle":"","family":"Hassane","given":"Moussa","non-dropping-particle":"","parse-names":false,"suffix":""},{"dropping-particle":"","family":"Abdoullatif","given":"Youchaou Tawaye","non-dropping-particle":"","parse-names":false,"suffix":""},{"dropping-particle":"","family":"Karimou","given":"Ambouta","non-dropping-particle":"","parse-names":false,"suffix":""}],"container-title":"European Scientific Journal, ESJ","id":"ITEM-1","issue":"27","issued":{"date-parts":[["2018"]]},"page":"176","title":"Effets d’Acacia senegal (L.) Willd. sur le Rendement du Niébé (Vigna unguiculata) au Niger, Afrique de l’ouest","type":"article-journal","volume":"14"},"uris":["http://www.mendeley.com/documents/?uuid=3aae3954-095a-46a6-970f-a8f9bc854313"]}],"mendeley":{"formattedCitation":"(Saidou et al., 2018)","plainTextFormattedCitation":"(Saidou et al., 2018)","previouslyFormattedCitation":"(Saidou et al., 2018)"},"properties":{"noteIndex":0},"schema":"https://github.com/citation-style-language/schema/raw/master/csl-citation.json"}</w:instrText>
      </w:r>
      <w:r w:rsidR="00F849B0">
        <w:rPr>
          <w:rFonts w:ascii="Times New Roman" w:hAnsi="Times New Roman" w:cs="Times New Roman"/>
          <w:sz w:val="24"/>
          <w:szCs w:val="24"/>
        </w:rPr>
        <w:fldChar w:fldCharType="separate"/>
      </w:r>
      <w:r w:rsidR="00F849B0" w:rsidRPr="00F849B0">
        <w:rPr>
          <w:rFonts w:ascii="Times New Roman" w:hAnsi="Times New Roman" w:cs="Times New Roman"/>
          <w:noProof/>
          <w:sz w:val="24"/>
          <w:szCs w:val="24"/>
        </w:rPr>
        <w:t>(Saidou et al., 2018)</w:t>
      </w:r>
      <w:r w:rsidR="00F849B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Les meilleurs taux de matière organique se trouvent sous houppier, probablement en raison des apports de feuilles et de branches mortes. Ces observations sont similaires à celles trouvées sous </w:t>
      </w:r>
      <w:r w:rsidRPr="00F849B0">
        <w:rPr>
          <w:rFonts w:ascii="Times New Roman" w:hAnsi="Times New Roman" w:cs="Times New Roman"/>
          <w:i/>
          <w:iCs/>
          <w:sz w:val="24"/>
          <w:szCs w:val="24"/>
        </w:rPr>
        <w:t>A. senegal</w:t>
      </w:r>
      <w:r w:rsidRPr="00D40A79">
        <w:rPr>
          <w:rFonts w:ascii="Times New Roman" w:hAnsi="Times New Roman" w:cs="Times New Roman"/>
          <w:sz w:val="24"/>
          <w:szCs w:val="24"/>
        </w:rPr>
        <w:t xml:space="preserve"> (Youchaou 2016), </w:t>
      </w:r>
      <w:r w:rsidRPr="00F849B0">
        <w:rPr>
          <w:rFonts w:ascii="Times New Roman" w:hAnsi="Times New Roman" w:cs="Times New Roman"/>
          <w:i/>
          <w:iCs/>
          <w:sz w:val="24"/>
          <w:szCs w:val="24"/>
        </w:rPr>
        <w:t>G. senegalensis</w:t>
      </w:r>
      <w:r w:rsidRPr="00D40A79">
        <w:rPr>
          <w:rFonts w:ascii="Times New Roman" w:hAnsi="Times New Roman" w:cs="Times New Roman"/>
          <w:sz w:val="24"/>
          <w:szCs w:val="24"/>
        </w:rPr>
        <w:t xml:space="preserve"> </w:t>
      </w:r>
      <w:r w:rsidR="00F849B0">
        <w:rPr>
          <w:rFonts w:ascii="Times New Roman" w:hAnsi="Times New Roman" w:cs="Times New Roman"/>
          <w:sz w:val="24"/>
          <w:szCs w:val="24"/>
        </w:rPr>
        <w:fldChar w:fldCharType="begin" w:fldLock="1"/>
      </w:r>
      <w:r w:rsidR="00F849B0">
        <w:rPr>
          <w:rFonts w:ascii="Times New Roman" w:hAnsi="Times New Roman" w:cs="Times New Roman"/>
          <w:sz w:val="24"/>
          <w:szCs w:val="24"/>
        </w:rPr>
        <w:instrText>ADDIN CSL_CITATION {"citationItems":[{"id":"ITEM-1","itemData":{"DOI":"10.4314/ijbcs.v9i5.19","ISSN":"1991-8631","abstract":"AJOL Abstract: La région de Maradi est confrontée à la saturation de l’espace et à la baisse généralisée de la fertilité dessols. Pour faire face à cette situation, les paysans ont adopté l’association céréales - légumineuses, l’apport desfertilisants par micro doses et l’utilisation des ligneux dans les champs. Ainsi, dans le terroir de El Guéza, lescéréales sont cultivées en association avec l’arbuste Hyphaene thebaica, très répandu dans la localité. C’estdans cette optique que cette étude a été conduite pour évaluer l’influence des touffes de Hyphaene thebaica surla production du mil dans ce terroir. Ainsi, des essais de culture du mil ont été menés selon un dispositif enblocs randomisés complet sur 3 parcelles avec touffes de Hyphaene thebaica et une parcelle témoin (sanstouffes). Les résultats obtenus ont révélé qu’autour de la touffe de Hyphaene thebaica, le mil présente unenracinement très dense et bien développé alors qu’hors Hyphaene thebaica, il a des racines fines, moinsdenses et développées latéralement. Par ailleurs, les rendements en grains et en paille autour de Hyphaenethebaica sont respectivement de 1300 à 1820 kg/ha et 4630 à 6740 kg/ha alors qu’ils sont de 440 kg/ha et 2000kg/ha pour le témoin. Cette étude montre clairement que les touffes de Hyphaene thebaica améliorent laproduction du mil.© 2015 International Formulae Group. All rights reserved.Mots clés: Touffes, Hyphaene thebaica, mil, rendements, El Guéza, MaradiEnglish Title: Effect of Hyphaene thebaica (Mart) tufts on the millet production in Maradi region (Niger)English AbstractThe region Maradi is facing the land saturation and the general decline of soil fertility. To cope, farmershave adopted several techniques like “association cereals - legumes”, input of micro-doses fertilizers and theuse of woody species in the fields. Thus, in the land of El Guéza, cereal crops grains are grown in combination with Hyphaene thebaica shrub, widespread in this locality. It is in this light that this study was conducted to evaluate the influence of Hyphaene thebaica tufts on millet production in this region. Thus, millet cultivation trials were conducted according to a randomized complete block design of 3 plots with Hyphaene thebaica tufts and a control plot (without tufts). The results obtained revealed that around the tufts of Hyphaene thebaica, millet has a very dense root and well developed whereas outside Hyphaene thebaica, millet has fine roots, less denses and developed laterally. …","author":[{"dropping-particle":"","family":"Dan Lamso","given":"Nomaou","non-dropping-particle":"","parse-names":false,"suffix":""},{"dropping-particle":"","family":"Guero","given":"Yadji","non-dropping-particle":"","parse-names":false,"suffix":""},{"dropping-particle":"","family":"Tankari Dan-Badjo","given":"Abdourahamane","non-dropping-particle":"","parse-names":false,"suffix":""},{"dropping-particle":"","family":"Lamar","given":"Rabah","non-dropping-particle":"","parse-names":false,"suffix":""},{"dropping-particle":"","family":"Andre Bationo","given":"Babou","non-dropping-particle":"","parse-names":false,"suffix":""},{"dropping-particle":"","family":"Djamen","given":"Patrice","non-dropping-particle":"","parse-names":false,"suffix":""},{"dropping-particle":"","family":"Tidjani","given":"Adamou Didier","non-dropping-particle":"","parse-names":false,"suffix":""},{"dropping-particle":"","family":"Ado Maman","given":"Nassirou","non-dropping-particle":"","parse-names":false,"suffix":""},{"dropping-particle":"","family":"Karimou","given":"Ambouta Jean Marie","non-dropping-particle":"","parse-names":false,"suffix":""}],"container-title":"International Journal of Biological and Chemical Sciences","id":"ITEM-1","issue":"5","issued":{"date-parts":[["2016"]]},"page":"2477","title":"Effet des touffes de Hyphaene thebaica (Mart) sur la production du mil dans la région de Maradi (Niger)","type":"article-journal","volume":"9"},"uris":["http://www.mendeley.com/documents/?uuid=28854d7e-d1e0-4c7a-b3b4-2ea5c75b6cb3"]}],"mendeley":{"formattedCitation":"(Dan Lamso et al., 2016)","plainTextFormattedCitation":"(Dan Lamso et al., 2016)","previouslyFormattedCitation":"(Dan Lamso et al., 2016)"},"properties":{"noteIndex":0},"schema":"https://github.com/citation-style-language/schema/raw/master/csl-citation.json"}</w:instrText>
      </w:r>
      <w:r w:rsidR="00F849B0">
        <w:rPr>
          <w:rFonts w:ascii="Times New Roman" w:hAnsi="Times New Roman" w:cs="Times New Roman"/>
          <w:sz w:val="24"/>
          <w:szCs w:val="24"/>
        </w:rPr>
        <w:fldChar w:fldCharType="separate"/>
      </w:r>
      <w:r w:rsidR="00F849B0" w:rsidRPr="00F849B0">
        <w:rPr>
          <w:rFonts w:ascii="Times New Roman" w:hAnsi="Times New Roman" w:cs="Times New Roman"/>
          <w:noProof/>
          <w:sz w:val="24"/>
          <w:szCs w:val="24"/>
        </w:rPr>
        <w:t>(Dan Lamso et al., 2016)</w:t>
      </w:r>
      <w:r w:rsidR="00F849B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et </w:t>
      </w:r>
      <w:r w:rsidRPr="00F849B0">
        <w:rPr>
          <w:rFonts w:ascii="Times New Roman" w:hAnsi="Times New Roman" w:cs="Times New Roman"/>
          <w:i/>
          <w:iCs/>
          <w:sz w:val="24"/>
          <w:szCs w:val="24"/>
        </w:rPr>
        <w:t>Hyphaene thebaica</w:t>
      </w:r>
      <w:r w:rsidRPr="00D40A79">
        <w:rPr>
          <w:rFonts w:ascii="Times New Roman" w:hAnsi="Times New Roman" w:cs="Times New Roman"/>
          <w:sz w:val="24"/>
          <w:szCs w:val="24"/>
        </w:rPr>
        <w:t xml:space="preserve"> Mart </w:t>
      </w:r>
      <w:r w:rsidR="00F849B0">
        <w:rPr>
          <w:rFonts w:ascii="Times New Roman" w:hAnsi="Times New Roman" w:cs="Times New Roman"/>
          <w:sz w:val="24"/>
          <w:szCs w:val="24"/>
        </w:rPr>
        <w:fldChar w:fldCharType="begin" w:fldLock="1"/>
      </w:r>
      <w:r w:rsidR="00F849B0">
        <w:rPr>
          <w:rFonts w:ascii="Times New Roman" w:hAnsi="Times New Roman" w:cs="Times New Roman"/>
          <w:sz w:val="24"/>
          <w:szCs w:val="24"/>
        </w:rPr>
        <w:instrText>ADDIN CSL_CITATION {"citationItems":[{"id":"ITEM-1","itemData":{"DOI":"10.4314/ijbcs.v9i5.19","ISSN":"1991-8631","abstract":"AJOL Abstract: La région de Maradi est confrontée à la saturation de l’espace et à la baisse généralisée de la fertilité dessols. Pour faire face à cette situation, les paysans ont adopté l’association céréales - légumineuses, l’apport desfertilisants par micro doses et l’utilisation des ligneux dans les champs. Ainsi, dans le terroir de El Guéza, lescéréales sont cultivées en association avec l’arbuste Hyphaene thebaica, très répandu dans la localité. C’estdans cette optique que cette étude a été conduite pour évaluer l’influence des touffes de Hyphaene thebaica surla production du mil dans ce terroir. Ainsi, des essais de culture du mil ont été menés selon un dispositif enblocs randomisés complet sur 3 parcelles avec touffes de Hyphaene thebaica et une parcelle témoin (sanstouffes). Les résultats obtenus ont révélé qu’autour de la touffe de Hyphaene thebaica, le mil présente unenracinement très dense et bien développé alors qu’hors Hyphaene thebaica, il a des racines fines, moinsdenses et développées latéralement. Par ailleurs, les rendements en grains et en paille autour de Hyphaenethebaica sont respectivement de 1300 à 1820 kg/ha et 4630 à 6740 kg/ha alors qu’ils sont de 440 kg/ha et 2000kg/ha pour le témoin. Cette étude montre clairement que les touffes de Hyphaene thebaica améliorent laproduction du mil.© 2015 International Formulae Group. All rights reserved.Mots clés: Touffes, Hyphaene thebaica, mil, rendements, El Guéza, MaradiEnglish Title: Effect of Hyphaene thebaica (Mart) tufts on the millet production in Maradi region (Niger)English AbstractThe region Maradi is facing the land saturation and the general decline of soil fertility. To cope, farmershave adopted several techniques like “association cereals - legumes”, input of micro-doses fertilizers and theuse of woody species in the fields. Thus, in the land of El Guéza, cereal crops grains are grown in combination with Hyphaene thebaica shrub, widespread in this locality. It is in this light that this study was conducted to evaluate the influence of Hyphaene thebaica tufts on millet production in this region. Thus, millet cultivation trials were conducted according to a randomized complete block design of 3 plots with Hyphaene thebaica tufts and a control plot (without tufts). The results obtained revealed that around the tufts of Hyphaene thebaica, millet has a very dense root and well developed whereas outside Hyphaene thebaica, millet has fine roots, less denses and developed laterally. …","author":[{"dropping-particle":"","family":"Dan Lamso","given":"Nomaou","non-dropping-particle":"","parse-names":false,"suffix":""},{"dropping-particle":"","family":"Guero","given":"Yadji","non-dropping-particle":"","parse-names":false,"suffix":""},{"dropping-particle":"","family":"Tankari Dan-Badjo","given":"Abdourahamane","non-dropping-particle":"","parse-names":false,"suffix":""},{"dropping-particle":"","family":"Lamar","given":"Rabah","non-dropping-particle":"","parse-names":false,"suffix":""},{"dropping-particle":"","family":"Andre Bationo","given":"Babou","non-dropping-particle":"","parse-names":false,"suffix":""},{"dropping-particle":"","family":"Djamen","given":"Patrice","non-dropping-particle":"","parse-names":false,"suffix":""},{"dropping-particle":"","family":"Tidjani","given":"Adamou Didier","non-dropping-particle":"","parse-names":false,"suffix":""},{"dropping-particle":"","family":"Ado Maman","given":"Nassirou","non-dropping-particle":"","parse-names":false,"suffix":""},{"dropping-particle":"","family":"Karimou","given":"Ambouta Jean Marie","non-dropping-particle":"","parse-names":false,"suffix":""}],"container-title":"International Journal of Biological and Chemical Sciences","id":"ITEM-1","issue":"5","issued":{"date-parts":[["2016"]]},"page":"2477","title":"Effet des touffes de Hyphaene thebaica (Mart) sur la production du mil dans la région de Maradi (Niger)","type":"article-journal","volume":"9"},"uris":["http://www.mendeley.com/documents/?uuid=28854d7e-d1e0-4c7a-b3b4-2ea5c75b6cb3"]}],"mendeley":{"formattedCitation":"(Dan Lamso et al., 2016)","plainTextFormattedCitation":"(Dan Lamso et al., 2016)","previouslyFormattedCitation":"(Dan Lamso et al., 2016)"},"properties":{"noteIndex":0},"schema":"https://github.com/citation-style-language/schema/raw/master/csl-citation.json"}</w:instrText>
      </w:r>
      <w:r w:rsidR="00F849B0">
        <w:rPr>
          <w:rFonts w:ascii="Times New Roman" w:hAnsi="Times New Roman" w:cs="Times New Roman"/>
          <w:sz w:val="24"/>
          <w:szCs w:val="24"/>
        </w:rPr>
        <w:fldChar w:fldCharType="separate"/>
      </w:r>
      <w:r w:rsidR="00F849B0" w:rsidRPr="00F849B0">
        <w:rPr>
          <w:rFonts w:ascii="Times New Roman" w:hAnsi="Times New Roman" w:cs="Times New Roman"/>
          <w:noProof/>
          <w:sz w:val="24"/>
          <w:szCs w:val="24"/>
        </w:rPr>
        <w:t>(Dan Lamso et al., 2016)</w:t>
      </w:r>
      <w:r w:rsidR="00F849B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Les teneurs en phosphore assimilable sont plus élevées sous houppier, possiblement liées à la symbiose avec les champignons mycorhiziens, et augmentent à proximité des racines selon </w:t>
      </w:r>
      <w:r w:rsidR="00BC0FF0">
        <w:rPr>
          <w:rFonts w:ascii="Times New Roman" w:hAnsi="Times New Roman" w:cs="Times New Roman"/>
          <w:sz w:val="24"/>
          <w:szCs w:val="24"/>
        </w:rPr>
        <w:fldChar w:fldCharType="begin" w:fldLock="1"/>
      </w:r>
      <w:r w:rsidR="00244286">
        <w:rPr>
          <w:rFonts w:ascii="Times New Roman" w:hAnsi="Times New Roman" w:cs="Times New Roman"/>
          <w:sz w:val="24"/>
          <w:szCs w:val="24"/>
        </w:rPr>
        <w:instrText>ADDIN CSL_CITATION {"citationItems":[{"id":"ITEM-1","itemData":{"author":[{"dropping-particle":"","family":"Yahaya","given":"ALIO DAN LADI","non-dropping-particle":"","parse-names":false,"suffix":""}],"id":"ITEM-1","issued":{"date-parts":[["2017"]]},"number-of-pages":"66","publisher":"UNIVERSITE ABDOU MOUMOUNI","title":"Effets de la pratique de la Régénération Naturelle Assistée (RNA) et des arbres sur le sol et la production agricole dans les Communes de Sakadamna et Gorou Bankassam et le village de Tidirka","type":"thesis"},"uris":["http://www.mendeley.com/documents/?uuid=9b8b7a25-fa08-446e-bbe3-b80af9513ac7"]},{"id":"ITEM-2","itemData":{"DOI":"10.19044/esj.2018.v14n27p176","ISSN":"18577881","abstract":"This paper focuses on the influence of Acacia senegal on soil and cowpea production (Vigna unguiculata) at the N'Dounga Forest Station (INRAN) through a complete randomized block design. Treatments based on its association with cowpea in isolated trees and planting were applied. Chemical parameters, nitrogen fixation potential, and cowpea production were evaluated under these treatments. The results show an improvement in the chemical property of the soil in the presence of A. Senegal. Since the pH is acidic irrespective of the modality, the analysis of the variance shows a highly significant difference between the control and the other treatments for the water pH (P &lt;0.000 1). Also, the nitrogen fixation potential cowpea was better expressed in his presence. However, the A. Senegal has less influenced the production of cowpea. The yields of pods, seeds, and fodder were reduced compared to the control. This study also revealed the dynamics of mineral elements after harvests, which reassures producers about the sustainability of the tree/crop system.","author":[{"dropping-particle":"","family":"Saidou","given":"Addam Kiari","non-dropping-particle":"","parse-names":false,"suffix":""},{"dropping-particle":"","family":"Hassane","given":"Moussa","non-dropping-particle":"","parse-names":false,"suffix":""},{"dropping-particle":"","family":"Abdoullatif","given":"Youchaou Tawaye","non-dropping-particle":"","parse-names":false,"suffix":""},{"dropping-particle":"","family":"Karimou","given":"Ambouta","non-dropping-particle":"","parse-names":false,"suffix":""}],"container-title":"European Scientific Journal, ESJ","id":"ITEM-2","issue":"27","issued":{"date-parts":[["2018"]]},"page":"176","title":"Effets d’Acacia senegal (L.) Willd. sur le Rendement du Niébé (Vigna unguiculata) au Niger, Afrique de l’ouest","type":"article-journal","volume":"14"},"uris":["http://www.mendeley.com/documents/?uuid=3aae3954-095a-46a6-970f-a8f9bc854313"]}],"mendeley":{"formattedCitation":"(Saidou et al., 2018; Yahaya, 2017)","manualFormatting":"Saidou et al., (2018) et Yahaya (2017)","plainTextFormattedCitation":"(Saidou et al., 2018; Yahaya, 2017)","previouslyFormattedCitation":"(Saidou et al., 2018; Yahaya, 2017)"},"properties":{"noteIndex":0},"schema":"https://github.com/citation-style-language/schema/raw/master/csl-citation.json"}</w:instrText>
      </w:r>
      <w:r w:rsidR="00BC0FF0">
        <w:rPr>
          <w:rFonts w:ascii="Times New Roman" w:hAnsi="Times New Roman" w:cs="Times New Roman"/>
          <w:sz w:val="24"/>
          <w:szCs w:val="24"/>
        </w:rPr>
        <w:fldChar w:fldCharType="separate"/>
      </w:r>
      <w:r w:rsidR="00BC0FF0" w:rsidRPr="00BC0FF0">
        <w:rPr>
          <w:rFonts w:ascii="Times New Roman" w:hAnsi="Times New Roman" w:cs="Times New Roman"/>
          <w:noProof/>
          <w:sz w:val="24"/>
          <w:szCs w:val="24"/>
        </w:rPr>
        <w:t xml:space="preserve">Saidou et al., </w:t>
      </w:r>
      <w:r w:rsidR="00BC0FF0">
        <w:rPr>
          <w:rFonts w:ascii="Times New Roman" w:hAnsi="Times New Roman" w:cs="Times New Roman"/>
          <w:noProof/>
          <w:sz w:val="24"/>
          <w:szCs w:val="24"/>
        </w:rPr>
        <w:t>(</w:t>
      </w:r>
      <w:r w:rsidR="00BC0FF0" w:rsidRPr="00BC0FF0">
        <w:rPr>
          <w:rFonts w:ascii="Times New Roman" w:hAnsi="Times New Roman" w:cs="Times New Roman"/>
          <w:noProof/>
          <w:sz w:val="24"/>
          <w:szCs w:val="24"/>
        </w:rPr>
        <w:t>2018</w:t>
      </w:r>
      <w:r w:rsidR="00BC0FF0">
        <w:rPr>
          <w:rFonts w:ascii="Times New Roman" w:hAnsi="Times New Roman" w:cs="Times New Roman"/>
          <w:noProof/>
          <w:sz w:val="24"/>
          <w:szCs w:val="24"/>
        </w:rPr>
        <w:t>) et</w:t>
      </w:r>
      <w:r w:rsidR="00BC0FF0" w:rsidRPr="00BC0FF0">
        <w:rPr>
          <w:rFonts w:ascii="Times New Roman" w:hAnsi="Times New Roman" w:cs="Times New Roman"/>
          <w:noProof/>
          <w:sz w:val="24"/>
          <w:szCs w:val="24"/>
        </w:rPr>
        <w:t xml:space="preserve"> Yahaya </w:t>
      </w:r>
      <w:r w:rsidR="00BC0FF0">
        <w:rPr>
          <w:rFonts w:ascii="Times New Roman" w:hAnsi="Times New Roman" w:cs="Times New Roman"/>
          <w:noProof/>
          <w:sz w:val="24"/>
          <w:szCs w:val="24"/>
        </w:rPr>
        <w:t>(</w:t>
      </w:r>
      <w:r w:rsidR="00BC0FF0" w:rsidRPr="00BC0FF0">
        <w:rPr>
          <w:rFonts w:ascii="Times New Roman" w:hAnsi="Times New Roman" w:cs="Times New Roman"/>
          <w:noProof/>
          <w:sz w:val="24"/>
          <w:szCs w:val="24"/>
        </w:rPr>
        <w:t>2017)</w:t>
      </w:r>
      <w:r w:rsidR="00BC0FF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Les teneurs en Ca2+ et Mg2+ sont acceptables, corroborées par les résultats de </w:t>
      </w:r>
      <w:r w:rsidR="00F849B0">
        <w:rPr>
          <w:rFonts w:ascii="Times New Roman" w:hAnsi="Times New Roman" w:cs="Times New Roman"/>
          <w:sz w:val="24"/>
          <w:szCs w:val="24"/>
        </w:rPr>
        <w:fldChar w:fldCharType="begin" w:fldLock="1"/>
      </w:r>
      <w:r w:rsidR="00244286">
        <w:rPr>
          <w:rFonts w:ascii="Times New Roman" w:hAnsi="Times New Roman" w:cs="Times New Roman"/>
          <w:sz w:val="24"/>
          <w:szCs w:val="24"/>
        </w:rPr>
        <w:instrText>ADDIN CSL_CITATION {"citationItems":[{"id":"ITEM-1","itemData":{"author":[{"dropping-particle":"","family":"Yahaya","given":"ALIO DAN LADI","non-dropping-particle":"","parse-names":false,"suffix":""}],"id":"ITEM-1","issued":{"date-parts":[["2017"]]},"number-of-pages":"66","publisher":"UNIVERSITE ABDOU MOUMOUNI","title":"Effets de la pratique de la Régénération Naturelle Assistée (RNA) et des arbres sur le sol et la production agricole dans les Communes de Sakadamna et Gorou Bankassam et le village de Tidirka","type":"thesis"},"uris":["http://www.mendeley.com/documents/?uuid=9b8b7a25-fa08-446e-bbe3-b80af9513ac7"]}],"mendeley":{"formattedCitation":"(Yahaya, 2017)","manualFormatting":"Yahaya (2017)","plainTextFormattedCitation":"(Yahaya, 2017)","previouslyFormattedCitation":"(Yahaya, 2017)"},"properties":{"noteIndex":0},"schema":"https://github.com/citation-style-language/schema/raw/master/csl-citation.json"}</w:instrText>
      </w:r>
      <w:r w:rsidR="00F849B0">
        <w:rPr>
          <w:rFonts w:ascii="Times New Roman" w:hAnsi="Times New Roman" w:cs="Times New Roman"/>
          <w:sz w:val="24"/>
          <w:szCs w:val="24"/>
        </w:rPr>
        <w:fldChar w:fldCharType="separate"/>
      </w:r>
      <w:r w:rsidR="00F849B0" w:rsidRPr="00F849B0">
        <w:rPr>
          <w:rFonts w:ascii="Times New Roman" w:hAnsi="Times New Roman" w:cs="Times New Roman"/>
          <w:noProof/>
          <w:sz w:val="24"/>
          <w:szCs w:val="24"/>
        </w:rPr>
        <w:t xml:space="preserve">Yahaya </w:t>
      </w:r>
      <w:r w:rsidR="00BC0FF0">
        <w:rPr>
          <w:rFonts w:ascii="Times New Roman" w:hAnsi="Times New Roman" w:cs="Times New Roman"/>
          <w:noProof/>
          <w:sz w:val="24"/>
          <w:szCs w:val="24"/>
        </w:rPr>
        <w:t>(</w:t>
      </w:r>
      <w:r w:rsidR="00F849B0" w:rsidRPr="00F849B0">
        <w:rPr>
          <w:rFonts w:ascii="Times New Roman" w:hAnsi="Times New Roman" w:cs="Times New Roman"/>
          <w:noProof/>
          <w:sz w:val="24"/>
          <w:szCs w:val="24"/>
        </w:rPr>
        <w:t>2017)</w:t>
      </w:r>
      <w:r w:rsidR="00F849B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et les analyses de l’anova montrent une amélioration des propriétés chimiques du sol, similaires aux résultats de </w:t>
      </w:r>
      <w:r w:rsidR="00F849B0">
        <w:rPr>
          <w:rFonts w:ascii="Times New Roman" w:hAnsi="Times New Roman" w:cs="Times New Roman"/>
          <w:sz w:val="24"/>
          <w:szCs w:val="24"/>
        </w:rPr>
        <w:fldChar w:fldCharType="begin" w:fldLock="1"/>
      </w:r>
      <w:r w:rsidR="00244286">
        <w:rPr>
          <w:rFonts w:ascii="Times New Roman" w:hAnsi="Times New Roman" w:cs="Times New Roman"/>
          <w:sz w:val="24"/>
          <w:szCs w:val="24"/>
        </w:rPr>
        <w:instrText>ADDIN CSL_CITATION {"citationItems":[{"id":"ITEM-1","itemData":{"DOI":"10.19044/esj.2018.v14n27p176","ISSN":"18577881","abstract":"This paper focuses on the influence of Acacia senegal on soil and cowpea production (Vigna unguiculata) at the N'Dounga Forest Station (INRAN) through a complete randomized block design. Treatments based on its association with cowpea in isolated trees and planting were applied. Chemical parameters, nitrogen fixation potential, and cowpea production were evaluated under these treatments. The results show an improvement in the chemical property of the soil in the presence of A. Senegal. Since the pH is acidic irrespective of the modality, the analysis of the variance shows a highly significant difference between the control and the other treatments for the water pH (P &lt;0.000 1). Also, the nitrogen fixation potential cowpea was better expressed in his presence. However, the A. Senegal has less influenced the production of cowpea. The yields of pods, seeds, and fodder were reduced compared to the control. This study also revealed the dynamics of mineral elements after harvests, which reassures producers about the sustainability of the tree/crop system.","author":[{"dropping-particle":"","family":"Saidou","given":"Addam Kiari","non-dropping-particle":"","parse-names":false,"suffix":""},{"dropping-particle":"","family":"Hassane","given":"Moussa","non-dropping-particle":"","parse-names":false,"suffix":""},{"dropping-particle":"","family":"Abdoullatif","given":"Youchaou Tawaye","non-dropping-particle":"","parse-names":false,"suffix":""},{"dropping-particle":"","family":"Karimou","given":"Ambouta","non-dropping-particle":"","parse-names":false,"suffix":""}],"container-title":"European Scientific Journal, ESJ","id":"ITEM-1","issue":"27","issued":{"date-parts":[["2018"]]},"page":"176","title":"Effets d’Acacia senegal (L.) Willd. sur le Rendement du Niébé (Vigna unguiculata) au Niger, Afrique de l’ouest","type":"article-journal","volume":"14"},"uris":["http://www.mendeley.com/documents/?uuid=3aae3954-095a-46a6-970f-a8f9bc854313"]}],"mendeley":{"formattedCitation":"(Saidou et al., 2018)","manualFormatting":"Saidou et al., (2018)","plainTextFormattedCitation":"(Saidou et al., 2018)","previouslyFormattedCitation":"(Saidou et al., 2018)"},"properties":{"noteIndex":0},"schema":"https://github.com/citation-style-language/schema/raw/master/csl-citation.json"}</w:instrText>
      </w:r>
      <w:r w:rsidR="00F849B0">
        <w:rPr>
          <w:rFonts w:ascii="Times New Roman" w:hAnsi="Times New Roman" w:cs="Times New Roman"/>
          <w:sz w:val="24"/>
          <w:szCs w:val="24"/>
        </w:rPr>
        <w:fldChar w:fldCharType="separate"/>
      </w:r>
      <w:r w:rsidR="00F849B0" w:rsidRPr="00F849B0">
        <w:rPr>
          <w:rFonts w:ascii="Times New Roman" w:hAnsi="Times New Roman" w:cs="Times New Roman"/>
          <w:noProof/>
          <w:sz w:val="24"/>
          <w:szCs w:val="24"/>
        </w:rPr>
        <w:t xml:space="preserve">Saidou et al., </w:t>
      </w:r>
      <w:r w:rsidR="00BC0FF0">
        <w:rPr>
          <w:rFonts w:ascii="Times New Roman" w:hAnsi="Times New Roman" w:cs="Times New Roman"/>
          <w:noProof/>
          <w:sz w:val="24"/>
          <w:szCs w:val="24"/>
        </w:rPr>
        <w:t>(</w:t>
      </w:r>
      <w:r w:rsidR="00F849B0" w:rsidRPr="00F849B0">
        <w:rPr>
          <w:rFonts w:ascii="Times New Roman" w:hAnsi="Times New Roman" w:cs="Times New Roman"/>
          <w:noProof/>
          <w:sz w:val="24"/>
          <w:szCs w:val="24"/>
        </w:rPr>
        <w:t>2018)</w:t>
      </w:r>
      <w:r w:rsidR="00F849B0">
        <w:rPr>
          <w:rFonts w:ascii="Times New Roman" w:hAnsi="Times New Roman" w:cs="Times New Roman"/>
          <w:sz w:val="24"/>
          <w:szCs w:val="24"/>
        </w:rPr>
        <w:fldChar w:fldCharType="end"/>
      </w:r>
      <w:r w:rsidRPr="00D40A79">
        <w:rPr>
          <w:rFonts w:ascii="Times New Roman" w:hAnsi="Times New Roman" w:cs="Times New Roman"/>
          <w:sz w:val="24"/>
          <w:szCs w:val="24"/>
        </w:rPr>
        <w:t>.</w:t>
      </w:r>
    </w:p>
    <w:p w14:paraId="35C3D802" w14:textId="644B2B16"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L'analyse de la densité de végétation ligneuse a montré ses effets sur les rendements du niébé, du mil et du sorgho. Les résultats indiquent un effet dépréciatif des ligneux sur la production de ces cultures</w:t>
      </w:r>
      <w:r w:rsidR="00A22BFD">
        <w:rPr>
          <w:rFonts w:ascii="Times New Roman" w:hAnsi="Times New Roman" w:cs="Times New Roman"/>
          <w:sz w:val="24"/>
          <w:szCs w:val="24"/>
        </w:rPr>
        <w:t xml:space="preserve">, </w:t>
      </w:r>
      <w:r w:rsidR="00A22BFD" w:rsidRPr="00A22BFD">
        <w:rPr>
          <w:rFonts w:ascii="Times New Roman" w:hAnsi="Times New Roman" w:cs="Times New Roman"/>
          <w:sz w:val="24"/>
          <w:szCs w:val="24"/>
        </w:rPr>
        <w:t xml:space="preserve">confirmant du coup les dires des </w:t>
      </w:r>
      <w:r w:rsidR="00244286" w:rsidRPr="00A22BFD">
        <w:rPr>
          <w:rFonts w:ascii="Times New Roman" w:hAnsi="Times New Roman" w:cs="Times New Roman"/>
          <w:sz w:val="24"/>
          <w:szCs w:val="24"/>
        </w:rPr>
        <w:t>paysans</w:t>
      </w:r>
      <w:r w:rsidR="00244286">
        <w:rPr>
          <w:rFonts w:ascii="Times New Roman" w:hAnsi="Times New Roman" w:cs="Times New Roman"/>
          <w:sz w:val="24"/>
          <w:szCs w:val="24"/>
        </w:rPr>
        <w:t xml:space="preserve">, </w:t>
      </w:r>
      <w:r w:rsidR="00244286" w:rsidRPr="00A22BFD">
        <w:rPr>
          <w:rFonts w:ascii="Times New Roman" w:hAnsi="Times New Roman" w:cs="Times New Roman"/>
          <w:sz w:val="24"/>
          <w:szCs w:val="24"/>
        </w:rPr>
        <w:t>rapportés</w:t>
      </w:r>
      <w:r w:rsidR="00A22BFD" w:rsidRPr="00A22BFD">
        <w:rPr>
          <w:rFonts w:ascii="Times New Roman" w:hAnsi="Times New Roman" w:cs="Times New Roman"/>
          <w:sz w:val="24"/>
          <w:szCs w:val="24"/>
        </w:rPr>
        <w:t xml:space="preserve"> </w:t>
      </w:r>
      <w:r w:rsidR="00A22BFD">
        <w:rPr>
          <w:rFonts w:ascii="Times New Roman" w:hAnsi="Times New Roman" w:cs="Times New Roman"/>
          <w:sz w:val="24"/>
          <w:szCs w:val="24"/>
        </w:rPr>
        <w:t xml:space="preserve">également </w:t>
      </w:r>
      <w:r w:rsidR="00A22BFD" w:rsidRPr="00A22BFD">
        <w:rPr>
          <w:rFonts w:ascii="Times New Roman" w:hAnsi="Times New Roman" w:cs="Times New Roman"/>
          <w:sz w:val="24"/>
          <w:szCs w:val="24"/>
        </w:rPr>
        <w:t>par PAC II en 2011</w:t>
      </w:r>
      <w:r w:rsidRPr="00D40A79">
        <w:rPr>
          <w:rFonts w:ascii="Times New Roman" w:hAnsi="Times New Roman" w:cs="Times New Roman"/>
          <w:sz w:val="24"/>
          <w:szCs w:val="24"/>
        </w:rPr>
        <w:t>. Des observations similaires ont été faites par Mansour et al. (2016)</w:t>
      </w:r>
      <w:r w:rsidR="00244286">
        <w:rPr>
          <w:rFonts w:ascii="Times New Roman" w:hAnsi="Times New Roman" w:cs="Times New Roman"/>
          <w:sz w:val="24"/>
          <w:szCs w:val="24"/>
        </w:rPr>
        <w:t xml:space="preserve"> </w:t>
      </w:r>
      <w:r w:rsidR="00244286">
        <w:rPr>
          <w:rFonts w:ascii="Times New Roman" w:hAnsi="Times New Roman" w:cs="Times New Roman"/>
          <w:sz w:val="24"/>
          <w:szCs w:val="24"/>
        </w:rPr>
        <w:fldChar w:fldCharType="begin" w:fldLock="1"/>
      </w:r>
      <w:r w:rsidR="00D11D9E">
        <w:rPr>
          <w:rFonts w:ascii="Times New Roman" w:hAnsi="Times New Roman" w:cs="Times New Roman"/>
          <w:sz w:val="24"/>
          <w:szCs w:val="24"/>
        </w:rPr>
        <w:instrText>ADDIN CSL_CITATION {"citationItems":[{"id":"ITEM-1","itemData":{"DOI":"10.19044/esj.2018.v14n27p176","ISSN":"18577881","abstract":"This paper focuses on the influence of Acacia senegal on soil and cowpea production (Vigna unguiculata) at the N'Dounga Forest Station (INRAN) through a complete randomized block design. Treatments based on its association with cowpea in isolated trees and planting were applied. Chemical parameters, nitrogen fixation potential, and cowpea production were evaluated under these treatments. The results show an improvement in the chemical property of the soil in the presence of A. Senegal. Since the pH is acidic irrespective of the modality, the analysis of the variance shows a highly significant difference between the control and the other treatments for the water pH (P &lt;0.000 1). Also, the nitrogen fixation potential cowpea was better expressed in his presence. However, the A. Senegal has less influenced the production of cowpea. The yields of pods, seeds, and fodder were reduced compared to the control. This study also revealed the dynamics of mineral elements after harvests, which reassures producers about the sustainability of the tree/crop system.","author":[{"dropping-particle":"","family":"Saidou","given":"Addam Kiari","non-dropping-particle":"","parse-names":false,"suffix":""},{"dropping-particle":"","family":"Hassane","given":"Moussa","non-dropping-particle":"","parse-names":false,"suffix":""},{"dropping-particle":"","family":"Abdoullatif","given":"Youchaou Tawaye","non-dropping-particle":"","parse-names":false,"suffix":""},{"dropping-particle":"","family":"Karimou","given":"Ambouta","non-dropping-particle":"","parse-names":false,"suffix":""}],"container-title":"European Scientific Journal, ESJ","id":"ITEM-1","issue":"27","issued":{"date-parts":[["2018"]]},"page":"176","title":"Effets d’Acacia senegal (L.) Willd. sur le Rendement du Niébé (Vigna unguiculata) au Niger, Afrique de l’ouest","type":"article-journal","volume":"14"},"uris":["http://www.mendeley.com/documents/?uuid=3aae3954-095a-46a6-970f-a8f9bc854313"]}],"mendeley":{"formattedCitation":"(Saidou et al., 2018)","manualFormatting":"(cité par Saidou et al., 2018)","plainTextFormattedCitation":"(Saidou et al., 2018)","previouslyFormattedCitation":"(Saidou et al., 2018)"},"properties":{"noteIndex":0},"schema":"https://github.com/citation-style-language/schema/raw/master/csl-citation.json"}</w:instrText>
      </w:r>
      <w:r w:rsidR="00244286">
        <w:rPr>
          <w:rFonts w:ascii="Times New Roman" w:hAnsi="Times New Roman" w:cs="Times New Roman"/>
          <w:sz w:val="24"/>
          <w:szCs w:val="24"/>
        </w:rPr>
        <w:fldChar w:fldCharType="separate"/>
      </w:r>
      <w:r w:rsidR="00244286" w:rsidRPr="00244286">
        <w:rPr>
          <w:rFonts w:ascii="Times New Roman" w:hAnsi="Times New Roman" w:cs="Times New Roman"/>
          <w:noProof/>
          <w:sz w:val="24"/>
          <w:szCs w:val="24"/>
        </w:rPr>
        <w:t>(</w:t>
      </w:r>
      <w:r w:rsidR="00244286">
        <w:rPr>
          <w:rFonts w:ascii="Times New Roman" w:hAnsi="Times New Roman" w:cs="Times New Roman"/>
          <w:noProof/>
          <w:sz w:val="24"/>
          <w:szCs w:val="24"/>
        </w:rPr>
        <w:t xml:space="preserve">cité par </w:t>
      </w:r>
      <w:r w:rsidR="00244286" w:rsidRPr="00244286">
        <w:rPr>
          <w:rFonts w:ascii="Times New Roman" w:hAnsi="Times New Roman" w:cs="Times New Roman"/>
          <w:noProof/>
          <w:sz w:val="24"/>
          <w:szCs w:val="24"/>
        </w:rPr>
        <w:t>Saidou et al., 2018)</w:t>
      </w:r>
      <w:r w:rsidR="00244286">
        <w:rPr>
          <w:rFonts w:ascii="Times New Roman" w:hAnsi="Times New Roman" w:cs="Times New Roman"/>
          <w:sz w:val="24"/>
          <w:szCs w:val="24"/>
        </w:rPr>
        <w:fldChar w:fldCharType="end"/>
      </w:r>
      <w:r w:rsidR="006E3A9F">
        <w:rPr>
          <w:rFonts w:ascii="Times New Roman" w:hAnsi="Times New Roman" w:cs="Times New Roman"/>
          <w:sz w:val="24"/>
          <w:szCs w:val="24"/>
        </w:rPr>
        <w:t xml:space="preserve"> et </w:t>
      </w:r>
      <w:r w:rsidR="006E3A9F">
        <w:rPr>
          <w:rFonts w:ascii="Times New Roman" w:hAnsi="Times New Roman" w:cs="Times New Roman"/>
          <w:sz w:val="24"/>
          <w:szCs w:val="24"/>
        </w:rPr>
        <w:fldChar w:fldCharType="begin" w:fldLock="1"/>
      </w:r>
      <w:r w:rsidR="00E93C01">
        <w:rPr>
          <w:rFonts w:ascii="Times New Roman" w:hAnsi="Times New Roman" w:cs="Times New Roman"/>
          <w:sz w:val="24"/>
          <w:szCs w:val="24"/>
        </w:rPr>
        <w:instrText>ADDIN CSL_CITATION {"citationItems":[{"id":"ITEM-1","itemData":{"DOI":"10.4314/jab.v82i1.2","abstract":"Objectives: Sahelian soils are characterized by low level of fertility whose improvement is done by the spreading of organic manure or artificial fertilizers. However, the economic constraints of households limit their adoption. Options not requiring any monetary exit like integration culture and the natural woody vegetation would constitute alternatives that are in adequacy with the socio-economic conditions of farmers. Methodology and results: The experimentation design is concentric crowns around the tree and one local variety of the sorghum. These results showed that it hasn’t significant difference of sorghum height between plants in out crown (223.68 cm) than in the crown (195.04 and 161.73 cm). The sorghum productivity both panicles and grains was statistically higher one the crown than out crown respectively 5279 kg.ha-1 against 4857 kg.ha-1 and 4303.1 kg.ha-1 against 3402.0 Kg.ha-1. Conclusion and application: The presence of A.senegal species in the fields created an agro-ecological environment that supports the sorghum production. These results are of practical interest because A. senegal-cultures association could be an alternative to the chemical inputs increasingly inaccessible to farmers.","author":[{"dropping-particle":"","family":"Manssour","given":"ABDOU Maman","non-dropping-particle":"","parse-names":false,"suffix":""},{"dropping-particle":"","family":"Zoubeirou","given":"ALZOUMA MAYAKI","non-dropping-particle":"","parse-names":false,"suffix":""},{"dropping-particle":"","family":"Nomao","given":"DAN LAMSO","non-dropping-particle":"","parse-names":false,"suffix":""},{"dropping-particle":"","family":"Djibo","given":"ELHADJI SEYBOU","non-dropping-particle":"","parse-names":false,"suffix":""},{"dropping-particle":"","family":"AMBOUTA","given":"Jean-Marie Karimou","non-dropping-particle":"","parse-names":false,"suffix":""}],"container-title":"Journal of Applied Biosciences","id":"ITEM-1","issue":"1","issued":{"date-parts":[["2014"]]},"page":"7339","title":"Productivité de la culture du sorgho (Sorghum bicolor) dans un système agroforestier à base d’Acacia senegal (L.) Willd. au Niger","type":"article-journal","volume":"82"},"uris":["http://www.mendeley.com/documents/?uuid=8db8c1c2-9c20-4675-8b48-0f8f659f5fa7"]}],"mendeley":{"formattedCitation":"(Manssour et al., 2014)","plainTextFormattedCitation":"(Manssour et al., 2014)","previouslyFormattedCitation":"(Manssour et al., 2014)"},"properties":{"noteIndex":0},"schema":"https://github.com/citation-style-language/schema/raw/master/csl-citation.json"}</w:instrText>
      </w:r>
      <w:r w:rsidR="006E3A9F">
        <w:rPr>
          <w:rFonts w:ascii="Times New Roman" w:hAnsi="Times New Roman" w:cs="Times New Roman"/>
          <w:sz w:val="24"/>
          <w:szCs w:val="24"/>
        </w:rPr>
        <w:fldChar w:fldCharType="separate"/>
      </w:r>
      <w:r w:rsidR="006E3A9F" w:rsidRPr="006E3A9F">
        <w:rPr>
          <w:rFonts w:ascii="Times New Roman" w:hAnsi="Times New Roman" w:cs="Times New Roman"/>
          <w:noProof/>
          <w:sz w:val="24"/>
          <w:szCs w:val="24"/>
        </w:rPr>
        <w:t>(Manssour et al., 2014)</w:t>
      </w:r>
      <w:r w:rsidR="006E3A9F">
        <w:rPr>
          <w:rFonts w:ascii="Times New Roman" w:hAnsi="Times New Roman" w:cs="Times New Roman"/>
          <w:sz w:val="24"/>
          <w:szCs w:val="24"/>
        </w:rPr>
        <w:fldChar w:fldCharType="end"/>
      </w:r>
      <w:r w:rsidR="006E3A9F">
        <w:rPr>
          <w:rFonts w:ascii="Times New Roman" w:hAnsi="Times New Roman" w:cs="Times New Roman"/>
          <w:sz w:val="24"/>
          <w:szCs w:val="24"/>
        </w:rPr>
        <w:t xml:space="preserve">  et qui ont trouvés </w:t>
      </w:r>
      <w:r w:rsidR="006E3A9F" w:rsidRPr="006E3A9F">
        <w:rPr>
          <w:rFonts w:ascii="Times New Roman" w:hAnsi="Times New Roman" w:cs="Times New Roman"/>
          <w:sz w:val="24"/>
          <w:szCs w:val="24"/>
        </w:rPr>
        <w:t>la biomasse du sorgho, plus importante hors couvert</w:t>
      </w:r>
      <w:r w:rsidR="006E3A9F">
        <w:rPr>
          <w:rFonts w:ascii="Times New Roman" w:hAnsi="Times New Roman" w:cs="Times New Roman"/>
          <w:sz w:val="24"/>
          <w:szCs w:val="24"/>
        </w:rPr>
        <w:t xml:space="preserve"> végétal</w:t>
      </w:r>
      <w:r w:rsidRPr="00D40A79">
        <w:rPr>
          <w:rFonts w:ascii="Times New Roman" w:hAnsi="Times New Roman" w:cs="Times New Roman"/>
          <w:sz w:val="24"/>
          <w:szCs w:val="24"/>
        </w:rPr>
        <w:t>, alors qu'Abdou (2006)</w:t>
      </w:r>
      <w:r w:rsidR="006E3A9F">
        <w:rPr>
          <w:rFonts w:ascii="Times New Roman" w:hAnsi="Times New Roman" w:cs="Times New Roman"/>
          <w:sz w:val="24"/>
          <w:szCs w:val="24"/>
        </w:rPr>
        <w:t xml:space="preserve"> </w:t>
      </w:r>
      <w:r w:rsidR="006E3A9F">
        <w:rPr>
          <w:rFonts w:ascii="Times New Roman" w:hAnsi="Times New Roman" w:cs="Times New Roman"/>
          <w:sz w:val="24"/>
          <w:szCs w:val="24"/>
        </w:rPr>
        <w:fldChar w:fldCharType="begin" w:fldLock="1"/>
      </w:r>
      <w:r w:rsidR="006E3A9F">
        <w:rPr>
          <w:rFonts w:ascii="Times New Roman" w:hAnsi="Times New Roman" w:cs="Times New Roman"/>
          <w:sz w:val="24"/>
          <w:szCs w:val="24"/>
        </w:rPr>
        <w:instrText>ADDIN CSL_CITATION {"citationItems":[{"id":"ITEM-1","itemData":{"DOI":"10.19044/esj.2018.v14n27p176","ISSN":"18577881","abstract":"This paper focuses on the influence of Acacia senegal on soil and cowpea production (Vigna unguiculata) at the N'Dounga Forest Station (INRAN) through a complete randomized block design. Treatments based on its association with cowpea in isolated trees and planting were applied. Chemical parameters, nitrogen fixation potential, and cowpea production were evaluated under these treatments. The results show an improvement in the chemical property of the soil in the presence of A. Senegal. Since the pH is acidic irrespective of the modality, the analysis of the variance shows a highly significant difference between the control and the other treatments for the water pH (P &lt;0.000 1). Also, the nitrogen fixation potential cowpea was better expressed in his presence. However, the A. Senegal has less influenced the production of cowpea. The yields of pods, seeds, and fodder were reduced compared to the control. This study also revealed the dynamics of mineral elements after harvests, which reassures producers about the sustainability of the tree/crop system.","author":[{"dropping-particle":"","family":"Saidou","given":"Addam Kiari","non-dropping-particle":"","parse-names":false,"suffix":""},{"dropping-particle":"","family":"Hassane","given":"Moussa","non-dropping-particle":"","parse-names":false,"suffix":""},{"dropping-particle":"","family":"Abdoullatif","given":"Youchaou Tawaye","non-dropping-particle":"","parse-names":false,"suffix":""},{"dropping-particle":"","family":"Karimou","given":"Ambouta","non-dropping-particle":"","parse-names":false,"suffix":""}],"container-title":"European Scientific Journal, ESJ","id":"ITEM-1","issue":"27","issued":{"date-parts":[["2018"]]},"page":"176","title":"Effets d’Acacia senegal (L.) Willd. sur le Rendement du Niébé (Vigna unguiculata) au Niger, Afrique de l’ouest","type":"article-journal","volume":"14"},"uris":["http://www.mendeley.com/documents/?uuid=3aae3954-095a-46a6-970f-a8f9bc854313"]}],"mendeley":{"formattedCitation":"(Saidou et al., 2018)","manualFormatting":"(cité par Saidou et al., 2018)","plainTextFormattedCitation":"(Saidou et al., 2018)","previouslyFormattedCitation":"(Saidou et al., 2018)"},"properties":{"noteIndex":0},"schema":"https://github.com/citation-style-language/schema/raw/master/csl-citation.json"}</w:instrText>
      </w:r>
      <w:r w:rsidR="006E3A9F">
        <w:rPr>
          <w:rFonts w:ascii="Times New Roman" w:hAnsi="Times New Roman" w:cs="Times New Roman"/>
          <w:sz w:val="24"/>
          <w:szCs w:val="24"/>
        </w:rPr>
        <w:fldChar w:fldCharType="separate"/>
      </w:r>
      <w:r w:rsidR="006E3A9F" w:rsidRPr="00244286">
        <w:rPr>
          <w:rFonts w:ascii="Times New Roman" w:hAnsi="Times New Roman" w:cs="Times New Roman"/>
          <w:noProof/>
          <w:sz w:val="24"/>
          <w:szCs w:val="24"/>
        </w:rPr>
        <w:t>(</w:t>
      </w:r>
      <w:r w:rsidR="006E3A9F">
        <w:rPr>
          <w:rFonts w:ascii="Times New Roman" w:hAnsi="Times New Roman" w:cs="Times New Roman"/>
          <w:noProof/>
          <w:sz w:val="24"/>
          <w:szCs w:val="24"/>
        </w:rPr>
        <w:t xml:space="preserve">cité par </w:t>
      </w:r>
      <w:r w:rsidR="006E3A9F" w:rsidRPr="00244286">
        <w:rPr>
          <w:rFonts w:ascii="Times New Roman" w:hAnsi="Times New Roman" w:cs="Times New Roman"/>
          <w:noProof/>
          <w:sz w:val="24"/>
          <w:szCs w:val="24"/>
        </w:rPr>
        <w:t>Saidou et al., 2018)</w:t>
      </w:r>
      <w:r w:rsidR="006E3A9F">
        <w:rPr>
          <w:rFonts w:ascii="Times New Roman" w:hAnsi="Times New Roman" w:cs="Times New Roman"/>
          <w:sz w:val="24"/>
          <w:szCs w:val="24"/>
        </w:rPr>
        <w:fldChar w:fldCharType="end"/>
      </w:r>
      <w:r w:rsidR="009C6F29">
        <w:rPr>
          <w:rFonts w:ascii="Times New Roman" w:hAnsi="Times New Roman" w:cs="Times New Roman"/>
          <w:sz w:val="24"/>
          <w:szCs w:val="24"/>
        </w:rPr>
        <w:t xml:space="preserve"> </w:t>
      </w:r>
      <w:r w:rsidR="00D11D9E">
        <w:rPr>
          <w:rFonts w:ascii="Times New Roman" w:hAnsi="Times New Roman" w:cs="Times New Roman"/>
          <w:sz w:val="24"/>
          <w:szCs w:val="24"/>
        </w:rPr>
        <w:t xml:space="preserve"> </w:t>
      </w:r>
      <w:r w:rsidRPr="00D40A79">
        <w:rPr>
          <w:rFonts w:ascii="Times New Roman" w:hAnsi="Times New Roman" w:cs="Times New Roman"/>
          <w:sz w:val="24"/>
          <w:szCs w:val="24"/>
        </w:rPr>
        <w:t>a trouvé une augmentation de la biomasse du mil en fonction de la taille décroissante du houppier. L'analyse de variance du rendement en grains</w:t>
      </w:r>
      <w:r w:rsidR="00A6498A">
        <w:rPr>
          <w:rFonts w:ascii="Times New Roman" w:hAnsi="Times New Roman" w:cs="Times New Roman"/>
          <w:sz w:val="24"/>
          <w:szCs w:val="24"/>
        </w:rPr>
        <w:t xml:space="preserve"> </w:t>
      </w:r>
      <w:r w:rsidRPr="00D40A79">
        <w:rPr>
          <w:rFonts w:ascii="Times New Roman" w:hAnsi="Times New Roman" w:cs="Times New Roman"/>
          <w:sz w:val="24"/>
          <w:szCs w:val="24"/>
        </w:rPr>
        <w:t xml:space="preserve">est significative, suggérant l'impact positif des fertilisants et de la décomposition de la litière sur la restitution de matière organique au sol </w:t>
      </w:r>
      <w:r w:rsidR="00E93C01">
        <w:rPr>
          <w:rFonts w:ascii="Times New Roman" w:hAnsi="Times New Roman" w:cs="Times New Roman"/>
          <w:sz w:val="24"/>
          <w:szCs w:val="24"/>
        </w:rPr>
        <w:fldChar w:fldCharType="begin" w:fldLock="1"/>
      </w:r>
      <w:r w:rsidR="00F672F0">
        <w:rPr>
          <w:rFonts w:ascii="Times New Roman" w:hAnsi="Times New Roman" w:cs="Times New Roman"/>
          <w:sz w:val="24"/>
          <w:szCs w:val="24"/>
        </w:rPr>
        <w:instrText>ADDIN CSL_CITATION {"citationItems":[{"id":"ITEM-1","itemData":{"DOI":"10.19044/esj.2020.v16n9p82","ISSN":"18577881","abstract":"This study was conducted at the Dineye and Kassamma sites in the Zinder (Niger). Its objective is to determine the effect of the combination of FMNR and microdose fertilizers on millet productivity. The experimental device used is a Fisher block with ten (10) repetitions. The factor studied is soil fertilization with four (4) treatments (T): T1 consisting only of FMNR serving as a control; T2 which is a combination of FMNR and manure in microdose; T3 which is a combination of FMNR, manure and NPK in microdose and T4 which is a combination of FMNR and NPK in microdose. The growth parameters like height of the plant and the number of leaves were monitored per decade until maturity. At harvest, the yield components, namely: dry biomass, the weight of the ears and grains were evaluated. The results showed that height of the plants and the number of leaves were higher with T3. As for yields of stems, ears and grains, they were significantly higher in T3, followed by T4, T2 and T1 respectively. These results show that the combination of FMNR, organic manure and mineral manure in microdose made it possible to increase the yield of millet. This combination could therefore be popularized among agricultural producers in areas practicing FMNR to improve the productivity of their crops.","author":[{"dropping-particle":"","family":"Manssour","given":"Abdou Maman","non-dropping-particle":"","parse-names":false,"suffix":""},{"dropping-particle":"","family":"Abdoulkadri","given":"Laouali","non-dropping-particle":"","parse-names":false,"suffix":""},{"dropping-particle":"","family":"Abass Haboubacar","given":"Malam Bachir","non-dropping-particle":"","parse-names":false,"suffix":""},{"dropping-particle":"","family":"Djibo","given":"Elhadji Seybou","non-dropping-particle":"","parse-names":false,"suffix":""},{"dropping-particle":"","family":"Ali","given":"Abdoulkadri","non-dropping-particle":"","parse-names":false,"suffix":""},{"dropping-particle":"","family":"Zoubeirou","given":"Alzouma Mayaki","non-dropping-particle":"","parse-names":false,"suffix":""}],"container-title":"European Scientific Journal ESJ","id":"ITEM-1","issue":"9","issued":{"date-parts":[["2020"]]},"title":"Impact De La Combinaison Regeneration Naturelle Assistee (Rna) Et Engrais En Microdose Sur La Productivite Du Mil (Pennisetum Glaucum (L.) R. Br.) Au Niger","type":"article-journal","volume":"16"},"uris":["http://www.mendeley.com/documents/?uuid=fb960bd3-96be-4746-9302-acfccca394c6"]}],"mendeley":{"formattedCitation":"(Manssour et al., 2020)","plainTextFormattedCitation":"(Manssour et al., 2020)","previouslyFormattedCitation":"(Manssour et al., 2020)"},"properties":{"noteIndex":0},"schema":"https://github.com/citation-style-language/schema/raw/master/csl-citation.json"}</w:instrText>
      </w:r>
      <w:r w:rsidR="00E93C01">
        <w:rPr>
          <w:rFonts w:ascii="Times New Roman" w:hAnsi="Times New Roman" w:cs="Times New Roman"/>
          <w:sz w:val="24"/>
          <w:szCs w:val="24"/>
        </w:rPr>
        <w:fldChar w:fldCharType="separate"/>
      </w:r>
      <w:r w:rsidR="00E93C01" w:rsidRPr="00E93C01">
        <w:rPr>
          <w:rFonts w:ascii="Times New Roman" w:hAnsi="Times New Roman" w:cs="Times New Roman"/>
          <w:noProof/>
          <w:sz w:val="24"/>
          <w:szCs w:val="24"/>
        </w:rPr>
        <w:t>(Manssour et al., 2020)</w:t>
      </w:r>
      <w:r w:rsidR="00E93C01">
        <w:rPr>
          <w:rFonts w:ascii="Times New Roman" w:hAnsi="Times New Roman" w:cs="Times New Roman"/>
          <w:sz w:val="24"/>
          <w:szCs w:val="24"/>
        </w:rPr>
        <w:fldChar w:fldCharType="end"/>
      </w:r>
      <w:r w:rsidRPr="00D40A79">
        <w:rPr>
          <w:rFonts w:ascii="Times New Roman" w:hAnsi="Times New Roman" w:cs="Times New Roman"/>
          <w:sz w:val="24"/>
          <w:szCs w:val="24"/>
        </w:rPr>
        <w:t>. Ces résultats concordent avec ceux de</w:t>
      </w:r>
      <w:r w:rsidR="00F672F0">
        <w:rPr>
          <w:rFonts w:ascii="Times New Roman" w:hAnsi="Times New Roman" w:cs="Times New Roman"/>
          <w:sz w:val="24"/>
          <w:szCs w:val="24"/>
        </w:rPr>
        <w:fldChar w:fldCharType="begin" w:fldLock="1"/>
      </w:r>
      <w:r w:rsidR="005C733E">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2023)","manualFormatting":" Hamissou (2023)","plainTextFormattedCitation":"(Hamissou, 2023)","previouslyFormattedCitation":"(Hamissou, 2023)"},"properties":{"noteIndex":0},"schema":"https://github.com/citation-style-language/schema/raw/master/csl-citation.json"}</w:instrText>
      </w:r>
      <w:r w:rsidR="00F672F0">
        <w:rPr>
          <w:rFonts w:ascii="Times New Roman" w:hAnsi="Times New Roman" w:cs="Times New Roman"/>
          <w:sz w:val="24"/>
          <w:szCs w:val="24"/>
        </w:rPr>
        <w:fldChar w:fldCharType="separate"/>
      </w:r>
      <w:r w:rsidR="00F672F0">
        <w:rPr>
          <w:rFonts w:ascii="Times New Roman" w:hAnsi="Times New Roman" w:cs="Times New Roman"/>
          <w:noProof/>
          <w:sz w:val="24"/>
          <w:szCs w:val="24"/>
        </w:rPr>
        <w:t xml:space="preserve"> </w:t>
      </w:r>
      <w:r w:rsidR="00F672F0" w:rsidRPr="00F672F0">
        <w:rPr>
          <w:rFonts w:ascii="Times New Roman" w:hAnsi="Times New Roman" w:cs="Times New Roman"/>
          <w:noProof/>
          <w:sz w:val="24"/>
          <w:szCs w:val="24"/>
        </w:rPr>
        <w:t xml:space="preserve">Hamissou </w:t>
      </w:r>
      <w:r w:rsidR="00F672F0">
        <w:rPr>
          <w:rFonts w:ascii="Times New Roman" w:hAnsi="Times New Roman" w:cs="Times New Roman"/>
          <w:noProof/>
          <w:sz w:val="24"/>
          <w:szCs w:val="24"/>
        </w:rPr>
        <w:t>(</w:t>
      </w:r>
      <w:r w:rsidR="00F672F0" w:rsidRPr="00F672F0">
        <w:rPr>
          <w:rFonts w:ascii="Times New Roman" w:hAnsi="Times New Roman" w:cs="Times New Roman"/>
          <w:noProof/>
          <w:sz w:val="24"/>
          <w:szCs w:val="24"/>
        </w:rPr>
        <w:t>2023)</w:t>
      </w:r>
      <w:r w:rsidR="00F672F0">
        <w:rPr>
          <w:rFonts w:ascii="Times New Roman" w:hAnsi="Times New Roman" w:cs="Times New Roman"/>
          <w:sz w:val="24"/>
          <w:szCs w:val="24"/>
        </w:rPr>
        <w:fldChar w:fldCharType="end"/>
      </w:r>
      <w:r w:rsidR="00F672F0">
        <w:rPr>
          <w:rFonts w:ascii="Times New Roman" w:hAnsi="Times New Roman" w:cs="Times New Roman"/>
          <w:sz w:val="24"/>
          <w:szCs w:val="24"/>
        </w:rPr>
        <w:t xml:space="preserve"> et</w:t>
      </w:r>
      <w:r w:rsidRPr="00D40A79">
        <w:rPr>
          <w:rFonts w:ascii="Times New Roman" w:hAnsi="Times New Roman" w:cs="Times New Roman"/>
          <w:sz w:val="24"/>
          <w:szCs w:val="24"/>
        </w:rPr>
        <w:t xml:space="preserve"> </w:t>
      </w:r>
      <w:r w:rsidR="00F672F0">
        <w:rPr>
          <w:rFonts w:ascii="Times New Roman" w:hAnsi="Times New Roman" w:cs="Times New Roman"/>
          <w:sz w:val="24"/>
          <w:szCs w:val="24"/>
        </w:rPr>
        <w:fldChar w:fldCharType="begin" w:fldLock="1"/>
      </w:r>
      <w:r w:rsidR="00F672F0">
        <w:rPr>
          <w:rFonts w:ascii="Times New Roman" w:hAnsi="Times New Roman" w:cs="Times New Roman"/>
          <w:sz w:val="24"/>
          <w:szCs w:val="24"/>
        </w:rPr>
        <w:instrText>ADDIN CSL_CITATION {"citationItems":[{"id":"ITEM-1","itemData":{"ISBN":"1ba200f82e0b57d6ca185a314fa72622","abstract":"Ce rapport présente les résultats d’une étude dont l’objectif était d’explorer l’échelle de la régénération naturelle assistée (RNA) dans les 3M (les départements de Magaria, Matameye et Mirriah), ses impacts sur les conditions de vie de la population et d’identifier ce qui a motivé les paysans à protéger et à gérer les arbres.","author":[{"dropping-particle":"","family":"Larwanou","given":"M","non-dropping-particle":"","parse-names":false,"suffix":""},{"dropping-particle":"","family":"Abdoulaye","given":"M","non-dropping-particle":"","parse-names":false,"suffix":""},{"dropping-particle":"","family":"Reij","given":"C.","non-dropping-particle":"","parse-names":false,"suffix":""}],"container-title":"United States Agency for International Development (USAID/ EGAT)","id":"ITEM-1","issued":{"date-parts":[["2006"]]},"page":"56","title":"Etude de la régénération naturelle assistée dans la région de Zinder (Niger): Une première exploration d'un phénomène spectaculaire","type":"article-journal"},"uris":["http://www.mendeley.com/documents/?uuid=893c6d50-8a73-4531-8c9f-5a204d85c0fa"]}],"mendeley":{"formattedCitation":"(Larwanou et al., 2006)","manualFormatting":"Larwanou et al., (2006)","plainTextFormattedCitation":"(Larwanou et al., 2006)","previouslyFormattedCitation":"(Larwanou et al., 2006)"},"properties":{"noteIndex":0},"schema":"https://github.com/citation-style-language/schema/raw/master/csl-citation.json"}</w:instrText>
      </w:r>
      <w:r w:rsidR="00F672F0">
        <w:rPr>
          <w:rFonts w:ascii="Times New Roman" w:hAnsi="Times New Roman" w:cs="Times New Roman"/>
          <w:sz w:val="24"/>
          <w:szCs w:val="24"/>
        </w:rPr>
        <w:fldChar w:fldCharType="separate"/>
      </w:r>
      <w:r w:rsidR="00F672F0" w:rsidRPr="00F672F0">
        <w:rPr>
          <w:rFonts w:ascii="Times New Roman" w:hAnsi="Times New Roman" w:cs="Times New Roman"/>
          <w:noProof/>
          <w:sz w:val="24"/>
          <w:szCs w:val="24"/>
        </w:rPr>
        <w:t xml:space="preserve">Larwanou et al., </w:t>
      </w:r>
      <w:r w:rsidR="00F672F0">
        <w:rPr>
          <w:rFonts w:ascii="Times New Roman" w:hAnsi="Times New Roman" w:cs="Times New Roman"/>
          <w:noProof/>
          <w:sz w:val="24"/>
          <w:szCs w:val="24"/>
        </w:rPr>
        <w:t>(</w:t>
      </w:r>
      <w:r w:rsidR="00F672F0" w:rsidRPr="00F672F0">
        <w:rPr>
          <w:rFonts w:ascii="Times New Roman" w:hAnsi="Times New Roman" w:cs="Times New Roman"/>
          <w:noProof/>
          <w:sz w:val="24"/>
          <w:szCs w:val="24"/>
        </w:rPr>
        <w:t>2006)</w:t>
      </w:r>
      <w:r w:rsidR="00F672F0">
        <w:rPr>
          <w:rFonts w:ascii="Times New Roman" w:hAnsi="Times New Roman" w:cs="Times New Roman"/>
          <w:sz w:val="24"/>
          <w:szCs w:val="24"/>
        </w:rPr>
        <w:fldChar w:fldCharType="end"/>
      </w:r>
      <w:r w:rsidRPr="00D40A79">
        <w:rPr>
          <w:rFonts w:ascii="Times New Roman" w:hAnsi="Times New Roman" w:cs="Times New Roman"/>
          <w:sz w:val="24"/>
          <w:szCs w:val="24"/>
        </w:rPr>
        <w:t>, qui ont montré que la régénération naturelle favorise l'intensification agricole et a un impact positif sur les cultures de mil, niébé et sorgho.</w:t>
      </w:r>
    </w:p>
    <w:p w14:paraId="4DCDCF54" w14:textId="35C54392" w:rsidR="00D40A79" w:rsidRDefault="00D40A79" w:rsidP="00AA24C9">
      <w:pPr>
        <w:spacing w:line="360" w:lineRule="auto"/>
        <w:jc w:val="both"/>
        <w:rPr>
          <w:rFonts w:ascii="Times New Roman" w:hAnsi="Times New Roman" w:cs="Times New Roman"/>
          <w:sz w:val="24"/>
          <w:szCs w:val="24"/>
        </w:rPr>
      </w:pPr>
      <w:r w:rsidRPr="00D40A79">
        <w:rPr>
          <w:rFonts w:ascii="Times New Roman" w:hAnsi="Times New Roman" w:cs="Times New Roman"/>
          <w:sz w:val="24"/>
          <w:szCs w:val="24"/>
        </w:rPr>
        <w:t xml:space="preserve">L'interaction entre densité de végétation et système de culture influence significativement les rendements en graines et biomasse des cultures associées, sauf pour le rendement en paille du mil. Cette interaction s'explique par la compétition des cultures en association pour les ressources telles que l'eau, les éléments minéraux et la lumière </w:t>
      </w:r>
      <w:r w:rsidR="005C733E">
        <w:rPr>
          <w:rFonts w:ascii="Times New Roman" w:hAnsi="Times New Roman" w:cs="Times New Roman"/>
          <w:sz w:val="24"/>
          <w:szCs w:val="24"/>
        </w:rPr>
        <w:fldChar w:fldCharType="begin" w:fldLock="1"/>
      </w:r>
      <w:r w:rsidR="005C733E">
        <w:rPr>
          <w:rFonts w:ascii="Times New Roman" w:hAnsi="Times New Roman" w:cs="Times New Roman"/>
          <w:sz w:val="24"/>
          <w:szCs w:val="24"/>
        </w:rPr>
        <w:instrText>ADDIN CSL_CITATION {"citationItems":[{"id":"ITEM-1","itemData":{"DOI":"10.19044/esj.2016.v12n9p382","ISSN":"18577881","abstract":"In Niger, agricultural production is based mainly on the association and rotation grains / legumes with generally low yields. To improve these yields, seeding effects and cowpea genotypes in combination with millet were studied in 2014 and 2015 in the Sahel region of Niger. The experimental device is a split plot design with three replications. cowpea genotypes were large plots, and two seeding (1: 1 and 1: 2, millet and cowpea) in small plots. In addition, four parcels of pure millet grown in the past two years have been used as control. Analysis of variance revealed that for cowpea, biomass yield, seed, weight of hundred seeds and seed harvest index were significantly affected by the genotypes for two years. However, there is no significant effect on the density and cowpea genotypes on grain yields of millet. In 2014, the biomass yield millet density 2 was lower than the density of one. The density 2 increased yields of cowpea and millet slightly diminish those.","author":[{"dropping-particle":"","family":"Karim","given":"Toudou DaoudaAbdoul","non-dropping-particle":"","parse-names":false,"suffix":""},{"dropping-particle":"","family":"Sanoussi","given":"Atta","non-dropping-particle":"","parse-names":false,"suffix":""},{"dropping-particle":"","family":"Falalou","given":"Hamidou","non-dropping-particle":"","parse-names":false,"suffix":""},{"dropping-particle":"","family":"Maârouhi","given":"Inoussa Maman","non-dropping-particle":"","parse-names":false,"suffix":""},{"dropping-particle":"","family":"Yacoubou","given":"Bakasso","non-dropping-particle":"","parse-names":false,"suffix":""},{"dropping-particle":"","family":"Mahamane","given":"Saadou","non-dropping-particle":"","parse-names":false,"suffix":""}],"container-title":"European Scientific Journal, ESJ","id":"ITEM-1","issue":"9","issued":{"date-parts":[["2016"]]},"page":"382","title":"Amelioration Du Rendement Du Mil Par L’association Avec Le Niebe En Zone Sahelienne","type":"article-journal","volume":"12"},"uris":["http://www.mendeley.com/documents/?uuid=251356b2-3ded-46f0-bbb2-290c697b9afd"]}],"mendeley":{"formattedCitation":"(Karim et al., 2016)","plainTextFormattedCitation":"(Karim et al., 2016)","previouslyFormattedCitation":"(Karim et al., 2016)"},"properties":{"noteIndex":0},"schema":"https://github.com/citation-style-language/schema/raw/master/csl-citation.json"}</w:instrText>
      </w:r>
      <w:r w:rsidR="005C733E">
        <w:rPr>
          <w:rFonts w:ascii="Times New Roman" w:hAnsi="Times New Roman" w:cs="Times New Roman"/>
          <w:sz w:val="24"/>
          <w:szCs w:val="24"/>
        </w:rPr>
        <w:fldChar w:fldCharType="separate"/>
      </w:r>
      <w:r w:rsidR="005C733E" w:rsidRPr="005C733E">
        <w:rPr>
          <w:rFonts w:ascii="Times New Roman" w:hAnsi="Times New Roman" w:cs="Times New Roman"/>
          <w:noProof/>
          <w:sz w:val="24"/>
          <w:szCs w:val="24"/>
        </w:rPr>
        <w:t>(Karim et al., 2016)</w:t>
      </w:r>
      <w:r w:rsidR="005C733E">
        <w:rPr>
          <w:rFonts w:ascii="Times New Roman" w:hAnsi="Times New Roman" w:cs="Times New Roman"/>
          <w:sz w:val="24"/>
          <w:szCs w:val="24"/>
        </w:rPr>
        <w:fldChar w:fldCharType="end"/>
      </w:r>
      <w:r w:rsidRPr="00D40A79">
        <w:rPr>
          <w:rFonts w:ascii="Times New Roman" w:hAnsi="Times New Roman" w:cs="Times New Roman"/>
          <w:sz w:val="24"/>
          <w:szCs w:val="24"/>
        </w:rPr>
        <w:t>. La compétition peut réduire les rendements en raison des ressources limitées</w:t>
      </w:r>
      <w:r w:rsidR="005C733E">
        <w:rPr>
          <w:rFonts w:ascii="Times New Roman" w:hAnsi="Times New Roman" w:cs="Times New Roman"/>
          <w:sz w:val="24"/>
          <w:szCs w:val="24"/>
        </w:rPr>
        <w:t xml:space="preserve"> </w:t>
      </w:r>
      <w:r w:rsidR="005C733E">
        <w:rPr>
          <w:rFonts w:ascii="Times New Roman" w:hAnsi="Times New Roman" w:cs="Times New Roman"/>
          <w:sz w:val="24"/>
          <w:szCs w:val="24"/>
        </w:rPr>
        <w:fldChar w:fldCharType="begin" w:fldLock="1"/>
      </w:r>
      <w:r w:rsidR="005C733E">
        <w:rPr>
          <w:rFonts w:ascii="Times New Roman" w:hAnsi="Times New Roman" w:cs="Times New Roman"/>
          <w:sz w:val="24"/>
          <w:szCs w:val="24"/>
        </w:rPr>
        <w:instrText>ADDIN CSL_CITATION {"citationItems":[{"id":"ITEM-1","itemData":{"DOI":"10.1017/S0021859600054976","ISSN":"14695146","abstract":"Field experiments were conducted at the International Institute for Tropical Agriculture, Ibadan, Nigeria, during two cropping seasons, with two cultivars of climbing cow peas (Vigna unguiculata (L.) Walp. subspecies sesquipedalis) cv. FARV-13 and TVU-1209. The work investigated their yields when intercropped with maize, which served as live support. The results showed that there were varietal differences in the cow-pea response to method of planting. Under the intercropped systems, highest dry-matter yield was obtained when TVU-1209 was planted on the same hill with maize while similar yields were obtained with FARV-13 planted in alternate hills with maize. TVU-1209 did not increase maize lodging except when planted in alternate hills with maize, but FARV-13 significantly increased maize lodging under all planting methods. Consequently, FARV-13 reduced maize yields more than TVU-1209. Neither pod length nor pod weight was affected by the planting. Highest yields from both cow pea and maize combined were realized from TVU-1209 planted between rows of maize. The yield of FARV-13 cow pea intercropped with maize did not show any advantage due to intercropping over sole crop of each. © 1982, Cambridge University Press. All rights reserved.","author":[{"dropping-particle":"","family":"Wanki","given":"S. B.C.","non-dropping-particle":"","parse-names":false,"suffix":""},{"dropping-particle":"","family":"Fawusi","given":"M. O.A.","non-dropping-particle":"","parse-names":false,"suffix":""},{"dropping-particle":"","family":"Nangju","given":"D.","non-dropping-particle":"","parse-names":false,"suffix":""}],"container-title":"The Journal of Agricultural Science","id":"ITEM-1","issue":"1","issued":{"date-parts":[["1982"]]},"page":"13-17","title":"Pod and grain yields from intercropping maize and Vigna unguiculata (L.) Walp. in Nigeria","type":"article-journal","volume":"99"},"uris":["http://www.mendeley.com/documents/?uuid=734dc5ba-753e-4020-9184-3f28998528eb"]}],"mendeley":{"formattedCitation":"(Wanki et al., 1982)","plainTextFormattedCitation":"(Wanki et al., 1982)","previouslyFormattedCitation":"(Wanki et al., 1982)"},"properties":{"noteIndex":0},"schema":"https://github.com/citation-style-language/schema/raw/master/csl-citation.json"}</w:instrText>
      </w:r>
      <w:r w:rsidR="005C733E">
        <w:rPr>
          <w:rFonts w:ascii="Times New Roman" w:hAnsi="Times New Roman" w:cs="Times New Roman"/>
          <w:sz w:val="24"/>
          <w:szCs w:val="24"/>
        </w:rPr>
        <w:fldChar w:fldCharType="separate"/>
      </w:r>
      <w:r w:rsidR="005C733E" w:rsidRPr="005C733E">
        <w:rPr>
          <w:rFonts w:ascii="Times New Roman" w:hAnsi="Times New Roman" w:cs="Times New Roman"/>
          <w:noProof/>
          <w:sz w:val="24"/>
          <w:szCs w:val="24"/>
        </w:rPr>
        <w:t>(Wanki et al., 1982)</w:t>
      </w:r>
      <w:r w:rsidR="005C733E">
        <w:rPr>
          <w:rFonts w:ascii="Times New Roman" w:hAnsi="Times New Roman" w:cs="Times New Roman"/>
          <w:sz w:val="24"/>
          <w:szCs w:val="24"/>
        </w:rPr>
        <w:fldChar w:fldCharType="end"/>
      </w:r>
      <w:r w:rsidRPr="00D40A79">
        <w:rPr>
          <w:rFonts w:ascii="Times New Roman" w:hAnsi="Times New Roman" w:cs="Times New Roman"/>
          <w:sz w:val="24"/>
          <w:szCs w:val="24"/>
        </w:rPr>
        <w:t xml:space="preserve">. Cependant, les meilleurs rendements dans les cultures associées sont attribués à divers avantages : amélioration de la fertilité du sol par fixation de l'azote, meilleure rétention d'eau, réduction de l'érosion et des mauvaises herbes, production de fourrage de qualité </w:t>
      </w:r>
      <w:r w:rsidR="005C733E">
        <w:rPr>
          <w:rFonts w:ascii="Times New Roman" w:hAnsi="Times New Roman" w:cs="Times New Roman"/>
          <w:sz w:val="24"/>
          <w:szCs w:val="24"/>
        </w:rPr>
        <w:fldChar w:fldCharType="begin" w:fldLock="1"/>
      </w:r>
      <w:r w:rsidR="00235856">
        <w:rPr>
          <w:rFonts w:ascii="Times New Roman" w:hAnsi="Times New Roman" w:cs="Times New Roman"/>
          <w:sz w:val="24"/>
          <w:szCs w:val="24"/>
        </w:rPr>
        <w:instrText>ADDIN CSL_CITATION {"citationItems":[{"id":"ITEM-1","itemData":{"DOI":"10.1016/j.still.2010.03.001","ISBN":"3070900100","ISSN":"01671987","abstract":"Intensifying upland rice cultivation has resulted in increased weed pressure and declining soil fertility and rice yield in West Africa. Integrated crop management technologies are needed for enhancing rice productivity. A field experiment was conducted from 2006 to 2008 in a Typic Haplustult soil in southern Benin to identify the optimal seeding date of stylo relay-cropped into upland rice, and to evaluate the effects of fallow treatment and tillage management on rice yield, weed biomass and soil properties. Stylosanthes guianensis (stylo), a legume species, was used as a short-term fallow crop. Rice was grown once each year and stylo was seeded during the wet season and grown until the next rice-growing season. The effects of fallow treatment and tillage management (no-tillage vs. manual-tillage) on weed biomass during the rice-growing season were evaluated in 2007 and 2008, whereas the effects on rice yield were examined in 2007 alone. Results indicated that stylo can be established as a relay crop with upland rice about 10 days after rice seeding. Stylo fallow reduced weed biomass by 71% and 95% and increased total biomass (weed + stylo + litter) by 594% and 107% at the end of the dry seasons in 2007 and 2008, respectively. No-tillage without stylo fallow increased weed biomass by 62-202% over manual-tillage during the rice-growing seasons, whereas stylo fallow reduced weed biomass by 45-83% and 11-36%, respectively, under no-tillage and manual-tillage management. There were no significant effects of fallow treatment and tillage management on soil organic C, total N, inorganic N and extractable P. Rice yields following stylo fallow were 0.7 Mg ha-1 higher than after the natural fallow. Manual-tillage increased rice yield by 0.6 Mg ha-1 over no-tillage. Manual-tillage combined with stylo fallow can be recommended to smallholder farmers for improving upland rice productivity. © 2010 Elsevier B.V. All rights reserved.","author":[{"dropping-particle":"","family":"Saito","given":"K.","non-dropping-particle":"","parse-names":false,"suffix":""},{"dropping-particle":"","family":"Azoma","given":"K.","non-dropping-particle":"","parse-names":false,"suffix":""},{"dropping-particle":"","family":"Oikeh","given":"S. O.","non-dropping-particle":"","parse-names":false,"suffix":""}],"container-title":"Soil and Tillage Research","id":"ITEM-1","issue":"2","issued":{"date-parts":[["2010"]]},"page":"57-63","publisher":"Elsevier B.V.","title":"Combined effects of Stylosanthes guianensis fallow and tillage management on upland rice yield, weeds and soils in southern Benin","type":"article-journal","volume":"107"},"uris":["http://www.mendeley.com/documents/?uuid=12d86c2a-5a4d-432c-b842-43d169be82d0"]},{"id":"ITEM-2","itemData":{"author":[{"dropping-particle":"","family":"Abdoulaye","given":"SOULEY ANGO","non-dropping-particle":"","parse-names":false,"suffix":""}],"id":"ITEM-2","issued":{"date-parts":[["2023"]]},"number-of-pages":"45","publisher":"Université Boubakar Bâ de Tillabér, Faculté des Sciences Agronomiques (FSA)","title":"Evaluation de la performance agronomique de quatre (4) variétés élites de niébé (Vigna unguiculata L. Walp) en essais multilocalaux paysans des villages de Dara Amadou, Maiki et Mayara , région de Maradi (Centre Sud, Niger)","type":"thesis"},"uris":["http://www.mendeley.com/documents/?uuid=946d5bb3-aba7-4299-b209-da3ceadc09d6"]}],"mendeley":{"formattedCitation":"(Abdoulaye, 2023; Saito et al., 2010)","plainTextFormattedCitation":"(Abdoulaye, 2023; Saito et al., 2010)","previouslyFormattedCitation":"(Abdoulaye, 2023; Saito et al., 2010)"},"properties":{"noteIndex":0},"schema":"https://github.com/citation-style-language/schema/raw/master/csl-citation.json"}</w:instrText>
      </w:r>
      <w:r w:rsidR="005C733E">
        <w:rPr>
          <w:rFonts w:ascii="Times New Roman" w:hAnsi="Times New Roman" w:cs="Times New Roman"/>
          <w:sz w:val="24"/>
          <w:szCs w:val="24"/>
        </w:rPr>
        <w:fldChar w:fldCharType="separate"/>
      </w:r>
      <w:r w:rsidR="00A000C6" w:rsidRPr="00A000C6">
        <w:rPr>
          <w:rFonts w:ascii="Times New Roman" w:hAnsi="Times New Roman" w:cs="Times New Roman"/>
          <w:noProof/>
          <w:sz w:val="24"/>
          <w:szCs w:val="24"/>
        </w:rPr>
        <w:t>(Abdoulaye, 2023; Saito et al., 2010)</w:t>
      </w:r>
      <w:r w:rsidR="005C733E">
        <w:rPr>
          <w:rFonts w:ascii="Times New Roman" w:hAnsi="Times New Roman" w:cs="Times New Roman"/>
          <w:sz w:val="24"/>
          <w:szCs w:val="24"/>
        </w:rPr>
        <w:fldChar w:fldCharType="end"/>
      </w:r>
      <w:r w:rsidRPr="00D40A79">
        <w:rPr>
          <w:rFonts w:ascii="Times New Roman" w:hAnsi="Times New Roman" w:cs="Times New Roman"/>
          <w:sz w:val="24"/>
          <w:szCs w:val="24"/>
        </w:rPr>
        <w:t xml:space="preserve">. Les associations culturales optimisent l'utilisation des ressources comme l'azote et la lumière </w:t>
      </w:r>
      <w:r w:rsidR="00DC5450">
        <w:rPr>
          <w:rFonts w:ascii="Times New Roman" w:hAnsi="Times New Roman" w:cs="Times New Roman"/>
          <w:sz w:val="24"/>
          <w:szCs w:val="24"/>
        </w:rPr>
        <w:fldChar w:fldCharType="begin" w:fldLock="1"/>
      </w:r>
      <w:r w:rsidR="00DC5450">
        <w:rPr>
          <w:rFonts w:ascii="Times New Roman" w:hAnsi="Times New Roman" w:cs="Times New Roman"/>
          <w:sz w:val="24"/>
          <w:szCs w:val="24"/>
        </w:rPr>
        <w:instrText>ADDIN CSL_CITATION {"citationItems":[{"id":"ITEM-1","itemData":{"abstract":"Sorghum (Sorghum bicolor L. Moench) is one of the important cereals of arid and semi-arid regions of Asia and  Africa.  Sorghum  is  a  multipurpose  cereal,  mainly  used  as  food,  feed  and  forage.    In  India,  it is cultivated under resource-poor conditions with inferior management as rainfed crop in drylands. In the present  scenario  of  climate  change,  agricultural  production  faces  different  hindrances leading  to  crop failure.  Intercropping  of  sorghum  with  legumes  and  other  crops  is  advantageous  because  of  more productivity,  efficient  use of  available  resources,  conservation  and  improvement of  resources  and  thus beneficial  for  agricultural  sustainability.  In  the  study,  information  was  gathered  based  on  available literature on potential and advantages of sorghum-based intercropping for agricultural sustainabilit","author":[{"dropping-particle":"","family":"Duvvada","given":"Sarath Kumar","non-dropping-particle":"","parse-names":false,"suffix":""},{"dropping-particle":"","family":"Maitra","given":"Sagar","non-dropping-particle":"","parse-names":false,"suffix":""}],"container-title":"Indian Journal of Natural science","id":"ITEM-1","issue":"60","issued":{"date-parts":[["2020"]]},"page":"20306-20313","title":"Sorghum-based Intercropping System for Agricultural Sustainability","type":"article-journal","volume":"10"},"uris":["http://www.mendeley.com/documents/?uuid=9794158a-d032-49c8-9d62-041c627275c9"]}],"mendeley":{"formattedCitation":"(Duvvada &amp; Maitra, 2020)","plainTextFormattedCitation":"(Duvvada &amp; Maitra, 2020)","previouslyFormattedCitation":"(Duvvada &amp; Maitra, 2020)"},"properties":{"noteIndex":0},"schema":"https://github.com/citation-style-language/schema/raw/master/csl-citation.json"}</w:instrText>
      </w:r>
      <w:r w:rsidR="00DC5450">
        <w:rPr>
          <w:rFonts w:ascii="Times New Roman" w:hAnsi="Times New Roman" w:cs="Times New Roman"/>
          <w:sz w:val="24"/>
          <w:szCs w:val="24"/>
        </w:rPr>
        <w:fldChar w:fldCharType="separate"/>
      </w:r>
      <w:r w:rsidR="00DC5450" w:rsidRPr="00DC5450">
        <w:rPr>
          <w:rFonts w:ascii="Times New Roman" w:hAnsi="Times New Roman" w:cs="Times New Roman"/>
          <w:noProof/>
          <w:sz w:val="24"/>
          <w:szCs w:val="24"/>
        </w:rPr>
        <w:t>(Duvvada &amp; Maitra, 2020)</w:t>
      </w:r>
      <w:r w:rsidR="00DC5450">
        <w:rPr>
          <w:rFonts w:ascii="Times New Roman" w:hAnsi="Times New Roman" w:cs="Times New Roman"/>
          <w:sz w:val="24"/>
          <w:szCs w:val="24"/>
        </w:rPr>
        <w:fldChar w:fldCharType="end"/>
      </w:r>
      <w:r w:rsidR="00DC5450">
        <w:rPr>
          <w:rFonts w:ascii="Times New Roman" w:hAnsi="Times New Roman" w:cs="Times New Roman"/>
          <w:sz w:val="24"/>
          <w:szCs w:val="24"/>
        </w:rPr>
        <w:t xml:space="preserve"> </w:t>
      </w:r>
      <w:r w:rsidRPr="00D40A79">
        <w:rPr>
          <w:rFonts w:ascii="Times New Roman" w:hAnsi="Times New Roman" w:cs="Times New Roman"/>
          <w:sz w:val="24"/>
          <w:szCs w:val="24"/>
        </w:rPr>
        <w:t xml:space="preserve">et diversifient l'alimentation, améliorant la qualité nutritionnelle des </w:t>
      </w:r>
      <w:r w:rsidR="00AA24C9">
        <w:rPr>
          <w:rFonts w:ascii="Times New Roman" w:hAnsi="Times New Roman" w:cs="Times New Roman"/>
          <w:sz w:val="24"/>
          <w:szCs w:val="24"/>
        </w:rPr>
        <w:t>cultures</w:t>
      </w:r>
      <w:r w:rsidRPr="00D40A79">
        <w:rPr>
          <w:rFonts w:ascii="Times New Roman" w:hAnsi="Times New Roman" w:cs="Times New Roman"/>
          <w:sz w:val="24"/>
          <w:szCs w:val="24"/>
        </w:rPr>
        <w:t xml:space="preserve"> (Ouédraogo, 2005</w:t>
      </w:r>
      <w:r w:rsidR="00DC5450">
        <w:rPr>
          <w:rFonts w:ascii="Times New Roman" w:hAnsi="Times New Roman" w:cs="Times New Roman"/>
          <w:sz w:val="24"/>
          <w:szCs w:val="24"/>
        </w:rPr>
        <w:t xml:space="preserve"> </w:t>
      </w:r>
      <w:r w:rsidR="00DC5450">
        <w:rPr>
          <w:rFonts w:ascii="Times New Roman" w:hAnsi="Times New Roman" w:cs="Times New Roman"/>
          <w:sz w:val="24"/>
          <w:szCs w:val="24"/>
        </w:rPr>
        <w:fldChar w:fldCharType="begin" w:fldLock="1"/>
      </w:r>
      <w:r w:rsidR="00A000C6">
        <w:rPr>
          <w:rFonts w:ascii="Times New Roman" w:hAnsi="Times New Roman" w:cs="Times New Roman"/>
          <w:sz w:val="24"/>
          <w:szCs w:val="24"/>
        </w:rPr>
        <w:instrText>ADDIN CSL_CITATION {"citationItems":[{"id":"ITEM-1","itemData":{"author":[{"dropping-particle":"","family":"Hamissou","given":"Habou Hamidou","non-dropping-particle":"","parse-names":false,"suffix":""}],"id":"ITEM-1","issued":{"date-parts":[["2023"]]},"number-of-pages":"58","publisher":"Memoire de fin de cycle, En vue de l’obtention du diplôme de Master en Biodiversté et Gestion de l’Environnement Soudanien et Sahélo-Saharien (BGESSS); Université Dan Dicko Dankoulodo de Maradi, Niger","title":"Analyse intégrative de la diversité végétale et des options de gestion agroécologique des cultures : dispositif pilote dans la Commune Rurale de Saé Saboua, Niger","type":"thesis"},"uris":["http://www.mendeley.com/documents/?uuid=0f578aaa-61e9-4ac9-a843-44d892078490"]}],"mendeley":{"formattedCitation":"(Hamissou, 2023)","manualFormatting":"cité par Hamissou, 2023)","plainTextFormattedCitation":"(Hamissou, 2023)","previouslyFormattedCitation":"(Hamissou, 2023)"},"properties":{"noteIndex":0},"schema":"https://github.com/citation-style-language/schema/raw/master/csl-citation.json"}</w:instrText>
      </w:r>
      <w:r w:rsidR="00DC5450">
        <w:rPr>
          <w:rFonts w:ascii="Times New Roman" w:hAnsi="Times New Roman" w:cs="Times New Roman"/>
          <w:sz w:val="24"/>
          <w:szCs w:val="24"/>
        </w:rPr>
        <w:fldChar w:fldCharType="separate"/>
      </w:r>
      <w:r w:rsidR="00DC5450">
        <w:rPr>
          <w:rFonts w:ascii="Times New Roman" w:hAnsi="Times New Roman" w:cs="Times New Roman"/>
          <w:noProof/>
          <w:sz w:val="24"/>
          <w:szCs w:val="24"/>
        </w:rPr>
        <w:t xml:space="preserve">cité par </w:t>
      </w:r>
      <w:r w:rsidR="00DC5450" w:rsidRPr="00DC5450">
        <w:rPr>
          <w:rFonts w:ascii="Times New Roman" w:hAnsi="Times New Roman" w:cs="Times New Roman"/>
          <w:noProof/>
          <w:sz w:val="24"/>
          <w:szCs w:val="24"/>
        </w:rPr>
        <w:t>Hamissou, 2023)</w:t>
      </w:r>
      <w:r w:rsidR="00DC5450">
        <w:rPr>
          <w:rFonts w:ascii="Times New Roman" w:hAnsi="Times New Roman" w:cs="Times New Roman"/>
          <w:sz w:val="24"/>
          <w:szCs w:val="24"/>
        </w:rPr>
        <w:fldChar w:fldCharType="end"/>
      </w:r>
      <w:r w:rsidRPr="00D40A79">
        <w:rPr>
          <w:rFonts w:ascii="Times New Roman" w:hAnsi="Times New Roman" w:cs="Times New Roman"/>
          <w:sz w:val="24"/>
          <w:szCs w:val="24"/>
        </w:rPr>
        <w:t xml:space="preserve">. </w:t>
      </w:r>
      <w:r w:rsidRPr="00D40A79">
        <w:rPr>
          <w:rFonts w:ascii="Times New Roman" w:hAnsi="Times New Roman" w:cs="Times New Roman"/>
          <w:sz w:val="24"/>
          <w:szCs w:val="24"/>
        </w:rPr>
        <w:lastRenderedPageBreak/>
        <w:t>L'amélioration des performances du système peut passer par la diversification des variétés utilisées.</w:t>
      </w:r>
    </w:p>
    <w:p w14:paraId="52ECDC85" w14:textId="3D11F71C" w:rsidR="00296120" w:rsidRDefault="007D5E87" w:rsidP="00AA24C9">
      <w:pPr>
        <w:spacing w:line="360" w:lineRule="auto"/>
        <w:jc w:val="both"/>
        <w:rPr>
          <w:rFonts w:ascii="Times New Roman" w:hAnsi="Times New Roman" w:cs="Times New Roman"/>
          <w:sz w:val="24"/>
          <w:szCs w:val="24"/>
        </w:rPr>
      </w:pPr>
      <w:r w:rsidRPr="007D5E87">
        <w:rPr>
          <w:rFonts w:ascii="Times New Roman" w:hAnsi="Times New Roman" w:cs="Times New Roman"/>
          <w:sz w:val="24"/>
          <w:szCs w:val="24"/>
        </w:rPr>
        <w:t>Ces résultats soulignent l’importance de la diversité végétale et de la densité végétale au sein des champs paysans, ainsi que la contribution de cette végétation à la performance agronomique des systèmes de culture dans une perspective agroécologique.</w:t>
      </w:r>
    </w:p>
    <w:p w14:paraId="051C31EC" w14:textId="77777777" w:rsidR="00140584" w:rsidRDefault="00140584" w:rsidP="00AA24C9">
      <w:pPr>
        <w:spacing w:line="360" w:lineRule="auto"/>
        <w:jc w:val="both"/>
        <w:rPr>
          <w:rFonts w:ascii="Times New Roman" w:hAnsi="Times New Roman" w:cs="Times New Roman"/>
          <w:sz w:val="24"/>
          <w:szCs w:val="24"/>
        </w:rPr>
      </w:pPr>
    </w:p>
    <w:p w14:paraId="0043D096" w14:textId="77777777" w:rsidR="00140584" w:rsidRDefault="00140584" w:rsidP="00AA24C9">
      <w:pPr>
        <w:spacing w:line="360" w:lineRule="auto"/>
        <w:jc w:val="both"/>
        <w:rPr>
          <w:rFonts w:ascii="Times New Roman" w:hAnsi="Times New Roman" w:cs="Times New Roman"/>
          <w:sz w:val="24"/>
          <w:szCs w:val="24"/>
        </w:rPr>
      </w:pPr>
    </w:p>
    <w:p w14:paraId="25D1A0A1" w14:textId="77777777" w:rsidR="00140584" w:rsidRDefault="00140584" w:rsidP="00AA24C9">
      <w:pPr>
        <w:spacing w:line="360" w:lineRule="auto"/>
        <w:jc w:val="both"/>
        <w:rPr>
          <w:rFonts w:ascii="Times New Roman" w:hAnsi="Times New Roman" w:cs="Times New Roman"/>
          <w:sz w:val="24"/>
          <w:szCs w:val="24"/>
        </w:rPr>
      </w:pPr>
    </w:p>
    <w:p w14:paraId="48ED9F1A" w14:textId="77777777" w:rsidR="00140584" w:rsidRDefault="00140584" w:rsidP="00AA24C9">
      <w:pPr>
        <w:spacing w:line="360" w:lineRule="auto"/>
        <w:jc w:val="both"/>
        <w:rPr>
          <w:rFonts w:ascii="Times New Roman" w:hAnsi="Times New Roman" w:cs="Times New Roman"/>
          <w:sz w:val="24"/>
          <w:szCs w:val="24"/>
        </w:rPr>
      </w:pPr>
    </w:p>
    <w:p w14:paraId="3EE37789" w14:textId="77777777" w:rsidR="00140584" w:rsidRDefault="00140584" w:rsidP="00AA24C9">
      <w:pPr>
        <w:spacing w:line="360" w:lineRule="auto"/>
        <w:jc w:val="both"/>
        <w:rPr>
          <w:rFonts w:ascii="Times New Roman" w:hAnsi="Times New Roman" w:cs="Times New Roman"/>
          <w:sz w:val="24"/>
          <w:szCs w:val="24"/>
        </w:rPr>
      </w:pPr>
    </w:p>
    <w:p w14:paraId="03D01654" w14:textId="77777777" w:rsidR="00140584" w:rsidRDefault="00140584" w:rsidP="00AA24C9">
      <w:pPr>
        <w:spacing w:line="360" w:lineRule="auto"/>
        <w:jc w:val="both"/>
        <w:rPr>
          <w:rFonts w:ascii="Times New Roman" w:hAnsi="Times New Roman" w:cs="Times New Roman"/>
          <w:sz w:val="24"/>
          <w:szCs w:val="24"/>
        </w:rPr>
      </w:pPr>
    </w:p>
    <w:p w14:paraId="3EBA9738" w14:textId="77777777" w:rsidR="00140584" w:rsidRDefault="00140584" w:rsidP="00AA24C9">
      <w:pPr>
        <w:spacing w:line="360" w:lineRule="auto"/>
        <w:jc w:val="both"/>
        <w:rPr>
          <w:rFonts w:ascii="Times New Roman" w:hAnsi="Times New Roman" w:cs="Times New Roman"/>
          <w:sz w:val="24"/>
          <w:szCs w:val="24"/>
        </w:rPr>
      </w:pPr>
    </w:p>
    <w:p w14:paraId="43A4B5A0" w14:textId="77777777" w:rsidR="00140584" w:rsidRDefault="00140584" w:rsidP="00AA24C9">
      <w:pPr>
        <w:spacing w:line="360" w:lineRule="auto"/>
        <w:jc w:val="both"/>
        <w:rPr>
          <w:rFonts w:ascii="Times New Roman" w:hAnsi="Times New Roman" w:cs="Times New Roman"/>
          <w:sz w:val="24"/>
          <w:szCs w:val="24"/>
        </w:rPr>
      </w:pPr>
    </w:p>
    <w:p w14:paraId="310E0B70" w14:textId="77777777" w:rsidR="00140584" w:rsidRDefault="00140584" w:rsidP="00AA24C9">
      <w:pPr>
        <w:spacing w:line="360" w:lineRule="auto"/>
        <w:jc w:val="both"/>
        <w:rPr>
          <w:rFonts w:ascii="Times New Roman" w:hAnsi="Times New Roman" w:cs="Times New Roman"/>
          <w:sz w:val="24"/>
          <w:szCs w:val="24"/>
        </w:rPr>
      </w:pPr>
    </w:p>
    <w:p w14:paraId="6E8FF252" w14:textId="77777777" w:rsidR="00140584" w:rsidRDefault="00140584" w:rsidP="00AA24C9">
      <w:pPr>
        <w:spacing w:line="360" w:lineRule="auto"/>
        <w:jc w:val="both"/>
        <w:rPr>
          <w:rFonts w:ascii="Times New Roman" w:hAnsi="Times New Roman" w:cs="Times New Roman"/>
          <w:sz w:val="24"/>
          <w:szCs w:val="24"/>
        </w:rPr>
      </w:pPr>
    </w:p>
    <w:p w14:paraId="55499292" w14:textId="77777777" w:rsidR="00140584" w:rsidRDefault="00140584" w:rsidP="00AA24C9">
      <w:pPr>
        <w:spacing w:line="360" w:lineRule="auto"/>
        <w:jc w:val="both"/>
        <w:rPr>
          <w:rFonts w:ascii="Times New Roman" w:hAnsi="Times New Roman" w:cs="Times New Roman"/>
          <w:sz w:val="24"/>
          <w:szCs w:val="24"/>
        </w:rPr>
      </w:pPr>
    </w:p>
    <w:p w14:paraId="553A8ECC" w14:textId="77777777" w:rsidR="00140584" w:rsidRDefault="00140584" w:rsidP="00AA24C9">
      <w:pPr>
        <w:spacing w:line="360" w:lineRule="auto"/>
        <w:jc w:val="both"/>
        <w:rPr>
          <w:rFonts w:ascii="Times New Roman" w:hAnsi="Times New Roman" w:cs="Times New Roman"/>
          <w:sz w:val="24"/>
          <w:szCs w:val="24"/>
        </w:rPr>
      </w:pPr>
    </w:p>
    <w:p w14:paraId="02CB59EA" w14:textId="77777777" w:rsidR="00140584" w:rsidRDefault="00140584" w:rsidP="00AA24C9">
      <w:pPr>
        <w:spacing w:line="360" w:lineRule="auto"/>
        <w:jc w:val="both"/>
        <w:rPr>
          <w:rFonts w:ascii="Times New Roman" w:hAnsi="Times New Roman" w:cs="Times New Roman"/>
          <w:sz w:val="24"/>
          <w:szCs w:val="24"/>
        </w:rPr>
      </w:pPr>
    </w:p>
    <w:p w14:paraId="4C11FA2B" w14:textId="77777777" w:rsidR="00140584" w:rsidRDefault="00140584" w:rsidP="00AA24C9">
      <w:pPr>
        <w:spacing w:line="360" w:lineRule="auto"/>
        <w:jc w:val="both"/>
        <w:rPr>
          <w:rFonts w:ascii="Times New Roman" w:hAnsi="Times New Roman" w:cs="Times New Roman"/>
          <w:sz w:val="24"/>
          <w:szCs w:val="24"/>
        </w:rPr>
      </w:pPr>
    </w:p>
    <w:p w14:paraId="55A9D5C0" w14:textId="77777777" w:rsidR="00140584" w:rsidRDefault="00140584" w:rsidP="00AA24C9">
      <w:pPr>
        <w:spacing w:line="360" w:lineRule="auto"/>
        <w:jc w:val="both"/>
        <w:rPr>
          <w:rFonts w:ascii="Times New Roman" w:hAnsi="Times New Roman" w:cs="Times New Roman"/>
          <w:sz w:val="24"/>
          <w:szCs w:val="24"/>
        </w:rPr>
      </w:pPr>
    </w:p>
    <w:p w14:paraId="39A2EDEE" w14:textId="77777777" w:rsidR="00140584" w:rsidRDefault="00140584" w:rsidP="00AA24C9">
      <w:pPr>
        <w:spacing w:line="360" w:lineRule="auto"/>
        <w:jc w:val="both"/>
        <w:rPr>
          <w:rFonts w:ascii="Times New Roman" w:hAnsi="Times New Roman" w:cs="Times New Roman"/>
          <w:sz w:val="24"/>
          <w:szCs w:val="24"/>
        </w:rPr>
      </w:pPr>
    </w:p>
    <w:p w14:paraId="09D9BFCE" w14:textId="77777777" w:rsidR="00140584" w:rsidRDefault="00140584" w:rsidP="00AA24C9">
      <w:pPr>
        <w:spacing w:line="360" w:lineRule="auto"/>
        <w:jc w:val="both"/>
        <w:rPr>
          <w:rFonts w:ascii="Times New Roman" w:hAnsi="Times New Roman" w:cs="Times New Roman"/>
          <w:sz w:val="24"/>
          <w:szCs w:val="24"/>
        </w:rPr>
      </w:pPr>
    </w:p>
    <w:p w14:paraId="73B7AB85" w14:textId="77777777" w:rsidR="00140584" w:rsidRDefault="00140584" w:rsidP="00AA24C9">
      <w:pPr>
        <w:spacing w:line="360" w:lineRule="auto"/>
        <w:jc w:val="both"/>
        <w:rPr>
          <w:rFonts w:ascii="Times New Roman" w:hAnsi="Times New Roman" w:cs="Times New Roman"/>
          <w:sz w:val="24"/>
          <w:szCs w:val="24"/>
        </w:rPr>
      </w:pPr>
    </w:p>
    <w:p w14:paraId="625B4A8D" w14:textId="77777777" w:rsidR="00140584" w:rsidRDefault="00140584" w:rsidP="00AA24C9">
      <w:pPr>
        <w:spacing w:line="360" w:lineRule="auto"/>
        <w:jc w:val="both"/>
        <w:rPr>
          <w:rFonts w:ascii="Times New Roman" w:hAnsi="Times New Roman" w:cs="Times New Roman"/>
          <w:sz w:val="24"/>
          <w:szCs w:val="24"/>
        </w:rPr>
      </w:pPr>
    </w:p>
    <w:p w14:paraId="57741AEC" w14:textId="77777777" w:rsidR="00140584" w:rsidRDefault="00140584" w:rsidP="00AA24C9">
      <w:pPr>
        <w:spacing w:line="360" w:lineRule="auto"/>
        <w:jc w:val="both"/>
        <w:rPr>
          <w:rFonts w:ascii="Times New Roman" w:hAnsi="Times New Roman" w:cs="Times New Roman"/>
          <w:sz w:val="24"/>
          <w:szCs w:val="24"/>
        </w:rPr>
      </w:pPr>
    </w:p>
    <w:p w14:paraId="6D4A85A1" w14:textId="72BE8E78" w:rsidR="00140584" w:rsidRDefault="00140584" w:rsidP="00AA24C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CONCLSION</w:t>
      </w:r>
    </w:p>
    <w:p w14:paraId="4471767E" w14:textId="12A85A0C" w:rsidR="00140584" w:rsidRDefault="00140584" w:rsidP="00140584">
      <w:pPr>
        <w:spacing w:line="360" w:lineRule="auto"/>
        <w:jc w:val="both"/>
        <w:rPr>
          <w:rFonts w:ascii="Times New Roman" w:hAnsi="Times New Roman" w:cs="Times New Roman"/>
          <w:sz w:val="24"/>
          <w:szCs w:val="24"/>
        </w:rPr>
      </w:pPr>
      <w:r w:rsidRPr="00140584">
        <w:rPr>
          <w:rFonts w:ascii="Times New Roman" w:hAnsi="Times New Roman" w:cs="Times New Roman"/>
          <w:sz w:val="24"/>
          <w:szCs w:val="24"/>
        </w:rPr>
        <w:t xml:space="preserve">Dans cette étude, nous avons examiné les compromis liés </w:t>
      </w:r>
      <w:r w:rsidRPr="00140584">
        <w:rPr>
          <w:rFonts w:ascii="Times New Roman" w:hAnsi="Times New Roman" w:cs="Times New Roman"/>
          <w:sz w:val="24"/>
          <w:szCs w:val="24"/>
        </w:rPr>
        <w:t>aux options agroécologique</w:t>
      </w:r>
      <w:r w:rsidRPr="00140584">
        <w:rPr>
          <w:rFonts w:ascii="Times New Roman" w:hAnsi="Times New Roman" w:cs="Times New Roman"/>
          <w:sz w:val="24"/>
          <w:szCs w:val="24"/>
        </w:rPr>
        <w:t>, c’est-à-dire qu’il faut choisir entre deux ou plusieurs objectifs souhaitables mais concurrents. À l’aide d’une approche axée sur l’acteur, l’étude a interrogé les agriculteurs sur leurs objectifs globaux</w:t>
      </w:r>
      <w:r w:rsidRPr="00140584">
        <w:rPr>
          <w:rFonts w:ascii="Times New Roman" w:hAnsi="Times New Roman" w:cs="Times New Roman"/>
          <w:sz w:val="24"/>
          <w:szCs w:val="24"/>
        </w:rPr>
        <w:t xml:space="preserve"> (</w:t>
      </w:r>
      <w:r w:rsidRPr="00140584">
        <w:rPr>
          <w:rFonts w:ascii="Times New Roman" w:hAnsi="Times New Roman" w:cs="Times New Roman"/>
          <w:sz w:val="24"/>
          <w:szCs w:val="24"/>
        </w:rPr>
        <w:t>pour eux-mêmes et les membres de leur ménage</w:t>
      </w:r>
      <w:r w:rsidRPr="00140584">
        <w:rPr>
          <w:rFonts w:ascii="Times New Roman" w:hAnsi="Times New Roman" w:cs="Times New Roman"/>
          <w:sz w:val="24"/>
          <w:szCs w:val="24"/>
        </w:rPr>
        <w:t xml:space="preserve">) </w:t>
      </w:r>
      <w:r w:rsidRPr="00140584">
        <w:rPr>
          <w:rFonts w:ascii="Times New Roman" w:hAnsi="Times New Roman" w:cs="Times New Roman"/>
          <w:sz w:val="24"/>
          <w:szCs w:val="24"/>
        </w:rPr>
        <w:t>et sur les stratégies utilisées pour les atteindre.</w:t>
      </w:r>
      <w:r w:rsidRPr="00140584">
        <w:rPr>
          <w:rFonts w:ascii="Times New Roman" w:hAnsi="Times New Roman" w:cs="Times New Roman"/>
          <w:sz w:val="24"/>
          <w:szCs w:val="24"/>
        </w:rPr>
        <w:t xml:space="preserve"> </w:t>
      </w:r>
      <w:r w:rsidRPr="00140584">
        <w:rPr>
          <w:rFonts w:ascii="Times New Roman" w:hAnsi="Times New Roman" w:cs="Times New Roman"/>
          <w:sz w:val="24"/>
          <w:szCs w:val="24"/>
        </w:rPr>
        <w:t>Les résultats de cette étude confirment que les moyens de subsistance et les objectifs agricoles des petits exploitants sont étroitement liés, c’est-à-dire que les individus et les ménages utilisent, adaptent et combinent des stratégies qui leur permettent d’atteindre des objectifs prioritaires. Dans leur contexte actuel, les agriculteurs font en grande partie des choix rationnels dans la gestion des compromis. Ils font des compromis sur la mesure dans laquelle les objectifs sont atteints, en adoptant une combinaison d’approches qui répondent aux objectifs dans une certaine mesure.</w:t>
      </w:r>
      <w:r w:rsidRPr="00140584">
        <w:rPr>
          <w:rFonts w:ascii="Times New Roman" w:hAnsi="Times New Roman" w:cs="Times New Roman"/>
          <w:sz w:val="24"/>
          <w:szCs w:val="24"/>
        </w:rPr>
        <w:t xml:space="preserve"> </w:t>
      </w:r>
      <w:r w:rsidRPr="00140584">
        <w:rPr>
          <w:rFonts w:ascii="Times New Roman" w:hAnsi="Times New Roman" w:cs="Times New Roman"/>
          <w:sz w:val="24"/>
          <w:szCs w:val="24"/>
        </w:rPr>
        <w:t>La capacité des agriculteurs à gérer des objectifs concurrents dépend</w:t>
      </w:r>
      <w:r>
        <w:rPr>
          <w:rFonts w:ascii="Times New Roman" w:hAnsi="Times New Roman" w:cs="Times New Roman"/>
          <w:sz w:val="24"/>
          <w:szCs w:val="24"/>
        </w:rPr>
        <w:t xml:space="preserve"> aussi </w:t>
      </w:r>
      <w:r w:rsidRPr="00140584">
        <w:rPr>
          <w:rFonts w:ascii="Times New Roman" w:hAnsi="Times New Roman" w:cs="Times New Roman"/>
          <w:sz w:val="24"/>
          <w:szCs w:val="24"/>
        </w:rPr>
        <w:t xml:space="preserve"> des ressources dont ils disposent</w:t>
      </w:r>
      <w:r w:rsidRPr="00140584">
        <w:rPr>
          <w:rFonts w:ascii="Times New Roman" w:hAnsi="Times New Roman" w:cs="Times New Roman"/>
          <w:sz w:val="24"/>
          <w:szCs w:val="24"/>
        </w:rPr>
        <w:t>.</w:t>
      </w:r>
    </w:p>
    <w:p w14:paraId="3021D6EE" w14:textId="2E30F2A3" w:rsidR="00140584" w:rsidRPr="00140584" w:rsidRDefault="00140584" w:rsidP="00140584">
      <w:pPr>
        <w:spacing w:line="360" w:lineRule="auto"/>
        <w:jc w:val="both"/>
        <w:rPr>
          <w:rFonts w:ascii="Times New Roman" w:hAnsi="Times New Roman" w:cs="Times New Roman"/>
          <w:sz w:val="24"/>
          <w:szCs w:val="24"/>
        </w:rPr>
      </w:pPr>
      <w:r w:rsidRPr="00140584">
        <w:rPr>
          <w:rFonts w:ascii="Times New Roman" w:hAnsi="Times New Roman" w:cs="Times New Roman"/>
          <w:sz w:val="24"/>
          <w:szCs w:val="24"/>
        </w:rPr>
        <w:t xml:space="preserve">L’inventaire des arbres et arbustes dans les parcelles d’expérimentations a permis, non seulement d’établir la composition floristique, mais aussi d’étudier leurs effets en condition des cultures agroécologique dans les deux </w:t>
      </w:r>
      <w:r>
        <w:rPr>
          <w:rFonts w:ascii="Times New Roman" w:hAnsi="Times New Roman" w:cs="Times New Roman"/>
          <w:sz w:val="24"/>
          <w:szCs w:val="24"/>
        </w:rPr>
        <w:t>terroirs</w:t>
      </w:r>
      <w:r w:rsidRPr="00140584">
        <w:rPr>
          <w:rFonts w:ascii="Times New Roman" w:hAnsi="Times New Roman" w:cs="Times New Roman"/>
          <w:sz w:val="24"/>
          <w:szCs w:val="24"/>
        </w:rPr>
        <w:t xml:space="preserve">. </w:t>
      </w:r>
      <w:r w:rsidRPr="00140584">
        <w:rPr>
          <w:rFonts w:ascii="Times New Roman" w:hAnsi="Times New Roman" w:cs="Times New Roman"/>
          <w:sz w:val="24"/>
          <w:szCs w:val="24"/>
        </w:rPr>
        <w:t>Les interactions</w:t>
      </w:r>
      <w:r>
        <w:rPr>
          <w:rFonts w:ascii="Times New Roman" w:hAnsi="Times New Roman" w:cs="Times New Roman"/>
          <w:sz w:val="24"/>
          <w:szCs w:val="24"/>
        </w:rPr>
        <w:t xml:space="preserve"> entre les composantes de rendements et les otions agricoles sont</w:t>
      </w:r>
      <w:r w:rsidRPr="00140584">
        <w:rPr>
          <w:rFonts w:ascii="Times New Roman" w:hAnsi="Times New Roman" w:cs="Times New Roman"/>
          <w:sz w:val="24"/>
          <w:szCs w:val="24"/>
        </w:rPr>
        <w:t xml:space="preserve"> complexes.</w:t>
      </w:r>
    </w:p>
    <w:p w14:paraId="44E32AB9" w14:textId="4FDB878E" w:rsidR="00140584" w:rsidRDefault="00140584" w:rsidP="00AA24C9">
      <w:pPr>
        <w:spacing w:line="360" w:lineRule="auto"/>
        <w:jc w:val="both"/>
        <w:rPr>
          <w:rFonts w:ascii="Times New Roman" w:hAnsi="Times New Roman" w:cs="Times New Roman"/>
          <w:sz w:val="24"/>
          <w:szCs w:val="24"/>
        </w:rPr>
      </w:pPr>
    </w:p>
    <w:p w14:paraId="764004A1" w14:textId="77777777" w:rsidR="00235856" w:rsidRDefault="00235856" w:rsidP="00AA24C9">
      <w:pPr>
        <w:spacing w:line="360" w:lineRule="auto"/>
        <w:jc w:val="both"/>
        <w:rPr>
          <w:rFonts w:ascii="Times New Roman" w:hAnsi="Times New Roman" w:cs="Times New Roman"/>
          <w:sz w:val="24"/>
          <w:szCs w:val="24"/>
        </w:rPr>
      </w:pPr>
    </w:p>
    <w:p w14:paraId="501EC4A3" w14:textId="77777777" w:rsidR="00D11D9E" w:rsidRPr="00D11D9E" w:rsidRDefault="00D11D9E" w:rsidP="00D11D9E">
      <w:pPr>
        <w:rPr>
          <w:rFonts w:ascii="Times New Roman" w:hAnsi="Times New Roman" w:cs="Times New Roman"/>
          <w:sz w:val="24"/>
          <w:szCs w:val="24"/>
        </w:rPr>
      </w:pPr>
    </w:p>
    <w:p w14:paraId="5BC310F6" w14:textId="77777777" w:rsidR="00D11D9E" w:rsidRDefault="00D11D9E" w:rsidP="00D11D9E">
      <w:pPr>
        <w:rPr>
          <w:rFonts w:ascii="Times New Roman" w:hAnsi="Times New Roman" w:cs="Times New Roman"/>
          <w:sz w:val="24"/>
          <w:szCs w:val="24"/>
        </w:rPr>
      </w:pPr>
    </w:p>
    <w:p w14:paraId="4302D5A7" w14:textId="77777777" w:rsidR="00235856" w:rsidRPr="00235856" w:rsidRDefault="00235856" w:rsidP="00235856">
      <w:pPr>
        <w:rPr>
          <w:rFonts w:ascii="Times New Roman" w:hAnsi="Times New Roman" w:cs="Times New Roman"/>
          <w:sz w:val="24"/>
          <w:szCs w:val="24"/>
        </w:rPr>
      </w:pPr>
    </w:p>
    <w:p w14:paraId="3809F97A" w14:textId="77777777" w:rsidR="00235856" w:rsidRPr="00235856" w:rsidRDefault="00235856" w:rsidP="00235856">
      <w:pPr>
        <w:rPr>
          <w:rFonts w:ascii="Times New Roman" w:hAnsi="Times New Roman" w:cs="Times New Roman"/>
          <w:sz w:val="24"/>
          <w:szCs w:val="24"/>
        </w:rPr>
      </w:pPr>
    </w:p>
    <w:p w14:paraId="3454DCE4" w14:textId="77777777" w:rsidR="00235856" w:rsidRPr="00235856" w:rsidRDefault="00235856" w:rsidP="00235856">
      <w:pPr>
        <w:rPr>
          <w:rFonts w:ascii="Times New Roman" w:hAnsi="Times New Roman" w:cs="Times New Roman"/>
          <w:sz w:val="24"/>
          <w:szCs w:val="24"/>
        </w:rPr>
      </w:pPr>
    </w:p>
    <w:p w14:paraId="56BD2358" w14:textId="77777777" w:rsidR="00235856" w:rsidRPr="00235856" w:rsidRDefault="00235856" w:rsidP="00235856">
      <w:pPr>
        <w:rPr>
          <w:rFonts w:ascii="Times New Roman" w:hAnsi="Times New Roman" w:cs="Times New Roman"/>
          <w:sz w:val="24"/>
          <w:szCs w:val="24"/>
        </w:rPr>
      </w:pPr>
    </w:p>
    <w:p w14:paraId="2CE6C482" w14:textId="77777777" w:rsidR="00235856" w:rsidRPr="00235856" w:rsidRDefault="00235856" w:rsidP="00235856">
      <w:pPr>
        <w:rPr>
          <w:rFonts w:ascii="Times New Roman" w:hAnsi="Times New Roman" w:cs="Times New Roman"/>
          <w:sz w:val="24"/>
          <w:szCs w:val="24"/>
        </w:rPr>
      </w:pPr>
    </w:p>
    <w:p w14:paraId="1CC93470" w14:textId="77777777" w:rsidR="00235856" w:rsidRPr="00235856" w:rsidRDefault="00235856" w:rsidP="00235856">
      <w:pPr>
        <w:rPr>
          <w:rFonts w:ascii="Times New Roman" w:hAnsi="Times New Roman" w:cs="Times New Roman"/>
          <w:sz w:val="24"/>
          <w:szCs w:val="24"/>
        </w:rPr>
      </w:pPr>
    </w:p>
    <w:p w14:paraId="49FE955B" w14:textId="77777777" w:rsidR="00235856" w:rsidRPr="00235856" w:rsidRDefault="00235856" w:rsidP="00235856">
      <w:pPr>
        <w:rPr>
          <w:rFonts w:ascii="Times New Roman" w:hAnsi="Times New Roman" w:cs="Times New Roman"/>
          <w:sz w:val="24"/>
          <w:szCs w:val="24"/>
        </w:rPr>
      </w:pPr>
    </w:p>
    <w:p w14:paraId="1AC6CA78" w14:textId="77777777" w:rsidR="00235856" w:rsidRPr="00235856" w:rsidRDefault="00235856" w:rsidP="00235856">
      <w:pPr>
        <w:rPr>
          <w:rFonts w:ascii="Times New Roman" w:hAnsi="Times New Roman" w:cs="Times New Roman"/>
          <w:sz w:val="24"/>
          <w:szCs w:val="24"/>
        </w:rPr>
      </w:pPr>
    </w:p>
    <w:p w14:paraId="776B529D" w14:textId="256DB59C" w:rsidR="00235856" w:rsidRDefault="00235856" w:rsidP="00235856">
      <w:pPr>
        <w:tabs>
          <w:tab w:val="left" w:pos="1230"/>
        </w:tabs>
        <w:rPr>
          <w:rFonts w:ascii="Times New Roman" w:hAnsi="Times New Roman" w:cs="Times New Roman"/>
          <w:sz w:val="24"/>
          <w:szCs w:val="24"/>
        </w:rPr>
      </w:pPr>
    </w:p>
    <w:p w14:paraId="0F0D301A" w14:textId="77777777" w:rsidR="00235856" w:rsidRDefault="00235856" w:rsidP="00235856">
      <w:pPr>
        <w:tabs>
          <w:tab w:val="left" w:pos="1230"/>
        </w:tabs>
        <w:rPr>
          <w:rFonts w:ascii="Times New Roman" w:hAnsi="Times New Roman" w:cs="Times New Roman"/>
          <w:sz w:val="24"/>
          <w:szCs w:val="24"/>
        </w:rPr>
      </w:pPr>
    </w:p>
    <w:sectPr w:rsidR="002358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17"/>
    <w:rsid w:val="00007FED"/>
    <w:rsid w:val="000C63D4"/>
    <w:rsid w:val="000E109E"/>
    <w:rsid w:val="00140584"/>
    <w:rsid w:val="001F232C"/>
    <w:rsid w:val="002107CF"/>
    <w:rsid w:val="00235856"/>
    <w:rsid w:val="00244286"/>
    <w:rsid w:val="00270F09"/>
    <w:rsid w:val="00296120"/>
    <w:rsid w:val="002D5F12"/>
    <w:rsid w:val="003345C0"/>
    <w:rsid w:val="00367324"/>
    <w:rsid w:val="003C04BE"/>
    <w:rsid w:val="003C0D4A"/>
    <w:rsid w:val="003E7644"/>
    <w:rsid w:val="00434A86"/>
    <w:rsid w:val="00452AA4"/>
    <w:rsid w:val="00473EFD"/>
    <w:rsid w:val="004A7E4C"/>
    <w:rsid w:val="004C2D4B"/>
    <w:rsid w:val="004E5494"/>
    <w:rsid w:val="00514844"/>
    <w:rsid w:val="00582C92"/>
    <w:rsid w:val="005928B5"/>
    <w:rsid w:val="005C733E"/>
    <w:rsid w:val="005F3EAD"/>
    <w:rsid w:val="00612F29"/>
    <w:rsid w:val="00637B7B"/>
    <w:rsid w:val="00684EDB"/>
    <w:rsid w:val="006E2BF2"/>
    <w:rsid w:val="006E3221"/>
    <w:rsid w:val="006E3A9F"/>
    <w:rsid w:val="007670BB"/>
    <w:rsid w:val="007D5E87"/>
    <w:rsid w:val="00820A9B"/>
    <w:rsid w:val="008B0FDD"/>
    <w:rsid w:val="009304A5"/>
    <w:rsid w:val="0098661F"/>
    <w:rsid w:val="009C6F29"/>
    <w:rsid w:val="009E4BB2"/>
    <w:rsid w:val="009F5CA6"/>
    <w:rsid w:val="00A000C6"/>
    <w:rsid w:val="00A22BFD"/>
    <w:rsid w:val="00A25B81"/>
    <w:rsid w:val="00A42B05"/>
    <w:rsid w:val="00A459A1"/>
    <w:rsid w:val="00A6498A"/>
    <w:rsid w:val="00A8094D"/>
    <w:rsid w:val="00AA24C9"/>
    <w:rsid w:val="00AC029F"/>
    <w:rsid w:val="00B35F01"/>
    <w:rsid w:val="00BC0FF0"/>
    <w:rsid w:val="00BC3A7A"/>
    <w:rsid w:val="00BD3D90"/>
    <w:rsid w:val="00BE710A"/>
    <w:rsid w:val="00C166F1"/>
    <w:rsid w:val="00C174CE"/>
    <w:rsid w:val="00C64783"/>
    <w:rsid w:val="00CA60FC"/>
    <w:rsid w:val="00D11D9E"/>
    <w:rsid w:val="00D40A79"/>
    <w:rsid w:val="00DA0168"/>
    <w:rsid w:val="00DA54EB"/>
    <w:rsid w:val="00DC5450"/>
    <w:rsid w:val="00DC62F8"/>
    <w:rsid w:val="00DE3FE2"/>
    <w:rsid w:val="00E04269"/>
    <w:rsid w:val="00E1404D"/>
    <w:rsid w:val="00E75D39"/>
    <w:rsid w:val="00E93C01"/>
    <w:rsid w:val="00E97E17"/>
    <w:rsid w:val="00EB3A54"/>
    <w:rsid w:val="00EC02B5"/>
    <w:rsid w:val="00EF2E03"/>
    <w:rsid w:val="00F100FA"/>
    <w:rsid w:val="00F672F0"/>
    <w:rsid w:val="00F701E0"/>
    <w:rsid w:val="00F77EE0"/>
    <w:rsid w:val="00F849B0"/>
    <w:rsid w:val="00FD04A1"/>
    <w:rsid w:val="00FD0D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DB3E"/>
  <w15:chartTrackingRefBased/>
  <w15:docId w15:val="{B243BA13-9C81-4D90-A282-DB759827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7E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E17"/>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BE710A"/>
    <w:rPr>
      <w:color w:val="0563C1" w:themeColor="hyperlink"/>
      <w:u w:val="single"/>
    </w:rPr>
  </w:style>
  <w:style w:type="character" w:styleId="Mentionnonrsolue">
    <w:name w:val="Unresolved Mention"/>
    <w:basedOn w:val="Policepardfaut"/>
    <w:uiPriority w:val="99"/>
    <w:semiHidden/>
    <w:unhideWhenUsed/>
    <w:rsid w:val="00BE710A"/>
    <w:rPr>
      <w:color w:val="605E5C"/>
      <w:shd w:val="clear" w:color="auto" w:fill="E1DFDD"/>
    </w:rPr>
  </w:style>
  <w:style w:type="paragraph" w:styleId="NormalWeb">
    <w:name w:val="Normal (Web)"/>
    <w:basedOn w:val="Normal"/>
    <w:uiPriority w:val="99"/>
    <w:semiHidden/>
    <w:unhideWhenUsed/>
    <w:rsid w:val="0014058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838028">
      <w:bodyDiv w:val="1"/>
      <w:marLeft w:val="0"/>
      <w:marRight w:val="0"/>
      <w:marTop w:val="0"/>
      <w:marBottom w:val="0"/>
      <w:divBdr>
        <w:top w:val="none" w:sz="0" w:space="0" w:color="auto"/>
        <w:left w:val="none" w:sz="0" w:space="0" w:color="auto"/>
        <w:bottom w:val="none" w:sz="0" w:space="0" w:color="auto"/>
        <w:right w:val="none" w:sz="0" w:space="0" w:color="auto"/>
      </w:divBdr>
    </w:div>
    <w:div w:id="492139459">
      <w:bodyDiv w:val="1"/>
      <w:marLeft w:val="0"/>
      <w:marRight w:val="0"/>
      <w:marTop w:val="0"/>
      <w:marBottom w:val="0"/>
      <w:divBdr>
        <w:top w:val="none" w:sz="0" w:space="0" w:color="auto"/>
        <w:left w:val="none" w:sz="0" w:space="0" w:color="auto"/>
        <w:bottom w:val="none" w:sz="0" w:space="0" w:color="auto"/>
        <w:right w:val="none" w:sz="0" w:space="0" w:color="auto"/>
      </w:divBdr>
    </w:div>
    <w:div w:id="1175876825">
      <w:bodyDiv w:val="1"/>
      <w:marLeft w:val="0"/>
      <w:marRight w:val="0"/>
      <w:marTop w:val="0"/>
      <w:marBottom w:val="0"/>
      <w:divBdr>
        <w:top w:val="none" w:sz="0" w:space="0" w:color="auto"/>
        <w:left w:val="none" w:sz="0" w:space="0" w:color="auto"/>
        <w:bottom w:val="none" w:sz="0" w:space="0" w:color="auto"/>
        <w:right w:val="none" w:sz="0" w:space="0" w:color="auto"/>
      </w:divBdr>
    </w:div>
    <w:div w:id="1353923160">
      <w:bodyDiv w:val="1"/>
      <w:marLeft w:val="0"/>
      <w:marRight w:val="0"/>
      <w:marTop w:val="0"/>
      <w:marBottom w:val="0"/>
      <w:divBdr>
        <w:top w:val="none" w:sz="0" w:space="0" w:color="auto"/>
        <w:left w:val="none" w:sz="0" w:space="0" w:color="auto"/>
        <w:bottom w:val="none" w:sz="0" w:space="0" w:color="auto"/>
        <w:right w:val="none" w:sz="0" w:space="0" w:color="auto"/>
      </w:divBdr>
    </w:div>
    <w:div w:id="1464739371">
      <w:bodyDiv w:val="1"/>
      <w:marLeft w:val="0"/>
      <w:marRight w:val="0"/>
      <w:marTop w:val="0"/>
      <w:marBottom w:val="0"/>
      <w:divBdr>
        <w:top w:val="none" w:sz="0" w:space="0" w:color="auto"/>
        <w:left w:val="none" w:sz="0" w:space="0" w:color="auto"/>
        <w:bottom w:val="none" w:sz="0" w:space="0" w:color="auto"/>
        <w:right w:val="none" w:sz="0" w:space="0" w:color="auto"/>
      </w:divBdr>
    </w:div>
    <w:div w:id="1542400369">
      <w:bodyDiv w:val="1"/>
      <w:marLeft w:val="0"/>
      <w:marRight w:val="0"/>
      <w:marTop w:val="0"/>
      <w:marBottom w:val="0"/>
      <w:divBdr>
        <w:top w:val="none" w:sz="0" w:space="0" w:color="auto"/>
        <w:left w:val="none" w:sz="0" w:space="0" w:color="auto"/>
        <w:bottom w:val="none" w:sz="0" w:space="0" w:color="auto"/>
        <w:right w:val="none" w:sz="0" w:space="0" w:color="auto"/>
      </w:divBdr>
    </w:div>
    <w:div w:id="196210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497C1-8227-426D-A41B-FE06002C2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TotalTime>
  <Pages>4</Pages>
  <Words>10531</Words>
  <Characters>57921</Characters>
  <Application>Microsoft Office Word</Application>
  <DocSecurity>0</DocSecurity>
  <Lines>482</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Seybou</dc:creator>
  <cp:keywords/>
  <dc:description/>
  <cp:lastModifiedBy>Hamza Seybou</cp:lastModifiedBy>
  <cp:revision>40</cp:revision>
  <dcterms:created xsi:type="dcterms:W3CDTF">2024-11-19T13:32:00Z</dcterms:created>
  <dcterms:modified xsi:type="dcterms:W3CDTF">2024-11-22T19:52:00Z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1673f727-93f3-3f1b-805c-1c3874ff4cc9</vt:lpwstr>
  </property>
  <property fmtid="{D5CDD505-2E9C-101B-9397-08002B2CF9AE}" pid="24" name="Mendeley Citation Style_1">
    <vt:lpwstr>http://www.zotero.org/styles/apa</vt:lpwstr>
  </property>
</Properties>
</file>