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679B1" w14:textId="4514D0E2" w:rsidR="003D25E6" w:rsidRPr="00C5457C" w:rsidRDefault="00406215" w:rsidP="00C5457C">
      <w:pPr>
        <w:pStyle w:val="Titre1"/>
        <w:spacing w:line="360" w:lineRule="auto"/>
        <w:jc w:val="both"/>
        <w:rPr>
          <w:rFonts w:ascii="Times New Roman" w:hAnsi="Times New Roman" w:cs="Times New Roman"/>
          <w:sz w:val="24"/>
          <w:szCs w:val="24"/>
        </w:rPr>
      </w:pPr>
      <w:bookmarkStart w:id="0" w:name="_Hlk183436528"/>
      <w:r w:rsidRPr="00C5457C">
        <w:rPr>
          <w:rFonts w:ascii="Times New Roman" w:hAnsi="Times New Roman" w:cs="Times New Roman"/>
          <w:sz w:val="24"/>
          <w:szCs w:val="24"/>
        </w:rPr>
        <w:t>Synthèse bibliographique sur l’agroécologie</w:t>
      </w:r>
    </w:p>
    <w:p w14:paraId="377C909E" w14:textId="03EECF0E" w:rsidR="007203BF" w:rsidRPr="00C5457C" w:rsidRDefault="002617C9"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Dans cette section, nous commençons par examiner les pratiques agroécologiques, puis nous abordons les </w:t>
      </w:r>
      <w:r w:rsidR="00F11B3A" w:rsidRPr="00C5457C">
        <w:rPr>
          <w:rFonts w:ascii="Times New Roman" w:hAnsi="Times New Roman" w:cs="Times New Roman"/>
          <w:sz w:val="24"/>
          <w:szCs w:val="24"/>
        </w:rPr>
        <w:t xml:space="preserve">antagonismes et </w:t>
      </w:r>
      <w:r w:rsidRPr="00C5457C">
        <w:rPr>
          <w:rFonts w:ascii="Times New Roman" w:hAnsi="Times New Roman" w:cs="Times New Roman"/>
          <w:sz w:val="24"/>
          <w:szCs w:val="24"/>
        </w:rPr>
        <w:t>compromis associés à ces pratiques.</w:t>
      </w:r>
    </w:p>
    <w:p w14:paraId="49DEDEBC" w14:textId="07DE47BD" w:rsidR="003D25E6" w:rsidRPr="00C5457C" w:rsidRDefault="00874EDF" w:rsidP="00C5457C">
      <w:pPr>
        <w:pStyle w:val="Titre2"/>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Examen</w:t>
      </w:r>
      <w:r w:rsidR="003D25E6" w:rsidRPr="00C5457C">
        <w:rPr>
          <w:rFonts w:ascii="Times New Roman" w:hAnsi="Times New Roman" w:cs="Times New Roman"/>
          <w:sz w:val="24"/>
          <w:szCs w:val="24"/>
        </w:rPr>
        <w:t xml:space="preserve"> des pratiques agroécologiques</w:t>
      </w:r>
    </w:p>
    <w:p w14:paraId="030F57F2" w14:textId="6C39C871" w:rsidR="0014039A" w:rsidRPr="00C5457C" w:rsidRDefault="00D8753E"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Dans les écrits scientifiques, la référence au terme "agroécologie" remonte aux années 1920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10.3763/ijas.2009.0400","author":[{"dropping-particle":"","family":"Wezel","given":"A","non-dropping-particle":"","parse-names":false,"suffix":""},{"dropping-particle":"","family":"Soldat","given":"V","non-dropping-particle":"","parse-names":false,"suffix":""}],"id":"ITEM-1","issue":"1","issued":{"date-parts":[["2009"]]},"page":"3-18","title":"A quantitative and qualitative historical analysis of the scientific discipline of agroecology","type":"article-journal","volume":"7"},"uris":["http://www.mendeley.com/documents/?uuid=641bdc70-73db-4ccb-8e66-2cdb649f3486"]},{"id":"ITEM-2","itemData":{"URL":"https://www.fao.org/3/i9037fr/I9037FR.pdf","accessed":{"date-parts":[["2023","8","9"]]},"author":[{"dropping-particle":"","family":"FAO","given":"","non-dropping-particle":"","parse-names":false,"suffix":""}],"id":"ITEM-2","issued":{"date-parts":[["2018"]]},"page":"15 p","title":"Les dix éléments de l'agroécologie. Guider La Transition Vers Et Agricoles Durables Les 10 Éléments","type":"webpage"},"uris":["http://www.mendeley.com/documents/?uuid=0d9c2fd7-5c4e-4bc9-b7e5-5b8ef5ed1552"]}],"mendeley":{"formattedCitation":"(FAO, 2018; Wezel &amp; Soldat, 2009)","plainTextFormattedCitation":"(FAO, 2018; Wezel &amp; Soldat, 2009)","previouslyFormattedCitation":"(FAO 2018; Wezel and Soldat 2009)"},"properties":{"noteIndex":0},"schema":"https://github.com/citation-style-language/schema/raw/master/csl-citation.json"}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(FAO, 2018; Wezel &amp; Soldat, 2009)</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En tant que champ d'étude scientifique, l'agroécologie vise à appliquer des concepts et des principes écologiques à la conception et à la gestion de systèmes alimentaires durables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{"citationItems":[{"id":"ITEM-1","itemData":{"DOI":"10.1080/21683565.2015.1130765","ISSN":"21683573","author":[{"dropping-particle":"","family":"Gliessman","given":"Steve","non-dropping-particle":"","parse-names":false,"suffix":""}],"container-title":"Agroecology and Sustainable Food Systems","id":"ITEM-1","issue":"3","issued":{"date-parts":[["2016"]]},"page":"187-189","title":"Transforming food systems with agroecology","type":"article","volume":"40"},"uris":["http://www.mendeley.com/documents/?uuid=df023649-a21f-4949-a195-38b36dfdc8ae"]},{"id":"ITEM-2","itemData":{"DOI":"10.1300/J064v22n03","abstract":"We present a compelling rationale for defining agroecol- ogy as the ecology of food systems. Our purpose is to provide a frame- work that will guide research, education, and action in the multiple and interacting facets of an increasingly complex global agriculture and food system. To accomplish such goals, it is essential to build bridges and connections among and beyond our disciplines in production agricul- ture, as well as beyond the farm gate into the rural landscape and com- munity. Fields of sociology, anthropology, environmental sciences, ethics, and economics are crucial to the mix. They provide additional vantage points from which we can view the food system anew, as well as insights on how to establish valuation criteria beyond neoclassical economics. Examples from Mexico, California, and the Nordic Region are used to il- lustrate the successful implementation of this educational strategy in universities. Design of individual farms using principles of ecology is expanded to the levels of landscape, community, and bioregion, with emphasis on uniqueness ofplace and the people and other species that in- habit that place. We conclude that defining agroecology as the ecology of food systems will foster the development of broader interdisciplinary re- search teams and attractive systems-based courses for tomorrow’s best students. In contrast to the narrow focus on crop-soil interactions, this definition will help us raise higher-level research questions whose solu- tions will advance the development of a sustainable agriculture and food system.","author":[{"dropping-particle":"","family":"Milestad","given":"Rebecka","non-dropping-particle":"","parse-names":false,"suffix":""},{"dropping-particle":"","family":"Darnhofer","given":"Ika","non-dropping-particle":"","parse-names":false,"suffix":""},{"dropping-particle":"","family":"Taylor","given":"Publisher","non-dropping-particle":"","parse-names":false,"suffix":""}],"container-title":"Journal of Sustainable Agriculture","id":"ITEM-2","issue":"November 2013","issued":{"date-parts":[["2008"]]},"page":"37-41","title":"Building Farm Resilience : The Prospects and Challenges of Organic Farming Building Farm Resilience : The Prospects and Challenges of Organic Farming","type":"article-journal","volume":"0046"},"uris":["http://www.mendeley.com/documents/?uuid=cb4ebb82-8ab8-4415-81a5-8ef01c33076e"]}],"mendeley":{"formattedCitation":"(Gliessman, 2016; Milestad et al., 2008)","plainTextFormattedCitation":"(Gliessman, 2016; Milestad et al., 2008)","previouslyFormattedCitation":"(Gliessman 2016; Milestad, Darnhofer, and Taylor 2008)"},"properties":{"noteIndex":0},"schema":"https://github.com/citation-style-language/schema/raw/master/csl-citation.json"}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(Gliessman, 2016; Milestad et al., 2008)</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proofErr w:type="spellStart"/>
      <w:r w:rsidRPr="00C5457C">
        <w:rPr>
          <w:rFonts w:ascii="Times New Roman" w:hAnsi="Times New Roman" w:cs="Times New Roman"/>
          <w:sz w:val="24"/>
          <w:szCs w:val="24"/>
        </w:rPr>
        <w:t>Altieri</w:t>
      </w:r>
      <w:proofErr w:type="spellEnd"/>
      <w:r w:rsidRPr="00C5457C">
        <w:rPr>
          <w:rFonts w:ascii="Times New Roman" w:hAnsi="Times New Roman" w:cs="Times New Roman"/>
          <w:sz w:val="24"/>
          <w:szCs w:val="24"/>
        </w:rPr>
        <w:t xml:space="preserve"> et Nicholls (2005) ont énoncé une définition semblable, caractérisant l'intensification agroécologique comme l'application de la science écologique à l'étude, à la conception et à la gestion de l'agriculture durable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{"citationItems":[{"id":"ITEM-1","itemData":{"DOI":"10.1016/B978-0-12-812687-5.22211-9","author":[{"dropping-particle":"","family":"Mockshell","given":"Jonathan","non-dropping-particle":"","parse-names":false,"suffix":""},{"dropping-particle":"","family":"Villarino","given":"Ma Eliza J","non-dropping-particle":"","parse-names":false,"suffix":""},{"dropping-particle":"","family":"Ciat","given":"Agriculture","non-dropping-particle":"","parse-names":false,"suffix":""}],"container-title":"Encyclopedia of Food Security and Sustainability","id":"ITEM-1","issued":{"date-parts":[["2018"]]},"number-of-pages":"1-7","publisher":"Elsevier","title":"Agroecological Intensification: Potential and Limitations to Achieving Food Security and Sustainability","type":"book"},"uris":["http://www.mendeley.com/documents/?uuid=a39315d6-4044-4222-aad1-acaeb5ae9911"]}],"mendeley":{"formattedCitation":"(Mockshell et al., 2018)","plainTextFormattedCitation":"(Mockshell et al., 2018)","previouslyFormattedCitation":"(Mockshell, Villarino, and Ciat 2018)"},"properties":{"noteIndex":0},"schema":"https://github.com/citation-style-language/schema/raw/master/csl-citation.json"}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(Mockshell et al., 2018)</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L'origine de ce concept remonte à l'étude de l'agriculture paysanne traditionnelle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{"citationItems":[{"id":"ITEM-1","itemData":{"DOI":"10.1080/21683565.2015.1130765","ISSN":"21683573","author":[{"dropping-particle":"","family":"Gliessman","given":"Steve","non-dropping-particle":"","parse-names":false,"suffix":""}],"container-title":"Agroecology and Sustainable Food Systems","id":"ITEM-1","issue":"3","issued":{"date-parts":[["2016"]]},"page":"187-189","title":"Transforming food systems with agroecology","type":"article","volume":"40"},"uris":["http://www.mendeley.com/documents/?uuid=df023649-a21f-4949-a195-38b36dfdc8ae"]},{"id":"ITEM-2","itemData":{"DOI":"10.1300/J064v22n03","abstract":"We present a compelling rationale for defining agroecol- ogy as the ecology of food systems. Our purpose is to provide a frame- work that will guide research, education, and action in the multiple and interacting facets of an increasingly complex global agriculture and food system. To accomplish such goals, it is essential to build bridges and connections among and beyond our disciplines in production agricul- ture, as well as beyond the farm gate into the rural landscape and com- munity. Fields of sociology, anthropology, environmental sciences, ethics, and economics are crucial to the mix. They provide additional vantage points from which we can view the food system anew, as well as insights on how to establish valuation criteria beyond neoclassical economics. Examples from Mexico, California, and the Nordic Region are used to il- lustrate the successful implementation of this educational strategy in universities. Design of individual farms using principles of ecology is expanded to the levels of landscape, community, and bioregion, with emphasis on uniqueness ofplace and the people and other species that in- habit that place. We conclude that defining agroecology as the ecology of food systems will foster the development of broader interdisciplinary re- search teams and attractive systems-based courses for tomorrow’s best students. In contrast to the narrow focus on crop-soil interactions, this definition will help us raise higher-level research questions whose solu- tions will advance the development of a sustainable agriculture and food system.","author":[{"dropping-particle":"","family":"Milestad","given":"Rebecka","non-dropping-particle":"","parse-names":false,"suffix":""},{"dropping-particle":"","family":"Darnhofer","given":"Ika","non-dropping-particle":"","parse-names":false,"suffix":""},{"dropping-particle":"","family":"Taylor","given":"Publisher","non-dropping-particle":"","parse-names":false,"suffix":""}],"container-title":"Journal of Sustainable Agriculture","id":"ITEM-2","issue":"November 2013","issued":{"date-parts":[["2008"]]},"page":"37-41","title":"Building Farm Resilience : The Prospects and Challenges of Organic Farming Building Farm Resilience : The Prospects and Challenges of Organic Farming","type":"article-journal","volume":"0046"},"uris":["http://www.mendeley.com/documents/?uuid=cb4ebb82-8ab8-4415-81a5-8ef01c33076e"]},{"id":"ITEM-3","itemData":{"DOI":"10.1016/j.cosust.2014.08.006","ISSN":"18773435","abstract":"Strategies towards agricultural intensification differ on the definitions of sustainability and the variables included in its evaluation. Different notions of the qualifiers of intensification (ecological, sustainable, durable, etc.) need to be unpacked. This paper examines conceptual differences between sustainable and ecological intensification as used in research, development, policy and the industry, particularly with respect to the balance between agriculture and nature. The study compares different discourses on models of intensification that differ in the role nature plays in the actual design of the systems. While sustainable intensification is generally loosely defined, so that almost any model or technology can be labeled under it, ecological intensification proposes landscape approaches that make smart use of the natural functionalities that ecosystems offer. The aim is to design multifunctional agroecosystems that are both sustained by nature and sustainable in their nature. © 2014 Elsevier B.V.","author":[{"dropping-particle":"","family":"Tittonell","given":"Pablo","non-dropping-particle":"","parse-names":false,"suffix":""}],"container-title":"Current Opinion in Environmental Sustainability","id":"ITEM-3","issued":{"date-parts":[["2014"]]},"page":"53-61","publisher":"Elsevier B.V.","title":"Ecological intensification of agriculture-sustainable by nature","type":"article","volume":"8"},"uris":["http://www.mendeley.com/documents/?uuid=05d500a7-17ff-44c4-b16d-33ed43306e2b"]}],"mendeley":{"formattedCitation":"(Gliessman, 2016; Milestad et al., 2008; Tittonell, 2014)","plainTextFormattedCitation":"(Gliessman, 2016; Milestad et al., 2008; Tittonell, 2014)","previouslyFormattedCitation":"(Gliessman 2016; Milestad et al. 2008; Tittonell 2014)"},"properties":{"noteIndex":0},"schema":"https://github.com/citation-style-language/schema/raw/master/csl-citation.json"}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(Gliessman, 2016; Milestad et al., 2008; Tittonell, 2014)</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En 2003, un groupe de 16 chercheurs américains et européens a avancé une définition de l'agroécologie en tant que "l'étude intégrative de l'écologie de l'ensemble du système alimentaire, englobant les dimensions écologiques, économiques et sociales"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{"citationItems":[{"id":"ITEM-1","itemData":{"DOI":"10.1300/J064v22n03","abstract":"We present a compelling rationale for defining agroecol- ogy as the ecology of food systems. Our purpose is to provide a frame- work that will guide research, education, and action in the multiple and interacting facets of an increasingly complex global agriculture and food system. To accomplish such goals, it is essential to build bridges and connections among and beyond our disciplines in production agricul- ture, as well as beyond the farm gate into the rural landscape and com- munity. Fields of sociology, anthropology, environmental sciences, ethics, and economics are crucial to the mix. They provide additional vantage points from which we can view the food system anew, as well as insights on how to establish valuation criteria beyond neoclassical economics. Examples from Mexico, California, and the Nordic Region are used to il- lustrate the successful implementation of this educational strategy in universities. Design of individual farms using principles of ecology is expanded to the levels of landscape, community, and bioregion, with emphasis on uniqueness ofplace and the people and other species that in- habit that place. We conclude that defining agroecology as the ecology of food systems will foster the development of broader interdisciplinary re- search teams and attractive systems-based courses for tomorrow’s best students. In contrast to the narrow focus on crop-soil interactions, this definition will help us raise higher-level research questions whose solu- tions will advance the development of a sustainable agriculture and food system.","author":[{"dropping-particle":"","family":"Milestad","given":"Rebecka","non-dropping-particle":"","parse-names":false,"suffix":""},{"dropping-particle":"","family":"Darnhofer","given":"Ika","non-dropping-particle":"","parse-names":false,"suffix":""},{"dropping-particle":"","family":"Taylor","given":"Publisher","non-dropping-particle":"","parse-names":false,"suffix":""}],"container-title":"Journal of Sustainable Agriculture","id":"ITEM-1","issue":"November 2013","issued":{"date-parts":[["2008"]]},"page":"37-41","title":"Building Farm Resilience : The Prospects and Challenges of Organic Farming Building Farm Resilience : The Prospects and Challenges of Organic Farming","type":"article-journal","volume":"0046"},"uris":["http://www.mendeley.com/documents/?uuid=cb4ebb82-8ab8-4415-81a5-8ef01c33076e"]}],"mendeley":{"formattedCitation":"(Milestad et al., 2008)","plainTextFormattedCitation":"(Milestad et al., 2008)","previouslyFormattedCitation":"(Milestad et al. 2008)"},"properties":{"noteIndex":0},"schema":"https://github.com/citation-style-language/schema/raw/master/csl-citation.json"}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(Milestad et al., 2008)</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p>
    <w:p w14:paraId="7A1AC3E0" w14:textId="07EFBA17" w:rsidR="00D7734E" w:rsidRPr="00C5457C" w:rsidRDefault="00D8753E"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L'agroécologie est un concept dynamique, dépourvu d'une définition unique. Néanmoins, toutes les définitions reconnaissent les dimensions de durabilité environnementale, sociale et économique</w:t>
      </w:r>
      <w:r w:rsidR="007F38C1" w:rsidRPr="00C5457C">
        <w:rPr>
          <w:rFonts w:ascii="Times New Roman" w:hAnsi="Times New Roman" w:cs="Times New Roman"/>
          <w:sz w:val="24"/>
          <w:szCs w:val="24"/>
        </w:rPr>
        <w:t xml:space="preserve"> </w:t>
      </w:r>
      <w:r w:rsidR="007F38C1"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{"citationItems":[{"id":"ITEM-1","itemData":{"author":[{"dropping-particle":"","family":"Hamissou","given":"Habou Hamidou","non-dropping-particle":"","parse-names":false,"suffix":""}],"id":"ITEM-1","issued":{"date-parts":[["2023"]]},"number-of-pages":"58","publisher":"Memoire de fin de cycle, En vue de l’obtention du diplôme de Master en Biodiversté et Gestion de l’Environnement Soudanien et Sahélo-Saharien (BGESSS); Université Dan Dicko Dankoulodo de Maradi, Niger","title":"Analyse intégrative de la diversité végétale et des options de gestion agroécologique des cultures : dispositif pilote dans la Commune Rurale de Saé Saboua, Niger","type":"thesis"},"uris":["http://www.mendeley.com/documents/?uuid=0f578aaa-61e9-4ac9-a843-44d892078490"]}],"mendeley":{"formattedCitation":"(Hamissou, 2023)","plainTextFormattedCitation":"(Hamissou, 2023)","previouslyFormattedCitation":"(Hamissou 2023)"},"properties":{"noteIndex":0},"schema":"https://github.com/citation-style-language/schema/raw/master/csl-citation.json"}</w:instrText>
      </w:r>
      <w:r w:rsidR="007F38C1"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(Hamissou, 2023)</w:t>
      </w:r>
      <w:r w:rsidR="007F38C1" w:rsidRPr="00C5457C">
        <w:rPr>
          <w:rFonts w:ascii="Times New Roman" w:hAnsi="Times New Roman" w:cs="Times New Roman"/>
          <w:sz w:val="24"/>
          <w:szCs w:val="24"/>
        </w:rPr>
        <w:fldChar w:fldCharType="end"/>
      </w:r>
      <w:r w:rsidRPr="00C5457C">
        <w:rPr>
          <w:rFonts w:ascii="Times New Roman" w:hAnsi="Times New Roman" w:cs="Times New Roman"/>
          <w:sz w:val="24"/>
          <w:szCs w:val="24"/>
        </w:rPr>
        <w:t>. Les pratiques agroécologiques communément acceptées englobent le paillage, les cultures intercalaires, la rotation des cultures, la gestion intégrée des sols et des nutriments, incluant l'agriculture de conservation, la conservation des sols et de l'eau, la lutte intégrée contre les ravageurs, les stratégies de lutte biologique, l'utilisation réfléchie des pesticides, l'intégration d'intrants organiques et une utilisation équilibrée et efficace des engrais</w:t>
      </w:r>
      <w:r w:rsidR="001845A2" w:rsidRPr="00C5457C">
        <w:rPr>
          <w:rFonts w:ascii="Times New Roman" w:hAnsi="Times New Roman" w:cs="Times New Roman"/>
          <w:sz w:val="24"/>
          <w:szCs w:val="24"/>
        </w:rPr>
        <w:t xml:space="preserve"> </w:t>
      </w:r>
      <w:r w:rsidR="001845A2"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{"citationItems":[{"id":"ITEM-1","itemData":{"DOI":"10.1080/14735903.2018.1448047","ISBN":"9783960210399","ISSN":"1747762X","abstract":"With the sustainable development goals has come a renewed global interest in ending hunger and achieving food security, while preventing natural resource degradation. Despite this renewed interest and increased commitments to invest in agricultural development, there is an outstanding debate over the technological trajectories to sustainability. The debate centres on sustainable agricultural intensification (SAI) and agroecological intensification (AEI) pathways to agricultural sustainability. Using a systematic literature review approach, this study examines the debate over AEI and SAI. This study employs a theoretical framework based on the economic, social, and ecological dimensions of sustainable agriculture within a policy and institutional space. Based on the sustainability dimensions, a discourse analytical technique is applied to unravel the debate. The results reveal differences in actor composition in the SAI and AEI pathways. Both pathways aim to promote food security with optimal and sustainable use of inputs; however, the actors differ on discourse relating to the concept of farming, the role of genetic engineering, the scale of operation, land use and soil health. Resolving these differences requires a blended sustainability approach that moves beyond the current AEI and SAI debate by acknowledging the tradeoffs and synergies of the socio-economic and ecological dimensions.","author":[{"dropping-particle":"","family":"Mockshell","given":"Jonathan","non-dropping-particle":"","parse-names":false,"suffix":""},{"dropping-particle":"","family":"Kamanda","given":"Josey","non-dropping-particle":"","parse-names":false,"suffix":""}],"container-title":"International Journal of Agricultural Sustainability","id":"ITEM-1","issue":"2","issued":{"date-parts":[["2018"]]},"page":"127-149","title":"Beyond the agroecological and sustainable agricultural intensification debate: Is blended sustainability the way forward?","type":"article-journal","volume":"16"},"uris":["http://www.mendeley.com/documents/?uuid=be23d2c7-3660-4c51-9798-9336b9bbc5bf"]},{"id":"ITEM-2","itemData":{"DOI":"10.1007/s13593-015-0333-y","ISSN":"17730155","abstract":"The projected human population of nine billion by 2050 has led to ever growing discussion of the need for increasing agricultural output to meet estimated food demands, while mitigating environmental costs. Many stakeholders in agricultural circles are calling for the intensification of agriculture to meet these demands. However, it is neither clear nor readily agreed upon what is meant by intensification. Here, we compare the three major uses, ‘ecological intensification’, ‘sustainable intensification’ and ‘agroecological intensification’, by analysing their various definitions, principles and practices, and also their historical appearance and evolution. We used data from the scientific literature, the grey literature, the websites of international organizations and the Scopus and FAOLEX databases. Our major findings are: (1) sustainable intensification is the most frequently used term so far. (2) The three concepts ecological intensification, sustainable intensification and agroecological intensification overlap in terms of definitions, principles and practices, thus creating some confusion in their meanings, interpretations and implications. Nevertheless, some differences exist. (3) Sustainable intensification is more widely used and represents in many cases a rather generalised category, into which most current farming practices can be put so long as sustainability is in some way addressed. However, despite its wider use, it remains imprecisely defined. (4) Ecological and agroecological intensification do introduce some major nuances and, in general, more explicitly stated definitions. For instance, ecological intensification emphasizes the understanding and intensification of biological and ecological processes and functions in agroecosystem. (5) The notion of agroecological intensification accentuates the system approach and integrates more cultural and social perspectives in its concept. (6) Even if some boundaries can be seen, confusion is still predominant in the use of these terms. These blurred boundaries currently contribute to the use of these terms for justifying many different kinds of practices and interventions. We suggest that greater precision in defining the terms and the respective practices proposed would indicate more clearly what authors or institutions are aiming at with the proposed intensification. In this sense, we provide new definitions for all three intensification concepts based on the earlier ones.","author":[{"dropping-particle":"","family":"Wezel","given":"Alexander","non-dropping-particle":"","parse-names":false,"suffix":""},{"dropping-particle":"","family":"Soboksa","given":"Gizachew","non-dropping-particle":"","parse-names":false,"suffix":""},{"dropping-particle":"","family":"McClelland","given":"Shelby","non-dropping-particle":"","parse-names":false,"suffix":""},{"dropping-particle":"","family":"Delespesse","given":"Florian","non-dropping-particle":"","parse-names":false,"suffix":""},{"dropping-particle":"","family":"Boissau","given":"Apolline","non-dropping-particle":"","parse-names":false,"suffix":""}],"container-title":"Agronomy for Sustainable Development","id":"ITEM-2","issue":"4","issued":{"date-parts":[["2015"]]},"page":"1283-1295","title":"The blurred boundaries of ecological, sustainable, and agroecological intensification: a review","type":"article","volume":"35"},"uris":["http://www.mendeley.com/documents/?uuid=15612e37-aa1c-3cac-a6d8-109204cb9d77"]},{"id":"ITEM-3","itemData":{"ISBN":"9781784310653","abstract":"In a context of a changing climate and growing concerns for more healthy food systems, agroecology is gaining momentum as a scientific discipline, sustainable farming approach and social movement. There is growing anecdotal and case study evidence of its multiple benefits, from climate resilience to farm productivity. Yet its promotion in public agricultural policies, research and extension is still limited. This paper explores why this is. It calls for consolidating the evidence base for agroecology through multi-dimensional tools that not only measure yields, but also its many other benefits: economic, environmental and social. Mainstreaming agroecology will require a fundamental cultural and philosophical shift in how we as a society define ‘productive’ and ‘efficient’ agriculture.","author":[{"dropping-particle":"","family":"Silici","given":"Laura","non-dropping-particle":"","parse-names":false,"suffix":""}],"container-title":"International Institute for Environment and Development, London","id":"ITEM-3","issue":"June","issued":{"date-parts":[["2014"]]},"page":"1-27","title":"Agroecology. What It Is And What It Has To Offer","type":"article-journal"},"uris":["http://www.mendeley.com/documents/?uuid=9fe67ca5-6347-4796-9dae-14ba93d4cedf"]},{"id":"ITEM-4","itemData":{"DOI":"10.1016/j.ecolecon.2018.05.005","ISSN":"09218009","abstract":"Conservation agriculture (CA), which consists of minimum soil disturbance, crop residue retention and crop rotation, is claimed to generate a number of agronomic, economic and environmental benefits. Recognising these potential benefits, CA is widely promoted in efforts towards sustainable agricultural intensification. However, there has been an intense debate about its suitability in smallholder farming environments, and this has stimulated a growing interest in the adoption and impacts of CA technologies in sub-Saharan Africa (SSA). Using survey data from maize-growing households in nine SSA countries, this paper seeks to add to the extant literature by examining the drivers and welfare impacts of individual and combined implementation of the three components of CA. We employ inverse-probability-weighting regression-adjustment and propensity score matching with multiple treatment estimators. Overall, results show that adoption of a CA technology significantly increases total household income and income per adult equivalent. Disaggregating the CA components, we find that adoption of the components in combination is associated with larger income gains than when the components are adopted in isolation, and the largest effect is achieved when households implement the three practices jointly. Nevertheless, implementation of the full CA package among the sampled households is very low, with an average adoption rate of 8%. We identify key factors that might spur increased adoption, including education, secure land rights, and access to institutional support services. Results further show that the determinants and impacts of the CA components vary considerably among the study countries, suggesting location specificity of CA. Our results are consistent across alternative estimators.","author":[{"dropping-particle":"","family":"Tambo","given":"Justice A","non-dropping-particle":"","parse-names":false,"suffix":""},{"dropping-particle":"","family":"Mockshell","given":"Jonathan","non-dropping-particle":"","parse-names":false,"suffix":""}],"container-title":"Ecological Economics","id":"ITEM-4","issue":"May","issued":{"date-parts":[["2018"]]},"page":"95-105","publisher":"Elsevier","title":"Differential Impacts of Conservation Agriculture Technology Options on Household Income in Sub-Saharan Africa","type":"article-journal","volume":"151"},"uris":["http://www.mendeley.com/documents/?uuid=d307e3b4-4509-42dd-bceb-9e24be79eca2"]}],"mendeley":{"formattedCitation":"(Mockshell &amp; Kamanda, 2018; Silici, 2014; Tambo &amp; Mockshell, 2018; Wezel et al., 2015)","plainTextFormattedCitation":"(Mockshell &amp; Kamanda, 2018; Silici, 2014; Tambo &amp; Mockshell, 2018; Wezel et al., 2015)","previouslyFormattedCitation":"(Mockshell and Kamanda 2018; Silici 2014; Tambo and Mockshell 2018; Wezel et al. 2015)"},"properties":{"noteIndex":0},"schema":"https://github.com/citation-style-language/schema/raw/master/csl-citation.json"}</w:instrText>
      </w:r>
      <w:r w:rsidR="001845A2"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(Mockshell &amp; Kamanda, 2018; Silici, 2014; Tambo &amp; Mockshell, 2018; Wezel et al., 2015)</w:t>
      </w:r>
      <w:r w:rsidR="001845A2" w:rsidRPr="00C5457C">
        <w:rPr>
          <w:rFonts w:ascii="Times New Roman" w:hAnsi="Times New Roman" w:cs="Times New Roman"/>
          <w:sz w:val="24"/>
          <w:szCs w:val="24"/>
        </w:rPr>
        <w:fldChar w:fldCharType="end"/>
      </w:r>
      <w:r w:rsidR="001845A2" w:rsidRPr="00C5457C">
        <w:rPr>
          <w:rFonts w:ascii="Times New Roman" w:hAnsi="Times New Roman" w:cs="Times New Roman"/>
          <w:sz w:val="24"/>
          <w:szCs w:val="24"/>
        </w:rPr>
        <w:t>.</w:t>
      </w:r>
    </w:p>
    <w:p w14:paraId="36FD6E25" w14:textId="6BA56A2F" w:rsidR="00BD0E20" w:rsidRPr="00C5457C" w:rsidRDefault="00BD0E20" w:rsidP="00C5457C">
      <w:pPr>
        <w:pStyle w:val="Titre3"/>
        <w:spacing w:line="360" w:lineRule="auto"/>
        <w:jc w:val="both"/>
        <w:rPr>
          <w:rFonts w:ascii="Times New Roman" w:hAnsi="Times New Roman" w:cs="Times New Roman"/>
        </w:rPr>
      </w:pPr>
      <w:r w:rsidRPr="00C5457C">
        <w:rPr>
          <w:rFonts w:ascii="Times New Roman" w:hAnsi="Times New Roman" w:cs="Times New Roman"/>
        </w:rPr>
        <w:t>Régénération Naturelle Assistée (RNA)</w:t>
      </w:r>
    </w:p>
    <w:p w14:paraId="5A736EC7" w14:textId="58D1188E" w:rsidR="004E39ED" w:rsidRPr="00C5457C" w:rsidRDefault="00A551A1"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Les agriculteurs des zones sahélienne et soudanienne de l'Afrique sont connus pour entretenir des systèmes agroforestiers de parcs, caractérisés par la conservation délibérée d'arbres sur des terres défrichées (régénération naturelle assistée ou RNA) pour la culture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{"citationItems":[{"id":"ITEM-1","itemData":{"ISSN":"1991637X","abstract":"In agro forestry systems, crop yields under trees are often low compared to outside. This study explored crop management under trees for improved production and income for farmers. Cowpea (Vignaunguiculata) and pearl millet (Pennisetum glaucum) sole and intercrops were grown under and outside the shade of six randomly selected Parkia biglobosa trees during one season in south-central Burkina Faso. The area under the canopy of each tree was divided into four main plots according to cardinal directions, and sub-divided into three concentric zones. Control plots were established outside the tree canopy. The crops were intercropped in two different proportions using the replacement method and compared to sole crops. Days to flowering were noted and yields were measured, and Land Equivalent Ratio (LER) and Monetary Advantage Index (MAI) calculated. Flowering was earlier outside than under the trees and intercrops flowered earlier than sole crops. Cowpea sole crops had significant grain yield losses of up to 21% under trees compared to outside, and pearl millet yield was reduced up to 67% under trees. Intercrop yields were less affected by growth under trees. LER was significantly higher under the trees than outside, and were always larger than unity indicating benefits of intercropping over sole cropping. Intercropping with two rows of cowpea and one row of millet gave significantly higher economic benefit than mixture with one row of each of the crops. Results indicate that intercropping could improve the system's productivity, increase the income for farmers, and compensate losses in pearl millet under the canopy. © 2011 Academic Journals.","author":[{"dropping-particle":"","family":"Osman","given":"Ahmed Nur","non-dropping-particle":"","parse-names":false,"suffix":""},{"dropping-particle":"","family":"Ræbild","given":"Anders","non-dropping-particle":"","parse-names":false,"suffix":""},{"dropping-particle":"","family":"Christiansen","given":"Jørgen Lindskrog","non-dropping-particle":"","parse-names":false,"suffix":""},{"dropping-particle":"","family":"Bayala","given":"Jules","non-dropping-particle":"","parse-names":false,"suffix":""}],"container-title":"African Journal of Agricultural Research","id":"ITEM-1","issue":"4","issued":{"date-parts":[["2011"]]},"page":"882-891","title":"Performance of cowpea (Vigna unguiculata) and pearl millet (Pennisetum glaucum) intercropped under parkia biglobosa in an agroforestry system in Burkina Faso","type":"article-journal","volume":"6"},"uris":["http://www.mendeley.com/documents/?uuid=cc0f48c0-5ba1-40c7-b4e7-1f7c8d7343a4"]}],"mendeley":{"formattedCitation":"(Osman et al., 2011)","manualFormatting":"(Osman et al., 2011","plainTextFormattedCitation":"(Osman et al., 2011)","previouslyFormattedCitation":"(Osman et al. 2011)"},"properties":{"noteIndex":0},"schema":"https://github.com/citation-style-language/schema/raw/master/csl-citation.json"}</w:instrText>
      </w:r>
      <w:r w:rsidRPr="00C5457C">
        <w:rPr>
          <w:rFonts w:ascii="Times New Roman" w:hAnsi="Times New Roman" w:cs="Times New Roman"/>
          <w:sz w:val="24"/>
          <w:szCs w:val="24"/>
        </w:rPr>
        <w:fldChar w:fldCharType="separate"/>
      </w:r>
      <w:r w:rsidR="00D81254" w:rsidRPr="00C5457C">
        <w:rPr>
          <w:rFonts w:ascii="Times New Roman" w:hAnsi="Times New Roman" w:cs="Times New Roman"/>
          <w:noProof/>
          <w:sz w:val="24"/>
          <w:szCs w:val="24"/>
        </w:rPr>
        <w:t>(Osman et al., 2011</w:t>
      </w:r>
      <w:r w:rsidRPr="00C5457C">
        <w:rPr>
          <w:rFonts w:ascii="Times New Roman" w:hAnsi="Times New Roman" w:cs="Times New Roman"/>
          <w:sz w:val="24"/>
          <w:szCs w:val="24"/>
        </w:rPr>
        <w:fldChar w:fldCharType="end"/>
      </w:r>
      <w:r w:rsidR="007B1D27"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10.55515/GHFR2702","ISBN":"978-90-5113-155-0","author":[{"dropping-particle":"","family":"Abasse","given":"Tougiani","non-dropping-particle":"","parse-names":false,"suffix":""},{"dropping-particle":"","family":"Massaoudou","given":"Moussa","non-dropping-particle":"","parse-names":false,"suffix":""},{"dropping-particle":"","family":"Rabiou","given":"Habou","non-dropping-particle":"","parse-names":false,"suffix":""},{"dropping-particle":"","family":"Idrissa","given":"Soumana","non-dropping-particle":"","parse-names":false,"suffix":""},{"dropping-particle":"","family":"Iro","given":"Dan Guimbo","non-dropping-particle":"","parse-names":false,"suffix":""}],"container-title":"Tropenbos International","edition":"Tropenbos","id":"ITEM-1","issued":{"date-parts":[["2023"]]},"page":"65","publisher-place":"Pays Bas","title":"Régénération naturelle assistée au Niger: l’état des connaissances","type":"article-journal","volume":"Ede, Pays"},"uris":["http://www.mendeley.com/documents/?uuid=b46d3b84-822d-4c8e-bebb-1f2afa0bb81a"]},{"id":"ITEM-2","itemData":{"DOI":"10.4314/jab.v112i1.7","abstract":"Objective :\\r\\n This study aims to understand the agro-ecological \\r\\neffect of Farmer Managed Natural Regeneration \\r\\n(FMNR) on the yield of millet in the groundnut basi\\r\\nn in Senegal. The study was conducted in three vill\\r\\nages in \\r\\nthe municipality of Tattaguine for two consecutive \\r\\nyears. \\r\\nMethodology and Results :\\r\\n The methodology was to assess the performance para\\r\\nmeters of millet in an \\r\\nexperimental factorial block with two factors: numb\\r\\ner of stems per strain and variety of millet. Meanw\\r\\nhile, \\r\\nperception surveys were conducted with producers on\\r\\n the various combinations tested. The results show \\r\\nthat \\r\\nthe FMNR with 4 stems/strain obtained in the two ye\\r\\nars a significantly higher number of fertile ears c\\r\\nompared \\r\\nto the control. The grain yield difference between \\r\\ncontrol plots and plots RNA (2 stems/strain and 4 \\r\\nstems/strain) started from the second year. This tr\\r\\nanslates to a minimum by a 41% increase in yields a\\r\\nt the \\r\\nRNA plots compared to controls. Surveys show that p\\r\\nerceptions of all producers agree that millet perfo\\r\\nrms \\r\\nbetter near regenerating shrubs. The majority of th\\r\\nem prefer to keep 1 or 2 stems/strain. \\r\\nConclusion and application of results:\\r\\n This study provides technical arguments to local a\\r\\nctors for a large-scale \\r\\nspread of RNA that has a positive share agro-ecolog\\r\\nical and secondly, if adopted will contribute to th\\r\\ne \\r\\nreconstruction parkland groundnut basin.","author":[{"dropping-particle":"","family":"Camara","given":"Baba Ansoumana","non-dropping-particle":"","parse-names":false,"suffix":""},{"dropping-particle":"","family":"Drame","given":"Marième","non-dropping-particle":"","parse-names":false,"suffix":""},{"dropping-particle":"","family":"Sanogo","given":"Diaminatou","non-dropping-particle":"","parse-names":false,"suffix":""},{"dropping-particle":"","family":"Ngom","given":"Daouda","non-dropping-particle":"","parse-names":false,"suffix":""},{"dropping-particle":"","family":"Badji","given":"Marcel","non-dropping-particle":"","parse-names":false,"suffix":""},{"dropping-particle":"","family":"Diop","given":"Mouhamadou","non-dropping-particle":"","parse-names":false,"suffix":""}],"container-title":"Journal of Applied Biosciences","id":"ITEM-2","issue":"1","issued":{"date-parts":[["2017"]]},"page":"11025","title":"La régénération naturelle assistée : perceptions paysannes et effets agro-écologiques sur le rendement du mil (&lt;i&gt;Pennisetum glaucum&lt;/i&gt; (L.) R. Br.) dans le bassin arachidier au Sénégal","type":"article-journal","volume":"112"},"uris":["http://www.mendeley.com/documents/?uuid=61645a38-b2ac-4b97-a7be-c5657db0e34f"]}],"mendeley":{"formattedCitation":"(Abasse et al., 2023; Camara et al., 2017)","manualFormatting":"; Abasse et al., 2023; Camara et al., 2017)","plainTextFormattedCitation":"(Abasse et al., 2023; Camara et al., 2017)","previouslyFormattedCitation":"(Abasse et al. 2023; Camara et al. 2017)"},"properties":{"noteIndex":0},"schema":"https://github.com/citation-style-language/schema/raw/master/csl-citation.json"}</w:instrText>
      </w:r>
      <w:r w:rsidR="007B1D27" w:rsidRPr="00C5457C">
        <w:rPr>
          <w:rFonts w:ascii="Times New Roman" w:hAnsi="Times New Roman" w:cs="Times New Roman"/>
          <w:sz w:val="24"/>
          <w:szCs w:val="24"/>
        </w:rPr>
        <w:fldChar w:fldCharType="separate"/>
      </w:r>
      <w:r w:rsidRPr="00C5457C">
        <w:rPr>
          <w:rFonts w:ascii="Times New Roman" w:hAnsi="Times New Roman" w:cs="Times New Roman"/>
          <w:noProof/>
          <w:sz w:val="24"/>
          <w:szCs w:val="24"/>
        </w:rPr>
        <w:t xml:space="preserve">; </w:t>
      </w:r>
      <w:r w:rsidR="007B1D27" w:rsidRPr="00C5457C">
        <w:rPr>
          <w:rFonts w:ascii="Times New Roman" w:hAnsi="Times New Roman" w:cs="Times New Roman"/>
          <w:noProof/>
          <w:sz w:val="24"/>
          <w:szCs w:val="24"/>
        </w:rPr>
        <w:t>Abasse et al., 2023; Camara et al., 2017)</w:t>
      </w:r>
      <w:r w:rsidR="007B1D27" w:rsidRPr="00C5457C">
        <w:rPr>
          <w:rFonts w:ascii="Times New Roman" w:hAnsi="Times New Roman" w:cs="Times New Roman"/>
          <w:sz w:val="24"/>
          <w:szCs w:val="24"/>
        </w:rPr>
        <w:fldChar w:fldCharType="end"/>
      </w:r>
      <w:r w:rsidR="007B1D27" w:rsidRPr="00C5457C">
        <w:rPr>
          <w:rFonts w:ascii="Times New Roman" w:hAnsi="Times New Roman" w:cs="Times New Roman"/>
          <w:sz w:val="24"/>
          <w:szCs w:val="24"/>
        </w:rPr>
        <w:t>. Les producteurs au Sénégal dans le bassin arachidier affirment que l</w:t>
      </w:r>
      <w:r w:rsidR="00E31025" w:rsidRPr="00C5457C">
        <w:rPr>
          <w:rFonts w:ascii="Times New Roman" w:hAnsi="Times New Roman" w:cs="Times New Roman"/>
          <w:sz w:val="24"/>
          <w:szCs w:val="24"/>
        </w:rPr>
        <w:t>a RNA</w:t>
      </w:r>
      <w:r w:rsidR="007B1D27" w:rsidRPr="00C5457C">
        <w:rPr>
          <w:rFonts w:ascii="Times New Roman" w:hAnsi="Times New Roman" w:cs="Times New Roman"/>
          <w:sz w:val="24"/>
          <w:szCs w:val="24"/>
        </w:rPr>
        <w:t xml:space="preserve"> a des effets agroécologiques bénéfiques sur le comportement des cultures</w:t>
      </w:r>
      <w:r w:rsidR="00E31025" w:rsidRPr="00C5457C">
        <w:rPr>
          <w:rFonts w:ascii="Times New Roman" w:hAnsi="Times New Roman" w:cs="Times New Roman"/>
          <w:sz w:val="24"/>
          <w:szCs w:val="24"/>
        </w:rPr>
        <w:t>, l</w:t>
      </w:r>
      <w:r w:rsidR="007B1D27" w:rsidRPr="00C5457C">
        <w:rPr>
          <w:rFonts w:ascii="Times New Roman" w:hAnsi="Times New Roman" w:cs="Times New Roman"/>
          <w:sz w:val="24"/>
          <w:szCs w:val="24"/>
        </w:rPr>
        <w:t xml:space="preserve">a protection et la gestion de la fertilité du sol </w:t>
      </w:r>
      <w:r w:rsidR="0041798D"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{"citationItems":[{"id":"ITEM-1","itemData":{"DOI":"10.4314/jab.v112i1.7","abstract":"Objective :\\r\\n This study aims to understand the agro-ecological \\r\\neffect of Farmer Managed Natural Regeneration \\r\\n(FMNR) on the yield of millet in the groundnut basi\\r\\nn in Senegal. The study was conducted in three vill\\r\\nages in \\r\\nthe municipality of Tattaguine for two consecutive \\r\\nyears. \\r\\nMethodology and Results :\\r\\n The methodology was to assess the performance para\\r\\nmeters of millet in an \\r\\nexperimental factorial block with two factors: numb\\r\\ner of stems per strain and variety of millet. Meanw\\r\\nhile, \\r\\nperception surveys were conducted with producers on\\r\\n the various combinations tested. The results show \\r\\nthat \\r\\nthe FMNR with 4 stems/strain obtained in the two ye\\r\\nars a significantly higher number of fertile ears c\\r\\nompared \\r\\nto the control. The grain yield difference between \\r\\ncontrol plots and plots RNA (2 stems/strain and 4 \\r\\nstems/strain) started from the second year. This tr\\r\\nanslates to a minimum by a 41% increase in yields a\\r\\nt the \\r\\nRNA plots compared to controls. Surveys show that p\\r\\nerceptions of all producers agree that millet perfo\\r\\nrms \\r\\nbetter near regenerating shrubs. The majority of th\\r\\nem prefer to keep 1 or 2 stems/strain. \\r\\nConclusion and application of results:\\r\\n This study provides technical arguments to local a\\r\\nctors for a large-scale \\r\\nspread of RNA that has a positive share agro-ecolog\\r\\nical and secondly, if adopted will contribute to th\\r\\ne \\r\\nreconstruction parkland groundnut basin.","author":[{"dropping-particle":"","family":"Camara","given":"Baba Ansoumana","non-dropping-particle":"","parse-names":false,"suffix":""},{"dropping-particle":"","family":"Drame","given":"Marième","non-dropping-particle":"","parse-names":false,"suffix":""},{"dropping-particle":"","family":"Sanogo","given":"Diaminatou","non-dropping-particle":"","parse-names":false,"suffix":""},{"dropping-particle":"","family":"Ngom","given":"Daouda","non-dropping-particle":"","parse-names":false,"suffix":""},{"dropping-particle":"","family":"Badji","given":"Marcel","non-dropping-particle":"","parse-names":false,"suffix":""},{"dropping-particle":"","family":"Diop","given":"Mouhamadou","non-dropping-particle":"","parse-names":false,"suffix":""}],"container-title":"Journal of Applied Biosciences","id":"ITEM-1","issue":"1","issued":{"date-parts":[["2017"]]},"page":"11025","title":"La régénération naturelle assistée : perceptions paysannes et effets agro-écologiques sur le rendement du mil (&lt;i&gt;Pennisetum glaucum&lt;/i&gt; (L.) R. Br.) dans le bassin arachidier au Sénégal","type":"article-journal","volume":"112"},"uris":["http://www.mendeley.com/documents/?uuid=61645a38-b2ac-4b97-a7be-c5657db0e34f"]}],"mendeley":{"formattedCitation":"(Camara et al., 2017)","plainTextFormattedCitation":"(Camara et al., 2017)","previouslyFormattedCitation":"(Camara et al. 2017)"},"properties":{"noteIndex":0},"schema":"https://github.com/citation-style-language/schema/raw/master/csl-citation.json"}</w:instrText>
      </w:r>
      <w:r w:rsidR="0041798D"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(Camara et al., 2017)</w:t>
      </w:r>
      <w:r w:rsidR="0041798D" w:rsidRPr="00C5457C">
        <w:rPr>
          <w:rFonts w:ascii="Times New Roman" w:hAnsi="Times New Roman" w:cs="Times New Roman"/>
          <w:sz w:val="24"/>
          <w:szCs w:val="24"/>
        </w:rPr>
        <w:fldChar w:fldCharType="end"/>
      </w:r>
      <w:r w:rsidR="007B1D27" w:rsidRPr="00C5457C">
        <w:rPr>
          <w:rFonts w:ascii="Times New Roman" w:hAnsi="Times New Roman" w:cs="Times New Roman"/>
          <w:sz w:val="24"/>
          <w:szCs w:val="24"/>
        </w:rPr>
        <w:t xml:space="preserve">. Cette pratique existe au Niger depuis les années 1980 et contribue à la résilience des populations rurales et au maintien des conditions favorables de production agricole </w:t>
      </w:r>
      <w:r w:rsidR="0041798D"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{"citationItems":[{"id":"ITEM-1","itemData":{"abstract":"Some of the authors of this publication are also working on these related projects: Carbon stock dynamics and socio economic services for sustainable management of drylands forests: case of Baban Rafi forest in south central of Niger View project Réponse de fertilisation minérale sur le paramètre agromorphologique des écotypes d'oseille de Guinée (Hibiscus sabdariffa L.) au Niger. View project Résumé L'objectif de cette étude est d'identifier les savoirs endogènes qui favorisent la pratique de la régénération naturelle assistée (RNA) en zone sahélienne stricte, sahélo-soudanienne et nord-soudanienne du centre-sud du Niger. La méthode d'enquête a été utilisée auprès de 240 pratiquants de la RNA répartis dans 24 villages. Les questions posées sont relatives aux caractéristiques socio-économiques des enquêtés, sur leurs champs, les rendements de leurs cultures et les modalités de la pratique de la RNA. Les résultats montrent que les plus âgés connaissent mieux la pratique de la RNA. Aussi, les enquêtés de la zone nord-soudanienne présentant un niveau d'instruction primaire avec un taux de pauvreté (73,8 %) plus élevé font plus recours à la RNA pour améliorer la fertilité de leurs sols. En effet, les plus grands rendements de mil (319 ± 203,7 kg/ha) et de sorgho (79,3 ± 53,5 kg/ha) sont obtenus dans cette zone. Pourtant, elle possède les superficies moyennes par pratiquant les plus faibles pour le mil (2,19 ± 1,41 ha) et le sorgho (1,79 ± 1,3 ha). Les espèces Combretum glutinosum, Piliostigma reticulatum et Guiera senegalensis dominent dans les champs à RNA et contribuent énormément à la fertilité des sols à travers leurs biomasses. Ces résultats peuvent être utilisés pour optimiser l'effet de la RNA sur la fertilité des sols et les rendements agricoles. Abstract Peasant perception of the effect of Assisted Natural Regeneration (ANR) on soils and crop yields following an agro-ecological gradient in south-central Niger The objective of this study is to identify the endogenous knowledge that promotes the practice of farmer managed natural regeneration (FMNR) in the strict Sahelian, Sahelo-Sudanian and North Sudanian zones of south-central Niger. The survey method was used on 240 FMNR practitioners from 24 villages. The questions 273 Afrique SCIENCE 16(5) (2020) 272-283 Christian Serge Félix ZOUNON et al. asked were related to the socioeconomic characteristics of the respondents, their farms, the yields of their crops and the FMNR practicing method. The result…","author":[{"dropping-particle":"","family":"Zounon","given":"Christian Serge Félix","non-dropping-particle":"","parse-names":false,"suffix":""},{"dropping-particle":"","family":"Tougiani","given":"ABASSE","non-dropping-particle":"","parse-names":false,"suffix":""},{"dropping-particle":"","family":"Massaoudou","given":"MOUSSA","non-dropping-particle":"","parse-names":false,"suffix":""},{"dropping-particle":"","family":"Habou","given":"RABIOU","non-dropping-particle":"","parse-names":false,"suffix":""},{"dropping-particle":"","family":"Didier","given":"TIDJANI","non-dropping-particle":"","parse-names":false,"suffix":""},{"dropping-particle":"","family":"Jean-Marie Karimou","given":"AMBOUTA","non-dropping-particle":"","parse-names":false,"suffix":""}],"container-title":"Afrique SCIENCE","id":"ITEM-1","issue":"May","issued":{"date-parts":[["2020"]]},"page":"272-283","title":"Perception paysanne sur l’effet de la Régénération Naturelle Assistée (RNA) sur les sols et les rendements des cultures suivant un gradient agro-écologique du Centre-Sud du Niger","type":"article-journal","volume":"16"},"uris":["http://www.mendeley.com/documents/?uuid=6f5d169f-746e-4f84-b6e9-5602067fcadf"]}],"mendeley":{"formattedCitation":"(Zounon et al., 2020)","plainTextFormattedCitation":"(Zounon et al., 2020)","previouslyFormattedCitation":"(Zounon et al. 2020)"},"properties":{"noteIndex":0},"schema":"https://github.com/citation-style-language/schema/raw/master/csl-citation.json"}</w:instrText>
      </w:r>
      <w:r w:rsidR="0041798D"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(Zounon et al., 2020)</w:t>
      </w:r>
      <w:r w:rsidR="0041798D" w:rsidRPr="00C5457C">
        <w:rPr>
          <w:rFonts w:ascii="Times New Roman" w:hAnsi="Times New Roman" w:cs="Times New Roman"/>
          <w:sz w:val="24"/>
          <w:szCs w:val="24"/>
        </w:rPr>
        <w:fldChar w:fldCharType="end"/>
      </w:r>
      <w:r w:rsidR="007B1D27" w:rsidRPr="00C5457C">
        <w:rPr>
          <w:rFonts w:ascii="Times New Roman" w:hAnsi="Times New Roman" w:cs="Times New Roman"/>
          <w:sz w:val="24"/>
          <w:szCs w:val="24"/>
        </w:rPr>
        <w:t xml:space="preserve">. </w:t>
      </w:r>
    </w:p>
    <w:p w14:paraId="7DDD65D9" w14:textId="62F9ECA3" w:rsidR="004E39ED" w:rsidRPr="00C5457C" w:rsidRDefault="007B1D27"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lastRenderedPageBreak/>
        <w:t xml:space="preserve">Selon </w:t>
      </w:r>
      <w:r w:rsidR="0041798D"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{"citationItems":[{"id":"ITEM-1","itemData":{"ISBN":"9780896296695","abstract":"A farmer-managed, agroenvironmental transformation has occurred over the past three decades in the West African Sahel, enabling both land rehabilitation and agricultural intensification to support a dense and growing population. This paper traces the technical and institutional innovations, their impacts, and lessons learned from two successful examples. The first is the story of the improvement and replication of indigenous soil and water conservation practices across the Central Plateau of Burkina Faso. Rehabilitation of at least 200,000 hectares of degraded land enabled farmers to grow cereals on land that had been barren and intensify production through developing agroforestry systems. Additionally, rehabilitation appears to have recharged local wells. The second example is a farmer-managed process of natural regeneration, using improved, local agroforestry practices over an estimated 5 million hectares in southern Niger. This large-scale effort reduced wind erosion and increased the production and marketing of crops, fodder, firewood, fruit, and other products. In both cases, income opportunities were created, reducing incentives for migration. Women benefited from the improved supply of water, fuelwood, and other tree products. Human, social, and political capital was strengthened in a process of farmer-driven change. Fluid coalitions of actors expanded the scale of the transformation. These stories have important lessons for those who seek to create effective agricultural development partnerships and meet the challenges of climate change and food security.","author":[{"dropping-particle":"","family":"Reij","given":"Chris","non-dropping-particle":"","parse-names":false,"suffix":""},{"dropping-particle":"","family":"Tappan","given":"Gray","non-dropping-particle":"","parse-names":false,"suffix":""},{"dropping-particle":"","family":"Smale","given":"Melinda","non-dropping-particle":"","parse-names":false,"suffix":""}],"container-title":"Food Policy","id":"ITEM-1","issue":"November","issued":{"date-parts":[["2009"]]},"page":"52","title":"Agroenvironmental Transformation in the Sahel","type":"article-journal"},"uris":["http://www.mendeley.com/documents/?uuid=a13addd0-e667-46a4-8407-b89370ca4b83"]}],"mendeley":{"formattedCitation":"(Reij et al., 2009)","manualFormatting":"Reij et al., (2009)","plainTextFormattedCitation":"(Reij et al., 2009)","previouslyFormattedCitation":"(Reij, Tappan, and Smale 2009)"},"properties":{"noteIndex":0},"schema":"https://github.com/citation-style-language/schema/raw/master/csl-citation.json"}</w:instrText>
      </w:r>
      <w:r w:rsidR="0041798D" w:rsidRPr="00C5457C">
        <w:rPr>
          <w:rFonts w:ascii="Times New Roman" w:hAnsi="Times New Roman" w:cs="Times New Roman"/>
          <w:sz w:val="24"/>
          <w:szCs w:val="24"/>
        </w:rPr>
        <w:fldChar w:fldCharType="separate"/>
      </w:r>
      <w:r w:rsidR="0041798D" w:rsidRPr="00C5457C">
        <w:rPr>
          <w:rFonts w:ascii="Times New Roman" w:hAnsi="Times New Roman" w:cs="Times New Roman"/>
          <w:noProof/>
          <w:sz w:val="24"/>
          <w:szCs w:val="24"/>
        </w:rPr>
        <w:t>Reij et al., (2009)</w:t>
      </w:r>
      <w:r w:rsidR="0041798D" w:rsidRPr="00C5457C">
        <w:rPr>
          <w:rFonts w:ascii="Times New Roman" w:hAnsi="Times New Roman" w:cs="Times New Roman"/>
          <w:sz w:val="24"/>
          <w:szCs w:val="24"/>
        </w:rPr>
        <w:fldChar w:fldCharType="end"/>
      </w:r>
      <w:r w:rsidRPr="00C5457C">
        <w:rPr>
          <w:rFonts w:ascii="Times New Roman" w:hAnsi="Times New Roman" w:cs="Times New Roman"/>
          <w:sz w:val="24"/>
          <w:szCs w:val="24"/>
        </w:rPr>
        <w:t>, la RNA augment</w:t>
      </w:r>
      <w:r w:rsidR="00A55D9D" w:rsidRPr="00C5457C">
        <w:rPr>
          <w:rFonts w:ascii="Times New Roman" w:hAnsi="Times New Roman" w:cs="Times New Roman"/>
          <w:sz w:val="24"/>
          <w:szCs w:val="24"/>
        </w:rPr>
        <w:t>e</w:t>
      </w:r>
      <w:r w:rsidRPr="00C5457C">
        <w:rPr>
          <w:rFonts w:ascii="Times New Roman" w:hAnsi="Times New Roman" w:cs="Times New Roman"/>
          <w:sz w:val="24"/>
          <w:szCs w:val="24"/>
        </w:rPr>
        <w:t xml:space="preserve"> </w:t>
      </w:r>
      <w:r w:rsidR="0041798D" w:rsidRPr="00C5457C">
        <w:rPr>
          <w:rFonts w:ascii="Times New Roman" w:hAnsi="Times New Roman" w:cs="Times New Roman"/>
          <w:sz w:val="24"/>
          <w:szCs w:val="24"/>
        </w:rPr>
        <w:t xml:space="preserve">en moyenne </w:t>
      </w:r>
      <w:r w:rsidRPr="00C5457C">
        <w:rPr>
          <w:rFonts w:ascii="Times New Roman" w:hAnsi="Times New Roman" w:cs="Times New Roman"/>
          <w:sz w:val="24"/>
          <w:szCs w:val="24"/>
        </w:rPr>
        <w:t>les rendements céréaliers de 100 kg/ha.</w:t>
      </w:r>
      <w:r w:rsidR="0041798D" w:rsidRPr="00C5457C">
        <w:rPr>
          <w:rFonts w:ascii="Times New Roman" w:hAnsi="Times New Roman" w:cs="Times New Roman"/>
          <w:sz w:val="24"/>
          <w:szCs w:val="24"/>
        </w:rPr>
        <w:t xml:space="preserve"> Les études menées </w:t>
      </w:r>
      <w:r w:rsidR="00080CB2" w:rsidRPr="00C5457C">
        <w:rPr>
          <w:rFonts w:ascii="Times New Roman" w:hAnsi="Times New Roman" w:cs="Times New Roman"/>
          <w:sz w:val="24"/>
          <w:szCs w:val="24"/>
        </w:rPr>
        <w:t xml:space="preserve">dans diverses zones géographiques au Niger sur l'exploitation des espèces ligneuses dans les terres cultivées révèlent que </w:t>
      </w:r>
      <w:r w:rsidR="00080CB2" w:rsidRPr="00C5457C">
        <w:rPr>
          <w:rFonts w:ascii="Times New Roman" w:hAnsi="Times New Roman" w:cs="Times New Roman"/>
          <w:i/>
          <w:iCs/>
          <w:sz w:val="24"/>
          <w:szCs w:val="24"/>
        </w:rPr>
        <w:t xml:space="preserve">Faidherbia </w:t>
      </w:r>
      <w:proofErr w:type="spellStart"/>
      <w:r w:rsidR="00080CB2" w:rsidRPr="00C5457C">
        <w:rPr>
          <w:rFonts w:ascii="Times New Roman" w:hAnsi="Times New Roman" w:cs="Times New Roman"/>
          <w:i/>
          <w:iCs/>
          <w:sz w:val="24"/>
          <w:szCs w:val="24"/>
        </w:rPr>
        <w:t>albida</w:t>
      </w:r>
      <w:proofErr w:type="spellEnd"/>
      <w:r w:rsidR="00080CB2" w:rsidRPr="00C5457C">
        <w:rPr>
          <w:rFonts w:ascii="Times New Roman" w:hAnsi="Times New Roman" w:cs="Times New Roman"/>
          <w:i/>
          <w:iCs/>
          <w:sz w:val="24"/>
          <w:szCs w:val="24"/>
        </w:rPr>
        <w:t xml:space="preserve"> </w:t>
      </w:r>
      <w:r w:rsidR="00080CB2" w:rsidRPr="00C5457C">
        <w:rPr>
          <w:rFonts w:ascii="Times New Roman" w:hAnsi="Times New Roman" w:cs="Times New Roman"/>
          <w:sz w:val="24"/>
          <w:szCs w:val="24"/>
        </w:rPr>
        <w:t>et</w:t>
      </w:r>
      <w:r w:rsidR="00080CB2" w:rsidRPr="00C5457C">
        <w:rPr>
          <w:rFonts w:ascii="Times New Roman" w:hAnsi="Times New Roman" w:cs="Times New Roman"/>
          <w:i/>
          <w:iCs/>
          <w:sz w:val="24"/>
          <w:szCs w:val="24"/>
        </w:rPr>
        <w:t xml:space="preserve"> </w:t>
      </w:r>
      <w:proofErr w:type="spellStart"/>
      <w:r w:rsidR="00080CB2" w:rsidRPr="00C5457C">
        <w:rPr>
          <w:rFonts w:ascii="Times New Roman" w:hAnsi="Times New Roman" w:cs="Times New Roman"/>
          <w:i/>
          <w:iCs/>
          <w:sz w:val="24"/>
          <w:szCs w:val="24"/>
        </w:rPr>
        <w:t>Hyphaene</w:t>
      </w:r>
      <w:proofErr w:type="spellEnd"/>
      <w:r w:rsidR="00080CB2" w:rsidRPr="00C5457C">
        <w:rPr>
          <w:rFonts w:ascii="Times New Roman" w:hAnsi="Times New Roman" w:cs="Times New Roman"/>
          <w:i/>
          <w:iCs/>
          <w:sz w:val="24"/>
          <w:szCs w:val="24"/>
        </w:rPr>
        <w:t xml:space="preserve"> </w:t>
      </w:r>
      <w:proofErr w:type="spellStart"/>
      <w:r w:rsidR="00080CB2" w:rsidRPr="00C5457C">
        <w:rPr>
          <w:rFonts w:ascii="Times New Roman" w:hAnsi="Times New Roman" w:cs="Times New Roman"/>
          <w:i/>
          <w:iCs/>
          <w:sz w:val="24"/>
          <w:szCs w:val="24"/>
        </w:rPr>
        <w:t>thebaica</w:t>
      </w:r>
      <w:proofErr w:type="spellEnd"/>
      <w:r w:rsidR="00080CB2" w:rsidRPr="00C5457C">
        <w:rPr>
          <w:rFonts w:ascii="Times New Roman" w:hAnsi="Times New Roman" w:cs="Times New Roman"/>
          <w:sz w:val="24"/>
          <w:szCs w:val="24"/>
        </w:rPr>
        <w:t xml:space="preserve"> </w:t>
      </w:r>
      <w:r w:rsidR="005F08EC"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{"citationItems":[{"id":"ITEM-1","itemData":{"DOI":"10.4314/ijbcs.v9i5.19","ISSN":"1991-8631","abstract":"AJOL Abstract: La région de Maradi est confrontée à la saturation de l’espace et à la baisse généralisée de la fertilité dessols. Pour faire face à cette situation, les paysans ont adopté l’association céréales - légumineuses, l’apport desfertilisants par micro doses et l’utilisation des ligneux dans les champs. Ainsi, dans le terroir de El Guéza, lescéréales sont cultivées en association avec l’arbuste Hyphaene thebaica, très répandu dans la localité. C’estdans cette optique que cette étude a été conduite pour évaluer l’influence des touffes de Hyphaene thebaica surla production du mil dans ce terroir. Ainsi, des essais de culture du mil ont été menés selon un dispositif enblocs randomisés complet sur 3 parcelles avec touffes de Hyphaene thebaica et une parcelle témoin (sanstouffes). Les résultats obtenus ont révélé qu’autour de la touffe de Hyphaene thebaica, le mil présente unenracinement très dense et bien développé alors qu’hors Hyphaene thebaica, il a des racines fines, moinsdenses et développées latéralement. Par ailleurs, les rendements en grains et en paille autour de Hyphaenethebaica sont respectivement de 1300 à 1820 kg/ha et 4630 à 6740 kg/ha alors qu’ils sont de 440 kg/ha et 2000kg/ha pour le témoin. Cette étude montre clairement que les touffes de Hyphaene thebaica améliorent laproduction du mil.© 2015 International Formulae Group. All rights reserved.Mots clés: Touffes, Hyphaene thebaica, mil, rendements, El Guéza, MaradiEnglish Title: Effect of Hyphaene thebaica (Mart) tufts on the millet production in Maradi region (Niger)English AbstractThe region Maradi is facing the land saturation and the general decline of soil fertility. To cope, farmershave adopted several techniques like “association cereals - legumes”, input of micro-doses fertilizers and theuse of woody species in the fields. Thus, in the land of El Guéza, cereal crops grains are grown in combination with Hyphaene thebaica shrub, widespread in this locality. It is in this light that this study was conducted to evaluate the influence of Hyphaene thebaica tufts on millet production in this region. Thus, millet cultivation trials were conducted according to a randomized complete block design of 3 plots with Hyphaene thebaica tufts and a control plot (without tufts). The results obtained revealed that around the tufts of Hyphaene thebaica, millet has a very dense root and well developed whereas outside Hyphaene thebaica, millet has fine roots, less denses and developed laterally. …","author":[{"dropping-particle":"","family":"Dan Lamso","given":"Nomaou","non-dropping-particle":"","parse-names":false,"suffix":""},{"dropping-particle":"","family":"Guero","given":"Yadji","non-dropping-particle":"","parse-names":false,"suffix":""},{"dropping-particle":"","family":"Tankari Dan-Badjo","given":"Abdourahamane","non-dropping-particle":"","parse-names":false,"suffix":""},{"dropping-particle":"","family":"Lamar","given":"Rabah","non-dropping-particle":"","parse-names":false,"suffix":""},{"dropping-particle":"","family":"Andre Bationo","given":"Babou","non-dropping-particle":"","parse-names":false,"suffix":""},{"dropping-particle":"","family":"Djamen","given":"Patrice","non-dropping-particle":"","parse-names":false,"suffix":""},{"dropping-particle":"","family":"Tidjani","given":"Adamou Didier","non-dropping-particle":"","parse-names":false,"suffix":""},{"dropping-particle":"","family":"Ado Maman","given":"Nassirou","non-dropping-particle":"","parse-names":false,"suffix":""},{"dropping-particle":"","family":"Karimou","given":"Ambouta Jean Marie","non-dropping-particle":"","parse-names":false,"suffix":""}],"container-title":"International Journal of Biological and Chemical Sciences","id":"ITEM-1","issue":"5","issued":{"date-parts":[["2015"]]},"page":"2477","title":"Effet des touffes de Hyphaene thebaica (Mart) sur la production du mil dans la région de Maradi (Niger)","type":"article-journal","volume":"9"},"uris":["http://www.mendeley.com/documents/?uuid=28854d7e-d1e0-4c7a-b3b4-2ea5c75b6cb3"]},{"id":"ITEM-2","itemData":{"abstract":"Le palmier doum (Hyphnene thebaica Mart.) est une espèce locale agroforestiëre à usages multiples qui, selon les paysans, améiiore la fertilité des sols. Malheureusement, il est menacé de disparition et sa regénération naturelie est compromise par Ia dormance de ses graines. Le but de cette recherche était d'identifier le traitement qui donne le taux de germination maximal des semences et d'évaluer le niveau de fertiiité des sols et le rendement de la culture du mil sous son couvert en zone semi-aride du fleuve Niger.Pour la germination, des semences de trois écozones (Nord. Centre et Sud) sont utusées, et les trois types de traitements appliqués sont les suivants: 1) La scarification mécanique [graine fntacte, graine sans péricarpe. et graine sans péricarpe ni endocarpe c'est a dire le noyau), (2) Le traitement chimique (acide sulfurique. acide gibbéreiüque et l'éthylène) et (3) ie traitement par irempage dans l'eau et enterrement de semences (eau courante. eau bouillante et semences enterrées et arrosées a l'eau courante) pendant 3, 7 et Il jours. Le taux de germination le plus élevé (85%) est obtenu avec les semences noyaux de l'écozone du Sud trempées pendant 3 jours dans I'eau courante. Pour les semences intactes fraîchement récoltées, le taux de germination le plus éleve est obtenu avec le traitement qui consiste à les enterrer et à les arroser pendant Il jours à I'eau courante (7.504. Cependant. pour les semences figées de 13 mois. le traitement à l'acide sulfunque donne le meilleur taux de germination (28%). k taux de germination des semences fraîches diminue de 3Oh quand la durée de trempage augmente de 3 a 11 jours. Le taux de germination des semences dimtnue de 29.1% après 13 mois de conservation.L'analyse de l'interaction Hyphaene thebaica Mart /mil avait pour objectif d'évaluer l'influence chi palmier doum sur la fertiiité des sols et le rendement du miï dans deux Iocaiités différentes de la vaiiée du fleuve Niger (Kareygorou, au Nord, sur arenosot et Say. au Sud. sur regoçol). Des bioessais. des expériences au champ et des analyses chimiques de sols ont été utilisés pour évaluer le niveau de fertiiité et le rendement du miI sous","author":[{"dropping-particle":"","family":"MOUSSA","given":"HASSANE","non-dropping-particle":"","parse-names":false,"suffix":""}],"id":"ITEM-2","issued":{"date-parts":[["1997"]]},"number-of-pages":"178","publisher":"UNIVERSITE LAVAL, Québec, Canada","title":"Germination du palmier doum (Hyphaene thebaica Mart) et analyse de son interaction avec le mil (Pennisetum glaucum) en zone semi-aride au Niger","type":"thesis"},"uris":["http://www.mendeley.com/documents/?uuid=5bb8cc13-d832-4534-8b37-da3a7cfbe721"]}],"mendeley":{"formattedCitation":"(Dan Lamso, Guero, et al., 2015; MOUSSA, 1997)","plainTextFormattedCitation":"(Dan Lamso, Guero, et al., 2015; MOUSSA, 1997)","previouslyFormattedCitation":"(Dan Lamso, Guero, et al. 2015; MOUSSA 1997)"},"properties":{"noteIndex":0},"schema":"https://github.com/citation-style-language/schema/raw/master/csl-citation.json"}</w:instrText>
      </w:r>
      <w:r w:rsidR="005F08EC"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(Dan Lamso, Guero, et al., 2015; MOUSSA, 1997)</w:t>
      </w:r>
      <w:r w:rsidR="005F08EC" w:rsidRPr="00C5457C">
        <w:rPr>
          <w:rFonts w:ascii="Times New Roman" w:hAnsi="Times New Roman" w:cs="Times New Roman"/>
          <w:sz w:val="24"/>
          <w:szCs w:val="24"/>
        </w:rPr>
        <w:fldChar w:fldCharType="end"/>
      </w:r>
      <w:r w:rsidR="00080CB2" w:rsidRPr="00C5457C">
        <w:rPr>
          <w:rFonts w:ascii="Times New Roman" w:hAnsi="Times New Roman" w:cs="Times New Roman"/>
          <w:sz w:val="24"/>
          <w:szCs w:val="24"/>
        </w:rPr>
        <w:t xml:space="preserve">, </w:t>
      </w:r>
      <w:r w:rsidR="00080CB2" w:rsidRPr="00C5457C">
        <w:rPr>
          <w:rFonts w:ascii="Times New Roman" w:hAnsi="Times New Roman" w:cs="Times New Roman"/>
          <w:i/>
          <w:iCs/>
          <w:sz w:val="24"/>
          <w:szCs w:val="24"/>
        </w:rPr>
        <w:t xml:space="preserve">Borassus </w:t>
      </w:r>
      <w:proofErr w:type="spellStart"/>
      <w:r w:rsidR="00080CB2" w:rsidRPr="00C5457C">
        <w:rPr>
          <w:rFonts w:ascii="Times New Roman" w:hAnsi="Times New Roman" w:cs="Times New Roman"/>
          <w:i/>
          <w:iCs/>
          <w:sz w:val="24"/>
          <w:szCs w:val="24"/>
        </w:rPr>
        <w:t>aethiopum</w:t>
      </w:r>
      <w:proofErr w:type="spellEnd"/>
      <w:r w:rsidR="00080CB2" w:rsidRPr="00C5457C">
        <w:rPr>
          <w:rFonts w:ascii="Times New Roman" w:hAnsi="Times New Roman" w:cs="Times New Roman"/>
          <w:sz w:val="24"/>
          <w:szCs w:val="24"/>
        </w:rPr>
        <w:t xml:space="preserve"> (</w:t>
      </w:r>
      <w:proofErr w:type="spellStart"/>
      <w:r w:rsidR="00080CB2" w:rsidRPr="00C5457C">
        <w:rPr>
          <w:rFonts w:ascii="Times New Roman" w:hAnsi="Times New Roman" w:cs="Times New Roman"/>
          <w:sz w:val="24"/>
          <w:szCs w:val="24"/>
        </w:rPr>
        <w:t>Kadadé</w:t>
      </w:r>
      <w:proofErr w:type="spellEnd"/>
      <w:r w:rsidR="00080CB2" w:rsidRPr="00C5457C">
        <w:rPr>
          <w:rFonts w:ascii="Times New Roman" w:hAnsi="Times New Roman" w:cs="Times New Roman"/>
          <w:sz w:val="24"/>
          <w:szCs w:val="24"/>
        </w:rPr>
        <w:t>, 1999) ainsi qu'</w:t>
      </w:r>
      <w:r w:rsidR="00080CB2" w:rsidRPr="00C5457C">
        <w:rPr>
          <w:rFonts w:ascii="Times New Roman" w:hAnsi="Times New Roman" w:cs="Times New Roman"/>
          <w:i/>
          <w:iCs/>
          <w:sz w:val="24"/>
          <w:szCs w:val="24"/>
        </w:rPr>
        <w:t xml:space="preserve">Acacia </w:t>
      </w:r>
      <w:proofErr w:type="spellStart"/>
      <w:r w:rsidR="00080CB2" w:rsidRPr="00C5457C">
        <w:rPr>
          <w:rFonts w:ascii="Times New Roman" w:hAnsi="Times New Roman" w:cs="Times New Roman"/>
          <w:i/>
          <w:iCs/>
          <w:sz w:val="24"/>
          <w:szCs w:val="24"/>
        </w:rPr>
        <w:t>senegal</w:t>
      </w:r>
      <w:proofErr w:type="spellEnd"/>
      <w:r w:rsidR="00080CB2" w:rsidRPr="00C5457C">
        <w:rPr>
          <w:rFonts w:ascii="Times New Roman" w:hAnsi="Times New Roman" w:cs="Times New Roman"/>
          <w:i/>
          <w:iCs/>
          <w:sz w:val="24"/>
          <w:szCs w:val="24"/>
        </w:rPr>
        <w:t xml:space="preserve"> </w:t>
      </w:r>
      <w:r w:rsidR="005F08EC"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{"citationItems":[{"id":"ITEM-1","itemData":{"DOI":"10.4314/ijbcs.v7i6.13","ISSN":"1991-8631","author":[{"dropping-particle":"","family":"Abdou","given":"MM","non-dropping-particle":"","parse-names":false,"suffix":""},{"dropping-particle":"","family":"Alzouma Mayaki","given":"Z","non-dropping-particle":"","parse-names":false,"suffix":""},{"dropping-particle":"","family":"Kadri","given":"A","non-dropping-particle":"","parse-names":false,"suffix":""},{"dropping-particle":"","family":"Ambouta","given":"J-MK","non-dropping-particle":"","parse-names":false,"suffix":""},{"dropping-particle":"","family":"Dan Lamso","given":"N","non-dropping-particle":"","parse-names":false,"suffix":""}],"container-title":"International Journal of Biological and Chemical Sciences","id":"ITEM-1","issue":"6","issued":{"date-parts":[["2014"]]},"page":"2328","title":"Effet de l’arbre Acacia senegal sur la fertilité des sols de gommeraies au Niger","type":"article-journal","volume":"7"},"uris":["http://www.mendeley.com/documents/?uuid=31dc261b-9ccc-47a5-8b29-01cba73dafc7"]}],"mendeley":{"formattedCitation":"(M. Abdou et al., 2014)","plainTextFormattedCitation":"(M. Abdou et al., 2014)","previouslyFormattedCitation":"(Abdou et al. 2014)"},"properties":{"noteIndex":0},"schema":"https://github.com/citation-style-language/schema/raw/master/csl-citation.json"}</w:instrText>
      </w:r>
      <w:r w:rsidR="005F08EC"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(M. Abdou et al., 2014)</w:t>
      </w:r>
      <w:r w:rsidR="005F08EC" w:rsidRPr="00C5457C">
        <w:rPr>
          <w:rFonts w:ascii="Times New Roman" w:hAnsi="Times New Roman" w:cs="Times New Roman"/>
          <w:sz w:val="24"/>
          <w:szCs w:val="24"/>
        </w:rPr>
        <w:fldChar w:fldCharType="end"/>
      </w:r>
      <w:r w:rsidR="00E31025" w:rsidRPr="00C5457C">
        <w:rPr>
          <w:rFonts w:ascii="Times New Roman" w:hAnsi="Times New Roman" w:cs="Times New Roman"/>
          <w:sz w:val="24"/>
          <w:szCs w:val="24"/>
        </w:rPr>
        <w:t xml:space="preserve"> sont</w:t>
      </w:r>
      <w:r w:rsidR="00080CB2" w:rsidRPr="00C5457C">
        <w:rPr>
          <w:rFonts w:ascii="Times New Roman" w:hAnsi="Times New Roman" w:cs="Times New Roman"/>
          <w:sz w:val="24"/>
          <w:szCs w:val="24"/>
        </w:rPr>
        <w:t xml:space="preserve"> des réponses aux préoccupations des exploitants agricoles en matière d'amélioration de la fertilité des sols et d'augmentation d</w:t>
      </w:r>
      <w:r w:rsidR="005F08EC" w:rsidRPr="00C5457C">
        <w:rPr>
          <w:rFonts w:ascii="Times New Roman" w:hAnsi="Times New Roman" w:cs="Times New Roman"/>
          <w:sz w:val="24"/>
          <w:szCs w:val="24"/>
        </w:rPr>
        <w:t>es rendements</w:t>
      </w:r>
      <w:r w:rsidR="00080CB2" w:rsidRPr="00C5457C">
        <w:rPr>
          <w:rFonts w:ascii="Times New Roman" w:hAnsi="Times New Roman" w:cs="Times New Roman"/>
          <w:sz w:val="24"/>
          <w:szCs w:val="24"/>
        </w:rPr>
        <w:t xml:space="preserve"> agricole.</w:t>
      </w:r>
      <w:r w:rsidR="00CA389C" w:rsidRPr="00C5457C">
        <w:rPr>
          <w:rFonts w:ascii="Times New Roman" w:hAnsi="Times New Roman" w:cs="Times New Roman"/>
          <w:sz w:val="24"/>
          <w:szCs w:val="24"/>
        </w:rPr>
        <w:t xml:space="preserve"> </w:t>
      </w:r>
      <w:r w:rsidR="002F1AC1" w:rsidRPr="00C5457C">
        <w:rPr>
          <w:rFonts w:ascii="Times New Roman" w:hAnsi="Times New Roman" w:cs="Times New Roman"/>
          <w:sz w:val="24"/>
          <w:szCs w:val="24"/>
        </w:rPr>
        <w:t xml:space="preserve">Selon </w:t>
      </w:r>
      <w:r w:rsidR="00B03152"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{"citationItems":[{"id":"ITEM-1","itemData":{"ISSN":"sb/arkiv","author":[{"dropping-particle":"","family":"Giffard","given":"P.-L.","non-dropping-particle":"","parse-names":false,"suffix":""}],"container-title":"Bois et Forêts Tropiques","id":"ITEM-1","issue":"kt","issued":{"date-parts":[["1964"]]},"page":"21-33","publisher-place":"Sénégal","title":"Les possibilités de reboisement en Acacia albida au Sénégal","type":"article-journal","volume":"95"},"uris":["http://www.mendeley.com/documents/?uuid=9689054a-1b53-43bb-b92d-de14f8919bcd"]}],"mendeley":{"formattedCitation":"(Giffard, 1964)","manualFormatting":"Giffard (1964)","plainTextFormattedCitation":"(Giffard, 1964)","previouslyFormattedCitation":"(Giffard 1964)"},"properties":{"noteIndex":0},"schema":"https://github.com/citation-style-language/schema/raw/master/csl-citation.json"}</w:instrText>
      </w:r>
      <w:r w:rsidR="00B03152" w:rsidRPr="00C5457C">
        <w:rPr>
          <w:rFonts w:ascii="Times New Roman" w:hAnsi="Times New Roman" w:cs="Times New Roman"/>
          <w:sz w:val="24"/>
          <w:szCs w:val="24"/>
        </w:rPr>
        <w:fldChar w:fldCharType="separate"/>
      </w:r>
      <w:r w:rsidR="00B03152" w:rsidRPr="00C5457C">
        <w:rPr>
          <w:rFonts w:ascii="Times New Roman" w:hAnsi="Times New Roman" w:cs="Times New Roman"/>
          <w:noProof/>
          <w:sz w:val="24"/>
          <w:szCs w:val="24"/>
        </w:rPr>
        <w:t>Giffard (1964)</w:t>
      </w:r>
      <w:r w:rsidR="00B03152" w:rsidRPr="00C5457C">
        <w:rPr>
          <w:rFonts w:ascii="Times New Roman" w:hAnsi="Times New Roman" w:cs="Times New Roman"/>
          <w:sz w:val="24"/>
          <w:szCs w:val="24"/>
        </w:rPr>
        <w:fldChar w:fldCharType="end"/>
      </w:r>
      <w:r w:rsidR="002F1AC1" w:rsidRPr="00C5457C">
        <w:rPr>
          <w:rFonts w:ascii="Times New Roman" w:hAnsi="Times New Roman" w:cs="Times New Roman"/>
          <w:sz w:val="24"/>
          <w:szCs w:val="24"/>
        </w:rPr>
        <w:t xml:space="preserve">, 50 arbres/ha de </w:t>
      </w:r>
      <w:r w:rsidR="002F1AC1" w:rsidRPr="00C5457C">
        <w:rPr>
          <w:rFonts w:ascii="Times New Roman" w:hAnsi="Times New Roman" w:cs="Times New Roman"/>
          <w:i/>
          <w:iCs/>
          <w:sz w:val="24"/>
          <w:szCs w:val="24"/>
        </w:rPr>
        <w:t xml:space="preserve">Faidherbia </w:t>
      </w:r>
      <w:proofErr w:type="spellStart"/>
      <w:r w:rsidR="002F1AC1" w:rsidRPr="00C5457C">
        <w:rPr>
          <w:rFonts w:ascii="Times New Roman" w:hAnsi="Times New Roman" w:cs="Times New Roman"/>
          <w:i/>
          <w:iCs/>
          <w:sz w:val="24"/>
          <w:szCs w:val="24"/>
        </w:rPr>
        <w:t>albida</w:t>
      </w:r>
      <w:proofErr w:type="spellEnd"/>
      <w:r w:rsidR="002F1AC1" w:rsidRPr="00C5457C">
        <w:rPr>
          <w:rFonts w:ascii="Times New Roman" w:hAnsi="Times New Roman" w:cs="Times New Roman"/>
          <w:sz w:val="24"/>
          <w:szCs w:val="24"/>
        </w:rPr>
        <w:t xml:space="preserve"> produisent 75 kg d'azote, 12 kg de phosphore, 13 kg de potassium, 20 kg de soufre, 25 kg de magnésium et 120 kg de calcium annuellement.</w:t>
      </w:r>
      <w:r w:rsidR="00551103" w:rsidRPr="00C5457C">
        <w:rPr>
          <w:rFonts w:ascii="Times New Roman" w:hAnsi="Times New Roman" w:cs="Times New Roman"/>
          <w:sz w:val="24"/>
          <w:szCs w:val="24"/>
        </w:rPr>
        <w:t xml:space="preserve"> Les recherches menées par Yamba (1993) dans la région de Dosso, 40 à 50 arbres par hectare de </w:t>
      </w:r>
      <w:r w:rsidR="00551103" w:rsidRPr="00C5457C">
        <w:rPr>
          <w:rFonts w:ascii="Times New Roman" w:hAnsi="Times New Roman" w:cs="Times New Roman"/>
          <w:i/>
          <w:iCs/>
          <w:sz w:val="24"/>
          <w:szCs w:val="24"/>
        </w:rPr>
        <w:t xml:space="preserve">Faidherbia </w:t>
      </w:r>
      <w:proofErr w:type="spellStart"/>
      <w:r w:rsidR="00551103" w:rsidRPr="00C5457C">
        <w:rPr>
          <w:rFonts w:ascii="Times New Roman" w:hAnsi="Times New Roman" w:cs="Times New Roman"/>
          <w:i/>
          <w:iCs/>
          <w:sz w:val="24"/>
          <w:szCs w:val="24"/>
        </w:rPr>
        <w:t>albida</w:t>
      </w:r>
      <w:proofErr w:type="spellEnd"/>
      <w:r w:rsidR="00551103" w:rsidRPr="00C5457C">
        <w:rPr>
          <w:rFonts w:ascii="Times New Roman" w:hAnsi="Times New Roman" w:cs="Times New Roman"/>
          <w:sz w:val="24"/>
          <w:szCs w:val="24"/>
        </w:rPr>
        <w:t xml:space="preserve"> produisent 100 kg d'azote, 18 kg de calcium, 20 kg de manganèse et 2 kg de potassium par an au sol. </w:t>
      </w:r>
      <w:r w:rsidR="006D4034" w:rsidRPr="00C5457C">
        <w:rPr>
          <w:rFonts w:ascii="Times New Roman" w:hAnsi="Times New Roman" w:cs="Times New Roman"/>
          <w:sz w:val="24"/>
          <w:szCs w:val="24"/>
        </w:rPr>
        <w:t xml:space="preserve">L’augmentation des rendements agricoles est </w:t>
      </w:r>
      <w:r w:rsidR="006758FC" w:rsidRPr="00C5457C">
        <w:rPr>
          <w:rFonts w:ascii="Times New Roman" w:hAnsi="Times New Roman" w:cs="Times New Roman"/>
          <w:sz w:val="24"/>
          <w:szCs w:val="24"/>
        </w:rPr>
        <w:t>déterminée</w:t>
      </w:r>
      <w:r w:rsidR="006D4034" w:rsidRPr="00C5457C">
        <w:rPr>
          <w:rFonts w:ascii="Times New Roman" w:hAnsi="Times New Roman" w:cs="Times New Roman"/>
          <w:sz w:val="24"/>
          <w:szCs w:val="24"/>
        </w:rPr>
        <w:t xml:space="preserve"> par les </w:t>
      </w:r>
      <w:r w:rsidR="006758FC" w:rsidRPr="00C5457C">
        <w:rPr>
          <w:rFonts w:ascii="Times New Roman" w:hAnsi="Times New Roman" w:cs="Times New Roman"/>
          <w:sz w:val="24"/>
          <w:szCs w:val="24"/>
        </w:rPr>
        <w:t>espèces</w:t>
      </w:r>
      <w:r w:rsidR="006D4034" w:rsidRPr="00C5457C">
        <w:rPr>
          <w:rFonts w:ascii="Times New Roman" w:hAnsi="Times New Roman" w:cs="Times New Roman"/>
          <w:sz w:val="24"/>
          <w:szCs w:val="24"/>
        </w:rPr>
        <w:t xml:space="preserve"> d’arbres, leur densité et leur âge </w:t>
      </w:r>
      <w:r w:rsidR="006D4034"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10.55515/GHFR2702","ISBN":"978-90-5113-155-0","author":[{"dropping-particle":"","family":"Abasse","given":"Tougiani","non-dropping-particle":"","parse-names":false,"suffix":""},{"dropping-particle":"","family":"Massaoudou","given":"Moussa","non-dropping-particle":"","parse-names":false,"suffix":""},{"dropping-particle":"","family":"Rabiou","given":"Habou","non-dropping-particle":"","parse-names":false,"suffix":""},{"dropping-particle":"","family":"Idrissa","given":"Soumana","non-dropping-particle":"","parse-names":false,"suffix":""},{"dropping-particle":"","family":"Iro","given":"Dan Guimbo","non-dropping-particle":"","parse-names":false,"suffix":""}],"container-title":"Tropenbos International","edition":"Tropenbos","id":"ITEM-1","issued":{"date-parts":[["2023"]]},"page":"65","publisher-place":"Pays Bas","title":"Régénération naturelle assistée au Niger: l’état des connaissances","type":"article-journal","volume":"Ede, Pays"},"uris":["http://www.mendeley.com/documents/?uuid=b46d3b84-822d-4c8e-bebb-1f2afa0bb81a"]}],"mendeley":{"formattedCitation":"(Abasse et al., 2023)","plainTextFormattedCitation":"(Abasse et al., 2023)","previouslyFormattedCitation":"(Abasse et al. 2023)"},"properties":{"noteIndex":0},"schema":"https://github.com/citation-style-language/schema/raw/master/csl-citation.json"}</w:instrText>
      </w:r>
      <w:r w:rsidR="006D4034"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(Abasse et al., 2023)</w:t>
      </w:r>
      <w:r w:rsidR="006D4034" w:rsidRPr="00C5457C">
        <w:rPr>
          <w:rFonts w:ascii="Times New Roman" w:hAnsi="Times New Roman" w:cs="Times New Roman"/>
          <w:sz w:val="24"/>
          <w:szCs w:val="24"/>
        </w:rPr>
        <w:fldChar w:fldCharType="end"/>
      </w:r>
      <w:r w:rsidR="006D4034" w:rsidRPr="00C5457C">
        <w:rPr>
          <w:rFonts w:ascii="Times New Roman" w:hAnsi="Times New Roman" w:cs="Times New Roman"/>
          <w:sz w:val="24"/>
          <w:szCs w:val="24"/>
        </w:rPr>
        <w:t xml:space="preserve">. </w:t>
      </w:r>
      <w:proofErr w:type="spellStart"/>
      <w:r w:rsidR="00551103" w:rsidRPr="00C5457C">
        <w:rPr>
          <w:rFonts w:ascii="Times New Roman" w:hAnsi="Times New Roman" w:cs="Times New Roman"/>
          <w:sz w:val="24"/>
          <w:szCs w:val="24"/>
        </w:rPr>
        <w:t>Boubé</w:t>
      </w:r>
      <w:proofErr w:type="spellEnd"/>
      <w:r w:rsidR="00551103" w:rsidRPr="00C5457C">
        <w:rPr>
          <w:rFonts w:ascii="Times New Roman" w:hAnsi="Times New Roman" w:cs="Times New Roman"/>
          <w:sz w:val="24"/>
          <w:szCs w:val="24"/>
        </w:rPr>
        <w:t xml:space="preserve"> </w:t>
      </w:r>
      <w:r w:rsidR="0048459E" w:rsidRPr="00C5457C">
        <w:rPr>
          <w:rFonts w:ascii="Times New Roman" w:hAnsi="Times New Roman" w:cs="Times New Roman"/>
          <w:sz w:val="24"/>
          <w:szCs w:val="24"/>
        </w:rPr>
        <w:t>(2009) conclut à la suite de ses travaux dans la région de Maradi que l’augmentation substantielle des rendements </w:t>
      </w:r>
      <w:r w:rsidR="00E31025" w:rsidRPr="00C5457C">
        <w:rPr>
          <w:rFonts w:ascii="Times New Roman" w:hAnsi="Times New Roman" w:cs="Times New Roman"/>
          <w:sz w:val="24"/>
          <w:szCs w:val="24"/>
        </w:rPr>
        <w:t xml:space="preserve">de </w:t>
      </w:r>
      <w:r w:rsidR="0048459E" w:rsidRPr="00C5457C">
        <w:rPr>
          <w:rFonts w:ascii="Times New Roman" w:hAnsi="Times New Roman" w:cs="Times New Roman"/>
          <w:sz w:val="24"/>
          <w:szCs w:val="24"/>
        </w:rPr>
        <w:t xml:space="preserve">32 à 165 kg/ha pour les RNA de moins de 3 ans, 59 à 221 kg/ha pour les RNA de 3 à 6 ans et 120 à 209 kg/ha pour les RNA de plus de 6 ans s’explique par l’apport de matière organique des arbres par la décomposition de la litière, et par les bénéfices de l’association des ligneux aux cultures, créant un microclimat favorable au développement des cultures. </w:t>
      </w:r>
    </w:p>
    <w:p w14:paraId="38E704BE" w14:textId="0F283715" w:rsidR="00DD45F1" w:rsidRPr="00C5457C" w:rsidRDefault="00510CB4"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{"citationItems":[{"id":"ITEM-1","itemData":{"DOI":"10.4314/jab.v94i1.8","author":[{"dropping-particle":"","family":"Dan Lamso","given":"Nomaou","non-dropping-particle":"","parse-names":false,"suffix":""},{"dropping-particle":"","family":"Yadji","given":"Guero","non-dropping-particle":"","parse-names":false,"suffix":""},{"dropping-particle":"","family":"Abdourahamane","given":"Tankari Dan-Badjo","non-dropping-particle":"","parse-names":false,"suffix":""},{"dropping-particle":"","family":"Didier","given":"Tidjani Adamou","non-dropping-particle":"","parse-names":false,"suffix":""},{"dropping-particle":"","family":"Nassirou","given":"Ado Maman","non-dropping-particle":"","parse-names":false,"suffix":""},{"dropping-particle":"","family":"Karimou","given":"Ambouta Jean Marie","non-dropping-particle":"","parse-names":false,"suffix":""}],"container-title":"Journal of Applied Biosciences","id":"ITEM-1","issue":"1","issued":{"date-parts":[["2015"]]},"page":"8844","title":"Effet des touffes de Guiera senegalensis (J.F. Gmel) sur la fertilité des sols dans la région de maradi (Niger)","type":"article-journal","volume":"94"},"uris":["http://www.mendeley.com/documents/?uuid=debcefa3-5415-4be6-b0a9-76f8d413856e"]}],"mendeley":{"formattedCitation":"(Dan Lamso, Yadji, et al., 2015)","manualFormatting":"Dan Lamso, et al., (2015)","plainTextFormattedCitation":"(Dan Lamso, Yadji, et al., 2015)","previouslyFormattedCitation":"(Dan Lamso, Yadji, et al. 2015)"},"properties":{"noteIndex":0},"schema":"https://github.com/citation-style-language/schema/raw/master/csl-citation.json"}</w:instrText>
      </w:r>
      <w:r w:rsidRPr="00C5457C">
        <w:rPr>
          <w:rFonts w:ascii="Times New Roman" w:hAnsi="Times New Roman" w:cs="Times New Roman"/>
          <w:sz w:val="24"/>
          <w:szCs w:val="24"/>
        </w:rPr>
        <w:fldChar w:fldCharType="separate"/>
      </w:r>
      <w:r w:rsidR="000524AE" w:rsidRPr="00C5457C">
        <w:rPr>
          <w:rFonts w:ascii="Times New Roman" w:hAnsi="Times New Roman" w:cs="Times New Roman"/>
          <w:noProof/>
          <w:sz w:val="24"/>
          <w:szCs w:val="24"/>
        </w:rPr>
        <w:t xml:space="preserve">Dan Lamso, et al., </w:t>
      </w:r>
      <w:r w:rsidR="00A55D9D" w:rsidRPr="00C5457C">
        <w:rPr>
          <w:rFonts w:ascii="Times New Roman" w:hAnsi="Times New Roman" w:cs="Times New Roman"/>
          <w:noProof/>
          <w:sz w:val="24"/>
          <w:szCs w:val="24"/>
        </w:rPr>
        <w:t>(</w:t>
      </w:r>
      <w:r w:rsidR="000524AE" w:rsidRPr="00C5457C">
        <w:rPr>
          <w:rFonts w:ascii="Times New Roman" w:hAnsi="Times New Roman" w:cs="Times New Roman"/>
          <w:noProof/>
          <w:sz w:val="24"/>
          <w:szCs w:val="24"/>
        </w:rPr>
        <w:t>2015)</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CA389C" w:rsidRPr="00C5457C">
        <w:rPr>
          <w:rFonts w:ascii="Times New Roman" w:hAnsi="Times New Roman" w:cs="Times New Roman"/>
          <w:sz w:val="24"/>
          <w:szCs w:val="24"/>
        </w:rPr>
        <w:t xml:space="preserve">ont </w:t>
      </w:r>
      <w:r w:rsidR="000524AE" w:rsidRPr="00C5457C">
        <w:rPr>
          <w:rFonts w:ascii="Times New Roman" w:hAnsi="Times New Roman" w:cs="Times New Roman"/>
          <w:sz w:val="24"/>
          <w:szCs w:val="24"/>
        </w:rPr>
        <w:t>montrés</w:t>
      </w:r>
      <w:r w:rsidR="00CA389C" w:rsidRPr="00C5457C">
        <w:rPr>
          <w:rFonts w:ascii="Times New Roman" w:hAnsi="Times New Roman" w:cs="Times New Roman"/>
          <w:sz w:val="24"/>
          <w:szCs w:val="24"/>
        </w:rPr>
        <w:t xml:space="preserve"> que les touffes</w:t>
      </w:r>
      <w:r w:rsidR="00882F59" w:rsidRPr="00C5457C">
        <w:rPr>
          <w:rFonts w:ascii="Times New Roman" w:hAnsi="Times New Roman" w:cs="Times New Roman"/>
          <w:sz w:val="24"/>
          <w:szCs w:val="24"/>
        </w:rPr>
        <w:t xml:space="preserve"> </w:t>
      </w:r>
      <w:r w:rsidR="00CA389C" w:rsidRPr="00C5457C">
        <w:rPr>
          <w:rFonts w:ascii="Times New Roman" w:hAnsi="Times New Roman" w:cs="Times New Roman"/>
          <w:sz w:val="24"/>
          <w:szCs w:val="24"/>
        </w:rPr>
        <w:t xml:space="preserve">de </w:t>
      </w:r>
      <w:proofErr w:type="spellStart"/>
      <w:r w:rsidR="00CA389C" w:rsidRPr="00C5457C">
        <w:rPr>
          <w:rFonts w:ascii="Times New Roman" w:hAnsi="Times New Roman" w:cs="Times New Roman"/>
          <w:i/>
          <w:iCs/>
          <w:sz w:val="24"/>
          <w:szCs w:val="24"/>
        </w:rPr>
        <w:t>Guiera</w:t>
      </w:r>
      <w:proofErr w:type="spellEnd"/>
      <w:r w:rsidR="00CA389C" w:rsidRPr="00C5457C">
        <w:rPr>
          <w:rFonts w:ascii="Times New Roman" w:hAnsi="Times New Roman" w:cs="Times New Roman"/>
          <w:i/>
          <w:iCs/>
          <w:sz w:val="24"/>
          <w:szCs w:val="24"/>
        </w:rPr>
        <w:t xml:space="preserve"> senegalensis </w:t>
      </w:r>
      <w:r w:rsidR="00CA389C" w:rsidRPr="00C5457C">
        <w:rPr>
          <w:rFonts w:ascii="Times New Roman" w:hAnsi="Times New Roman" w:cs="Times New Roman"/>
          <w:sz w:val="24"/>
          <w:szCs w:val="24"/>
        </w:rPr>
        <w:t>améliorent significativement les propriétés physico chimiques des sols dans les terroirs de Maradi.</w:t>
      </w:r>
      <w:r w:rsidR="004E39ED" w:rsidRPr="00C5457C">
        <w:rPr>
          <w:rFonts w:ascii="Times New Roman" w:hAnsi="Times New Roman" w:cs="Times New Roman"/>
          <w:sz w:val="24"/>
          <w:szCs w:val="24"/>
        </w:rPr>
        <w:t xml:space="preserve"> </w:t>
      </w:r>
      <w:r w:rsidR="006758FC" w:rsidRPr="00C5457C">
        <w:rPr>
          <w:rFonts w:ascii="Times New Roman" w:hAnsi="Times New Roman" w:cs="Times New Roman"/>
          <w:sz w:val="24"/>
          <w:szCs w:val="24"/>
        </w:rPr>
        <w:t>Dick et al.</w:t>
      </w:r>
      <w:r w:rsidR="00A55D9D" w:rsidRPr="00C5457C">
        <w:rPr>
          <w:rFonts w:ascii="Times New Roman" w:hAnsi="Times New Roman" w:cs="Times New Roman"/>
          <w:sz w:val="24"/>
          <w:szCs w:val="24"/>
        </w:rPr>
        <w:t>,</w:t>
      </w:r>
      <w:r w:rsidR="006758FC" w:rsidRPr="00C5457C">
        <w:rPr>
          <w:rFonts w:ascii="Times New Roman" w:hAnsi="Times New Roman" w:cs="Times New Roman"/>
          <w:sz w:val="24"/>
          <w:szCs w:val="24"/>
        </w:rPr>
        <w:t xml:space="preserve"> (2009) ont découvert que les arbustes comme </w:t>
      </w:r>
      <w:proofErr w:type="spellStart"/>
      <w:r w:rsidR="006758FC" w:rsidRPr="00C5457C">
        <w:rPr>
          <w:rFonts w:ascii="Times New Roman" w:hAnsi="Times New Roman" w:cs="Times New Roman"/>
          <w:i/>
          <w:iCs/>
          <w:sz w:val="24"/>
          <w:szCs w:val="24"/>
        </w:rPr>
        <w:t>Guiera</w:t>
      </w:r>
      <w:proofErr w:type="spellEnd"/>
      <w:r w:rsidR="006758FC" w:rsidRPr="00C5457C">
        <w:rPr>
          <w:rFonts w:ascii="Times New Roman" w:hAnsi="Times New Roman" w:cs="Times New Roman"/>
          <w:i/>
          <w:iCs/>
          <w:sz w:val="24"/>
          <w:szCs w:val="24"/>
        </w:rPr>
        <w:t xml:space="preserve"> senegalensis</w:t>
      </w:r>
      <w:r w:rsidR="006758FC" w:rsidRPr="00C5457C">
        <w:rPr>
          <w:rFonts w:ascii="Times New Roman" w:hAnsi="Times New Roman" w:cs="Times New Roman"/>
          <w:sz w:val="24"/>
          <w:szCs w:val="24"/>
        </w:rPr>
        <w:t xml:space="preserve"> et </w:t>
      </w:r>
      <w:proofErr w:type="spellStart"/>
      <w:r w:rsidR="006758FC" w:rsidRPr="00C5457C">
        <w:rPr>
          <w:rFonts w:ascii="Times New Roman" w:hAnsi="Times New Roman" w:cs="Times New Roman"/>
          <w:i/>
          <w:iCs/>
          <w:sz w:val="24"/>
          <w:szCs w:val="24"/>
        </w:rPr>
        <w:t>Piliostigma</w:t>
      </w:r>
      <w:proofErr w:type="spellEnd"/>
      <w:r w:rsidR="006758FC" w:rsidRPr="00C5457C">
        <w:rPr>
          <w:rFonts w:ascii="Times New Roman" w:hAnsi="Times New Roman" w:cs="Times New Roman"/>
          <w:i/>
          <w:iCs/>
          <w:sz w:val="24"/>
          <w:szCs w:val="24"/>
        </w:rPr>
        <w:t xml:space="preserve"> </w:t>
      </w:r>
      <w:proofErr w:type="spellStart"/>
      <w:r w:rsidR="006758FC" w:rsidRPr="00C5457C">
        <w:rPr>
          <w:rFonts w:ascii="Times New Roman" w:hAnsi="Times New Roman" w:cs="Times New Roman"/>
          <w:i/>
          <w:iCs/>
          <w:sz w:val="24"/>
          <w:szCs w:val="24"/>
        </w:rPr>
        <w:t>reticulatum</w:t>
      </w:r>
      <w:proofErr w:type="spellEnd"/>
      <w:r w:rsidR="006758FC" w:rsidRPr="00C5457C">
        <w:rPr>
          <w:rFonts w:ascii="Times New Roman" w:hAnsi="Times New Roman" w:cs="Times New Roman"/>
          <w:sz w:val="24"/>
          <w:szCs w:val="24"/>
        </w:rPr>
        <w:t xml:space="preserve"> améliorent la disponibilité de l'eau pour les cultures et la conservation de l'eau, une matière précieuse dans </w:t>
      </w:r>
      <w:r w:rsidR="00882F59" w:rsidRPr="00C5457C">
        <w:rPr>
          <w:rFonts w:ascii="Times New Roman" w:hAnsi="Times New Roman" w:cs="Times New Roman"/>
          <w:sz w:val="24"/>
          <w:szCs w:val="24"/>
        </w:rPr>
        <w:t>les</w:t>
      </w:r>
      <w:r w:rsidR="006758FC" w:rsidRPr="00C5457C">
        <w:rPr>
          <w:rFonts w:ascii="Times New Roman" w:hAnsi="Times New Roman" w:cs="Times New Roman"/>
          <w:sz w:val="24"/>
          <w:szCs w:val="24"/>
        </w:rPr>
        <w:t xml:space="preserve"> environnement</w:t>
      </w:r>
      <w:r w:rsidR="00882F59" w:rsidRPr="00C5457C">
        <w:rPr>
          <w:rFonts w:ascii="Times New Roman" w:hAnsi="Times New Roman" w:cs="Times New Roman"/>
          <w:sz w:val="24"/>
          <w:szCs w:val="24"/>
        </w:rPr>
        <w:t>s</w:t>
      </w:r>
      <w:r w:rsidR="006758FC" w:rsidRPr="00C5457C">
        <w:rPr>
          <w:rFonts w:ascii="Times New Roman" w:hAnsi="Times New Roman" w:cs="Times New Roman"/>
          <w:sz w:val="24"/>
          <w:szCs w:val="24"/>
        </w:rPr>
        <w:t xml:space="preserve"> semi-aride.</w:t>
      </w:r>
      <w:r w:rsidR="00997975" w:rsidRPr="00C5457C">
        <w:rPr>
          <w:rFonts w:ascii="Times New Roman" w:hAnsi="Times New Roman" w:cs="Times New Roman"/>
          <w:sz w:val="24"/>
          <w:szCs w:val="24"/>
        </w:rPr>
        <w:t xml:space="preserve"> L'humidité du sol autour des souches est augmentée par la présence d'arbustes dans les parcelles, ce qui permet aux cultures associées de mieux résister au stress hydrique au cours de leurs différents stades de développement et d'achever leur cycle de maturité </w:t>
      </w:r>
      <w:r w:rsidR="00997975"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10.55515/GHFR2702","ISBN":"978-90-5113-155-0","author":[{"dropping-particle":"","family":"Abasse","given":"Tougiani","non-dropping-particle":"","parse-names":false,"suffix":""},{"dropping-particle":"","family":"Massaoudou","given":"Moussa","non-dropping-particle":"","parse-names":false,"suffix":""},{"dropping-particle":"","family":"Rabiou","given":"Habou","non-dropping-particle":"","parse-names":false,"suffix":""},{"dropping-particle":"","family":"Idrissa","given":"Soumana","non-dropping-particle":"","parse-names":false,"suffix":""},{"dropping-particle":"","family":"Iro","given":"Dan Guimbo","non-dropping-particle":"","parse-names":false,"suffix":""}],"container-title":"Tropenbos International","edition":"Tropenbos","id":"ITEM-1","issued":{"date-parts":[["2023"]]},"page":"65","publisher-place":"Pays Bas","title":"Régénération naturelle assistée au Niger: l’état des connaissances","type":"article-journal","volume":"Ede, Pays"},"uris":["http://www.mendeley.com/documents/?uuid=b46d3b84-822d-4c8e-bebb-1f2afa0bb81a"]}],"mendeley":{"formattedCitation":"(Abasse et al., 2023)","plainTextFormattedCitation":"(Abasse et al., 2023)","previouslyFormattedCitation":"(Abasse et al. 2023)"},"properties":{"noteIndex":0},"schema":"https://github.com/citation-style-language/schema/raw/master/csl-citation.json"}</w:instrText>
      </w:r>
      <w:r w:rsidR="00997975"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(Abasse et al., 2023)</w:t>
      </w:r>
      <w:r w:rsidR="00997975" w:rsidRPr="00C5457C">
        <w:rPr>
          <w:rFonts w:ascii="Times New Roman" w:hAnsi="Times New Roman" w:cs="Times New Roman"/>
          <w:sz w:val="24"/>
          <w:szCs w:val="24"/>
        </w:rPr>
        <w:fldChar w:fldCharType="end"/>
      </w:r>
      <w:r w:rsidR="00997975" w:rsidRPr="00C5457C">
        <w:rPr>
          <w:rFonts w:ascii="Times New Roman" w:hAnsi="Times New Roman" w:cs="Times New Roman"/>
          <w:sz w:val="24"/>
          <w:szCs w:val="24"/>
        </w:rPr>
        <w:t xml:space="preserve">. </w:t>
      </w:r>
    </w:p>
    <w:p w14:paraId="7A825651" w14:textId="486EAE80" w:rsidR="00D95DA4" w:rsidRPr="00C5457C" w:rsidRDefault="00E97B1D"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Dans les pratiques agroforestières, les arbres et les arbustes contribuent directement au carbone organique du sol (SOC)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{"citationItems":[{"id":"ITEM-1","itemData":{"DOI":"10.1007/978-3-319-58789-9","ISBN":"9783319587899","abstract":"As part of its efforts to improve fertilizer use and efficiency in West Africa, and following the recent adoption of the West African fertilizer recommendation action plan (RAP) by ECOWAS, this volume focuses on IFDC's technical lead with key partner institutions and experts to build on previous and current fertilizer recommendations for various crops and countries in West Africa for wider uptake by public policy makers and fertilizer industry actors.","author":[{"dropping-particle":"","family":"Bationo","given":"Andre","non-dropping-particle":"","parse-names":false,"suffix":""},{"dropping-particle":"","family":"Ngaradoum","given":"Djimasbe","non-dropping-particle":"","parse-names":false,"suffix":""},{"dropping-particle":"","family":"Youl","given":"Sansan","non-dropping-particle":"","parse-names":false,"suffix":""},{"dropping-particle":"","family":"Lompo","given":"Francois","non-dropping-particle":"","parse-names":false,"suffix":""},{"dropping-particle":"","family":"Fening","given":"Joseph Opoku","non-dropping-particle":"","parse-names":false,"suffix":""}],"container-title":"Improving the Profitability, Sustainability and Efficiency of Nutrients Through Site Specific Fertilizer Recommendations in West Africa Agro-Ecosystems","id":"ITEM-1","issued":{"date-parts":[["2018"]]},"number-of-pages":"1-339","title":"Improving the Profitability, Sustainability and Efficiency of Nutrients Through Site Specific Fertilizer Recommendations in West Africa Agro-Ecosystems","type":"book","volume":"1"},"uris":["http://www.mendeley.com/documents/?uuid=44d66cc0-a44f-4cf2-b274-3d3d51195a37"]},{"id":"ITEM-2","itemData":{"DOI":"10.1016/j.cosust.2013.10.004","ISSN":"18773435","abstract":"In the Sahelian zone of West Africa, crops grown under a discontinuous cover of scattered trees dominate many landscapes and constitute the so-called parklands. These systems reflect the ecological knowledge of the farmers of such risk prone environments. Agroforestry parklands are playing an important role, through trees and shrubs providing soil cover that reduces erosion and buffers the impacts of climate change. They also provide green fodder that complements crop residues for livestock feeds, and fruits and leaves for human consumption and for income generation. The interactions between various components of the system influence the ecosystem service functions of trees of parklands (provisioning, regulating and supporting services) in several ways. These ecosystem functions have been at the center of the local ecological knowledge guiding the management options of the farmers and have also attracted the attention of scientists. Findings revealed new challenges that call for production options ensuring increased and diversified productivity of the systems while preserving the environment. Research on such challenges must adopt an inclusive approach based on local knowledge supported by science-based analyses of the socio-ecological systems in the face of high population pressure and climate change. © 2013 Elsevier B.V.","author":[{"dropping-particle":"","family":"Bayala","given":"J.","non-dropping-particle":"","parse-names":false,"suffix":""},{"dropping-particle":"","family":"Sanou","given":"J.","non-dropping-particle":"","parse-names":false,"suffix":""},{"dropping-particle":"","family":"Teklehaimanot","given":"Z.","non-dropping-particle":"","parse-names":false,"suffix":""},{"dropping-particle":"","family":"Kalinganire","given":"A.","non-dropping-particle":"","parse-names":false,"suffix":""},{"dropping-particle":"","family":"Ouédraogo","given":"S. J.","non-dropping-particle":"","parse-names":false,"suffix":""}],"container-title":"Current Opinion in Environmental Sustainability","id":"ITEM-2","issue":"1","issued":{"date-parts":[["2014"]]},"page":"28-34","title":"Parklands for buffering climate risk and sustaining agricultural production in the Sahel of West Africa","type":"article-journal","volume":"6"},"uris":["http://www.mendeley.com/documents/?uuid=a8e59eb7-0e07-4811-9fc7-71a9fd6900f5"]},{"id":"ITEM-3","itemData":{"DOI":"10.1016/j.foodpol.2010.12.001","ISSN":"03069192","abstract":"Soils of the world's agroecosystems (croplands, grazing lands, rangelands) are depleted of their soil organic carbon (SOC) pool by 25-75% depending on climate, soil type, and historic management. The magnitude of loss may be 10 to 50. tons. C/ha. Soils with severe depletion of their SOC pool have low agronomic yield and low use efficiency of added input. Conversion to a restorative land use and adoption of recommended management practices, can enhance the SOC pool, improve soil quality, increase agronomic productivity, advance global food security, enhance soil resilience to adapt to extreme climatic events, and mitigate climate change by off-setting fossil fuel emissions. The technical potential of carbon (C) sequestration in soils of the agroecosystems is 1.2-3.1. billion. tons. C/yr. Improvement in soil quality, by increase in the SOC pool of 1. ton. C/ha/yr in the root zone, can increase annual food production in developing countries by 24-32. million. tons of food grains and 6-10. million. tons of roots and tubers. The strategy is to create positive soil C and nutrient budgets through adoption of no-till farming with mulch, use of cover crops, integrated nutrient management including biofertilizers, water conservation, and harvesting, and improving soil structure and tilth. © 2010.","author":[{"dropping-particle":"","family":"Lal","given":"R.","non-dropping-particle":"","parse-names":false,"suffix":""}],"container-title":"Food Policy","id":"ITEM-3","issue":"SUPPL. 1","issued":{"date-parts":[["2011"]]},"page":"S33-S39","publisher":"Elsevier Ltd","title":"Sequestering carbon in soils of agro-ecosystems","type":"article-journal","volume":"36"},"uris":["http://www.mendeley.com/documents/?uuid=ce1208a8-5b64-4494-bda9-1e05ddc8f281"]}],"mendeley":{"formattedCitation":"(Bationo et al., 2018; Bayala et al., 2014; Lal, 2011)","plainTextFormattedCitation":"(Bationo et al., 2018; Bayala et al., 2014; Lal, 2011)","previouslyFormattedCitation":"(Bationo et al. 2018; Bayala et al. 2014; Lal 2011)"},"properties":{"noteIndex":0},"schema":"https://github.com/citation-style-language/schema/raw/master/csl-citation.json"}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(Bationo et al., 2018; Bayala et al., 2014; Lal, 2011)</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Les systèmes agroforestiers peuvent séquestrer jusqu'à 2,2 </w:t>
      </w:r>
      <w:proofErr w:type="spellStart"/>
      <w:r w:rsidRPr="00C5457C">
        <w:rPr>
          <w:rFonts w:ascii="Times New Roman" w:hAnsi="Times New Roman" w:cs="Times New Roman"/>
          <w:sz w:val="24"/>
          <w:szCs w:val="24"/>
        </w:rPr>
        <w:t>Pg</w:t>
      </w:r>
      <w:proofErr w:type="spellEnd"/>
      <w:r w:rsidRPr="00C5457C">
        <w:rPr>
          <w:rFonts w:ascii="Times New Roman" w:hAnsi="Times New Roman" w:cs="Times New Roman"/>
          <w:sz w:val="24"/>
          <w:szCs w:val="24"/>
        </w:rPr>
        <w:t xml:space="preserve"> de carbone (1 </w:t>
      </w:r>
      <w:proofErr w:type="spellStart"/>
      <w:r w:rsidRPr="00C5457C">
        <w:rPr>
          <w:rFonts w:ascii="Times New Roman" w:hAnsi="Times New Roman" w:cs="Times New Roman"/>
          <w:sz w:val="24"/>
          <w:szCs w:val="24"/>
        </w:rPr>
        <w:t>Pg</w:t>
      </w:r>
      <w:proofErr w:type="spellEnd"/>
      <w:r w:rsidRPr="00C5457C">
        <w:rPr>
          <w:rFonts w:ascii="Times New Roman" w:hAnsi="Times New Roman" w:cs="Times New Roman"/>
          <w:sz w:val="24"/>
          <w:szCs w:val="24"/>
        </w:rPr>
        <w:t xml:space="preserve"> = 10</w:t>
      </w:r>
      <w:r w:rsidR="004F4620" w:rsidRPr="00C5457C">
        <w:rPr>
          <w:rFonts w:ascii="Times New Roman" w:hAnsi="Times New Roman" w:cs="Times New Roman"/>
          <w:sz w:val="24"/>
          <w:szCs w:val="24"/>
          <w:vertAlign w:val="superscript"/>
        </w:rPr>
        <w:t>15</w:t>
      </w:r>
      <w:r w:rsidRPr="00C5457C">
        <w:rPr>
          <w:rFonts w:ascii="Times New Roman" w:hAnsi="Times New Roman" w:cs="Times New Roman"/>
          <w:sz w:val="24"/>
          <w:szCs w:val="24"/>
        </w:rPr>
        <w:t xml:space="preserve"> g) au-dessus et au-dessous du sol pendant une période de 50 ans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{"citationItems":[{"id":"ITEM-1","itemData":{"DOI":"10.1007/s13593-014-0212-y","ISBN":"1359301402","ISSN":"17730155","abstract":"The increase in atmospheric carbon dioxide (CO2) concentrations due to emissions from fossil fuel combustion is contributing to recent climate change which is among the major challenges facing the world. Agroforestry systems can contribute to slowing down those increases and, thus, contribute to climate change mitigation. Agroforestry refers to the production of crop, livestock, and tree biomass on the same area of land. The soil organic carbon (SOC) pool, in particular, is the only terrestrial pool storing some carbon (C) for millennia which can be deliberately enhanced by agroforestry practices. Up to 2.2 Pg C (1 Pg</w:instrText>
      </w:r>
      <w:r w:rsidR="009E6C60" w:rsidRPr="00C5457C">
        <w:rPr>
          <w:rFonts w:ascii="Cambria Math" w:hAnsi="Cambria Math" w:cs="Cambria Math"/>
          <w:sz w:val="24"/>
          <w:szCs w:val="24"/>
        </w:rPr>
        <w:instrText>∈</w:instrText>
      </w:r>
      <w:r w:rsidR="009E6C60" w:rsidRPr="00C5457C">
        <w:rPr>
          <w:rFonts w:ascii="Times New Roman" w:hAnsi="Times New Roman" w:cs="Times New Roman"/>
          <w:sz w:val="24"/>
          <w:szCs w:val="24"/>
        </w:rPr>
        <w:instrText>=</w:instrText>
      </w:r>
      <w:r w:rsidR="009E6C60" w:rsidRPr="00C5457C">
        <w:rPr>
          <w:rFonts w:ascii="Cambria Math" w:hAnsi="Cambria Math" w:cs="Cambria Math"/>
          <w:sz w:val="24"/>
          <w:szCs w:val="24"/>
        </w:rPr>
        <w:instrText>∈</w:instrText>
      </w:r>
      <w:r w:rsidR="009E6C60" w:rsidRPr="00C5457C">
        <w:rPr>
          <w:rFonts w:ascii="Times New Roman" w:hAnsi="Times New Roman" w:cs="Times New Roman"/>
          <w:sz w:val="24"/>
          <w:szCs w:val="24"/>
        </w:rPr>
        <w:instrText>1015 g) may be sequestered above- and belowground over 50 years in agroforestry systems, but estimations on global land area occupied by agroforestry systems are particularly uncertain. Global areas under tree intercropping, multistrata systems, protective systems, silvopasture, and tree woodlots are estimated at 700, 100, 300, 450, and 50 Mha, respectively. The SOC storage in agroforestry systems is also uncertain and may amount up to 300 Mg C ha-1 to 1 m depth. Here, we review and synthesize the current knowledge about SOC sequestration processes and their management in agroforestry systems. The main points are that (1) useful C sequestration in agroforestry systems for climate change mitigation must slow or even reverse the increase in atmospheric concentration of CO2 by storing some SOC for millennia, (2) soil disturbance must be minimized and tree species with a high root biomass-to-aboveground biomass ratio and/or nitrogen-fixing trees planted when SOC sequestration is among the objectives for establishing the agroforestry system, (3) sequestration rates and the processes contributing to the stabilization of SOC in agroforestry soils need additional data and research, (4) retrospective studies are often missing for rigorous determination of SOC and accurate evaluation of effects of different agroforestry practices on SOC sequestration in soil profiles, and (5) the long-term SOC storage is finite as it depends on the availability of binding sites, i.e., the soil's mineral composition and depth. Based on this improved knowledge, site-specific SOC sequestering agroforestry practices can then be developed. © 2014 INRA and Springer-Verlag France.","author":[{"dropping-particle":"","family":"Lorenz","given":"Klaus","non-dropping-particle":"","parse-names":false,"suffix":""},{"dropping-particle":"","family":"Lal","given":"Rattan","non-dropping-particle":"","parse-names":false,"suffix":""}],"container-title":"Agronomy for Sustainable Development","id":"ITEM-1","issue":"2","issued":{"date-parts":[["2014"]]},"page":"443-454","title":"Soil organic carbon sequestration in agroforestry systems. A review","type":"article","volume":"34"},"uris":["http://www.mendeley.com/documents/?uuid=f028bd9e-a85f-4c3c-9d09-f4275c00adac"]}],"mendeley":{"formattedCitation":"(Lorenz &amp; Lal, 2014)","plainTextFormattedCitation":"(Lorenz &amp; Lal, 2014)","previouslyFormattedCitation":"(Lorenz and Lal 2014)"},"properties":{"noteIndex":0},"schema":"https://github.com/citation-style-language/schema/raw/master/csl-citation.json"}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(Lorenz &amp; Lal, 2014)</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{"citationItems":[{"id":"ITEM-1","itemData":{"DOI":"10.1007/978-3-319-58789-9","ISBN":"9783319587899","abstract":"As part of its efforts to improve fertilizer use and efficiency in West Africa, and following the recent adoption of the West African fertilizer recommendation action plan (RAP) by ECOWAS, this volume focuses on IFDC's technical lead with key partner institutions and experts to build on previous and current fertilizer recommendations for various crops and countries in West Africa for wider uptake by public policy makers and fertilizer industry actors.","author":[{"dropping-particle":"","family":"Bationo","given":"Andre","non-dropping-particle":"","parse-names":false,"suffix":""},{"dropping-particle":"","family":"Ngaradoum","given":"Djimasbe","non-dropping-particle":"","parse-names":false,"suffix":""},{"dropping-particle":"","family":"Youl","given":"Sansan","non-dropping-particle":"","parse-names":false,"suffix":""},{"dropping-particle":"","family":"Lompo","given":"Francois","non-dropping-particle":"","parse-names":false,"suffix":""},{"dropping-particle":"","family":"Fening","given":"Joseph Opoku","non-dropping-particle":"","parse-names":false,"suffix":""}],"container-title":"Improving the Profitability, Sustainability and Efficiency of Nutrients Through Site Specific Fertilizer Recommendations in West Africa Agro-Ecosystems","id":"ITEM-1","issued":{"date-parts":[["2018"]]},"number-of-pages":"1-339","title":"Improving the Profitability, Sustainability and Efficiency of Nutrients Through Site Specific Fertilizer Recommendations in West Africa Agro-Ecosystems","type":"book","volume":"1"},"uris":["http://www.mendeley.com/documents/?uuid=44d66cc0-a44f-4cf2-b274-3d3d51195a37"]}],"mendeley":{"formattedCitation":"(Bationo et al., 2018)","manualFormatting":"En 2018, Bationo et ses collaborateurs ","plainTextFormattedCitation":"(Bationo et al., 2018)","previouslyFormattedCitation":"(Bationo et al. 2018)"},"properties":{"noteIndex":0},"schema":"https://github.com/citation-style-language/schema/raw/master/csl-citation.json"}</w:instrText>
      </w:r>
      <w:r w:rsidRPr="00C5457C">
        <w:rPr>
          <w:rFonts w:ascii="Times New Roman" w:hAnsi="Times New Roman" w:cs="Times New Roman"/>
          <w:sz w:val="24"/>
          <w:szCs w:val="24"/>
        </w:rPr>
        <w:fldChar w:fldCharType="separate"/>
      </w:r>
      <w:r w:rsidRPr="00C5457C">
        <w:rPr>
          <w:rFonts w:ascii="Times New Roman" w:hAnsi="Times New Roman" w:cs="Times New Roman"/>
          <w:noProof/>
          <w:sz w:val="24"/>
          <w:szCs w:val="24"/>
        </w:rPr>
        <w:t xml:space="preserve">En 2018, Bationo et ses collaborateurs </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ont identifié quatre technologies, dont la RNA, pour augmenter le carbone organique du sol.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{"citationItems":[{"id":"ITEM-1","itemData":{"DOI":"10.1007/s10457-019-00403-6","ISBN":"0123456789","ISSN":"15729680","abstract":"In the current debate on the role of increase soil carbon in addressing both climate change and food security, there is consensus that farmed lands have the higher potential provided the best management practices are implemented. In the Sahel where farms usually have few sparse old trees with declining soil fertility, there is an ongoing re-greening process with increases in tree cover for which there is still a dearth of quantified information on its impacts on soil properties. This research aimed at filling that gap. We sampled soil using a concentric zone design around individual trees of dominant species and at different soil depths (0–10, 10–30, 30–50 and 50–70 cm) in four Sahelian countries: Burkina Faso, Mali, Niger and Senegal. The results showed increase total carbon content of the top 0–10 cm soil, generally with high sand content (&gt; 70%), ranged from 0.16 to 0.44% (mean 0.23%). Under trees it was a factor 1.04–1.47 higher than away from trees. Different tree species thrived in different ecological niches and had different impacts on soil properties, highlighting the need for site and species matching in restoration activities. These results suggest that increase vegetation cover in the Sahel is associated with an increase in soil total carbon and this trend is more pronounced on sandy soils.","author":[{"dropping-particle":"","family":"Bayala","given":"J.","non-dropping-particle":"","parse-names":false,"suffix":""},{"dropping-particle":"","family":"Sanou","given":"J.","non-dropping-particle":"","parse-names":false,"suffix":""},{"dropping-particle":"","family":"Bazié","given":"H. R.","non-dropping-particle":"","parse-names":false,"suffix":""},{"dropping-particle":"","family":"Coe","given":"R.","non-dropping-particle":"","parse-names":false,"suffix":""},{"dropping-particle":"","family":"Kalinganire","given":"A.","non-dropping-particle":"","parse-names":false,"suffix":""},{"dropping-particle":"","family":"Sinclair","given":"F. L.","non-dropping-particle":"","parse-names":false,"suffix":""}],"container-title":"Agroforestry Systems","id":"ITEM-1","issue":"2","issued":{"date-parts":[["2020"]]},"page":"401-415","title":"Regenerated trees in farmers’ fields increase soil carbon across the Sahel","type":"article-journal","volume":"94"},"uris":["http://www.mendeley.com/documents/?uuid=3208b6a0-80a1-4cd8-a9f3-8b8c76bc35e3"]}],"mendeley":{"formattedCitation":"(Bayala et al., 2020)","manualFormatting":"Bayala et al., (2020)","plainTextFormattedCitation":"(Bayala et al., 2020)","previouslyFormattedCitation":"(Bayala et al. 2020)"},"properties":{"noteIndex":0},"schema":"https://github.com/citation-style-language/schema/raw/master/csl-citation.json"}</w:instrText>
      </w:r>
      <w:r w:rsidRPr="00C5457C">
        <w:rPr>
          <w:rFonts w:ascii="Times New Roman" w:hAnsi="Times New Roman" w:cs="Times New Roman"/>
          <w:sz w:val="24"/>
          <w:szCs w:val="24"/>
        </w:rPr>
        <w:fldChar w:fldCharType="separate"/>
      </w:r>
      <w:r w:rsidRPr="00C5457C">
        <w:rPr>
          <w:rFonts w:ascii="Times New Roman" w:hAnsi="Times New Roman" w:cs="Times New Roman"/>
          <w:noProof/>
          <w:sz w:val="24"/>
          <w:szCs w:val="24"/>
        </w:rPr>
        <w:t xml:space="preserve">Bayala et al., </w:t>
      </w:r>
      <w:r w:rsidR="00A55D9D" w:rsidRPr="00C5457C">
        <w:rPr>
          <w:rFonts w:ascii="Times New Roman" w:hAnsi="Times New Roman" w:cs="Times New Roman"/>
          <w:noProof/>
          <w:sz w:val="24"/>
          <w:szCs w:val="24"/>
        </w:rPr>
        <w:t>(</w:t>
      </w:r>
      <w:r w:rsidRPr="00C5457C">
        <w:rPr>
          <w:rFonts w:ascii="Times New Roman" w:hAnsi="Times New Roman" w:cs="Times New Roman"/>
          <w:noProof/>
          <w:sz w:val="24"/>
          <w:szCs w:val="24"/>
        </w:rPr>
        <w:t>2020)</w:t>
      </w:r>
      <w:r w:rsidRPr="00C5457C">
        <w:rPr>
          <w:rFonts w:ascii="Times New Roman" w:hAnsi="Times New Roman" w:cs="Times New Roman"/>
          <w:sz w:val="24"/>
          <w:szCs w:val="24"/>
        </w:rPr>
        <w:fldChar w:fldCharType="end"/>
      </w:r>
      <w:r w:rsidR="00A55D9D" w:rsidRPr="00C5457C">
        <w:rPr>
          <w:rFonts w:ascii="Times New Roman" w:hAnsi="Times New Roman" w:cs="Times New Roman"/>
          <w:sz w:val="24"/>
          <w:szCs w:val="24"/>
        </w:rPr>
        <w:t xml:space="preserve"> </w:t>
      </w:r>
      <w:r w:rsidRPr="00C5457C">
        <w:rPr>
          <w:rFonts w:ascii="Times New Roman" w:hAnsi="Times New Roman" w:cs="Times New Roman"/>
          <w:sz w:val="24"/>
          <w:szCs w:val="24"/>
        </w:rPr>
        <w:t xml:space="preserve">ont démontré que les arbres peuvent fournir un apport continu d'intrants organiques, nécessaires au maintien du carbone dans le sol. Les sols sous agroécosystèmes présentent un potentiel technique de piégeage de 1,2 à 3,1 milliards de tonnes </w:t>
      </w:r>
      <w:r w:rsidRPr="00C5457C">
        <w:rPr>
          <w:rFonts w:ascii="Times New Roman" w:hAnsi="Times New Roman" w:cs="Times New Roman"/>
          <w:sz w:val="24"/>
          <w:szCs w:val="24"/>
        </w:rPr>
        <w:lastRenderedPageBreak/>
        <w:t xml:space="preserve">de carbone </w:t>
      </w:r>
      <w:r w:rsidR="00357332"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{"citationItems":[{"id":"ITEM-1","itemData":{"DOI":"10.1016/j.foodpol.2010.12.001","ISSN":"03069192","abstract":"Soils of the world's agroecosystems (croplands, grazing lands, rangelands) are depleted of their soil organic carbon (SOC) pool by 25-75% depending on climate, soil type, and historic management. The magnitude of loss may be 10 to 50. tons. C/ha. Soils with severe depletion of their SOC pool have low agronomic yield and low use efficiency of added input. Conversion to a restorative land use and adoption of recommended management practices, can enhance the SOC pool, improve soil quality, increase agronomic productivity, advance global food security, enhance soil resilience to adapt to extreme climatic events, and mitigate climate change by off-setting fossil fuel emissions. The technical potential of carbon (C) sequestration in soils of the agroecosystems is 1.2-3.1. billion. tons. C/yr. Improvement in soil quality, by increase in the SOC pool of 1. ton. C/ha/yr in the root zone, can increase annual food production in developing countries by 24-32. million. tons of food grains and 6-10. million. tons of roots and tubers. The strategy is to create positive soil C and nutrient budgets through adoption of no-till farming with mulch, use of cover crops, integrated nutrient management including biofertilizers, water conservation, and harvesting, and improving soil structure and tilth. © 2010.","author":[{"dropping-particle":"","family":"Lal","given":"R.","non-dropping-particle":"","parse-names":false,"suffix":""}],"container-title":"Food Policy","id":"ITEM-1","issue":"SUPPL. 1","issued":{"date-parts":[["2011"]]},"page":"S33-S39","publisher":"Elsevier Ltd","title":"Sequestering carbon in soils of agro-ecosystems","type":"article-journal","volume":"36"},"uris":["http://www.mendeley.com/documents/?uuid=ce1208a8-5b64-4494-bda9-1e05ddc8f281"]},{"id":"ITEM-2","itemData":{"abstract":"The miombo, the most extensive tropical woodland formation of Africa with particular ecological and economic importance, is threatened by deforestation, land degradation and loss of biodiversity. Over the past two decades, agroforestry has been studied as one of the integrated natural resource management interventions for addressing various environmental and social problems. This has helped to establish a solid knowledge-base on the functions and capabilities of agroforestry. However, little attempt has been made to synthesize and publicize the knowledge on ecosystem services provided by the various agroforestry practices in southern Africa. This has led to lack of appreciation of the environmental benefits of the practices, and hence less attention being paid to accelerating their adoption and institutionalization in national agricultural and natural resource programmes. The objective of this review was to summarize the state of current knowledge on ecosystem services of agroforestry. From the studies reviewed, it is concluded that agroforestry practices provide (1) provisioning services such as food, source of energy and fodder, (2) regulatory services including microclimate modification, erosion control, mitigation of desertification, carbon sequestration and pest control, and (3) supporting services namely, soil fertility improvement, biodiversity conservation and pollination in the miombo eco-region. The paper also outlines challenges to wider adoption of agroforestry and makes recommendations for future research, development and policy to capitalize on ecosystem services.","author":[{"dropping-particle":"","family":"Sileshi","given":"Gudeta","non-dropping-particle":"","parse-names":false,"suffix":""},{"dropping-particle":"","family":"Akinnifesi","given":"Festus K","non-dropping-particle":"","parse-names":false,"suffix":""},{"dropping-particle":"","family":"Ajayi","given":"Oluyede C","non-dropping-particle":"","parse-names":false,"suffix":""},{"dropping-particle":"","family":"Chakeredza","given":"Sebastian","non-dropping-particle":"","parse-names":false,"suffix":""},{"dropping-particle":"","family":"Kaonga","given":"Martin","non-dropping-particle":"","parse-names":false,"suffix":""},{"dropping-particle":"","family":"Matakala","given":"P W","non-dropping-particle":"","parse-names":false,"suffix":""}],"container-title":"African Journal of Environmental Science and Technology","id":"ITEM-2","issue":"4","issued":{"date-parts":[["2007"]]},"page":"68-80","title":"Contributions of agroforestry to ecosystem services in the Miombo eco-region of eastern and southern Africa","type":"article-journal","volume":"1"},"uris":["http://www.mendeley.com/documents/?uuid=1c7e46af-69ae-48f1-8f31-8f967c573041"]}],"mendeley":{"formattedCitation":"(Lal, 2011; G. Sileshi, Akinnifesi, et al., 2007)","manualFormatting":"(Lal, 2011; G. Sileshi et al., 2007a)","plainTextFormattedCitation":"(Lal, 2011; G. Sileshi, Akinnifesi, et al., 2007)","previouslyFormattedCitation":"(Lal 2011; Gudeta Sileshi et al. 2007)"},"properties":{"noteIndex":0},"schema":"https://github.com/citation-style-language/schema/raw/master/csl-citation.json"}</w:instrText>
      </w:r>
      <w:r w:rsidR="00357332" w:rsidRPr="00C5457C">
        <w:rPr>
          <w:rFonts w:ascii="Times New Roman" w:hAnsi="Times New Roman" w:cs="Times New Roman"/>
          <w:sz w:val="24"/>
          <w:szCs w:val="24"/>
        </w:rPr>
        <w:fldChar w:fldCharType="separate"/>
      </w:r>
      <w:r w:rsidR="00531AF8" w:rsidRPr="00C5457C">
        <w:rPr>
          <w:rFonts w:ascii="Times New Roman" w:hAnsi="Times New Roman" w:cs="Times New Roman"/>
          <w:noProof/>
          <w:sz w:val="24"/>
          <w:szCs w:val="24"/>
        </w:rPr>
        <w:t>(Lal, 2011; G. Sileshi</w:t>
      </w:r>
      <w:r w:rsidR="00AF7ED9" w:rsidRPr="00C5457C">
        <w:rPr>
          <w:rFonts w:ascii="Times New Roman" w:hAnsi="Times New Roman" w:cs="Times New Roman"/>
          <w:noProof/>
          <w:sz w:val="24"/>
          <w:szCs w:val="24"/>
        </w:rPr>
        <w:t xml:space="preserve"> </w:t>
      </w:r>
      <w:r w:rsidR="00531AF8" w:rsidRPr="00C5457C">
        <w:rPr>
          <w:rFonts w:ascii="Times New Roman" w:hAnsi="Times New Roman" w:cs="Times New Roman"/>
          <w:noProof/>
          <w:sz w:val="24"/>
          <w:szCs w:val="24"/>
        </w:rPr>
        <w:t>et al., 2007</w:t>
      </w:r>
      <w:r w:rsidR="00AF7ED9" w:rsidRPr="00C5457C">
        <w:rPr>
          <w:rFonts w:ascii="Times New Roman" w:hAnsi="Times New Roman" w:cs="Times New Roman"/>
          <w:noProof/>
          <w:sz w:val="24"/>
          <w:szCs w:val="24"/>
        </w:rPr>
        <w:t>a</w:t>
      </w:r>
      <w:r w:rsidR="00531AF8" w:rsidRPr="00C5457C">
        <w:rPr>
          <w:rFonts w:ascii="Times New Roman" w:hAnsi="Times New Roman" w:cs="Times New Roman"/>
          <w:noProof/>
          <w:sz w:val="24"/>
          <w:szCs w:val="24"/>
        </w:rPr>
        <w:t>)</w:t>
      </w:r>
      <w:r w:rsidR="00357332"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En augmentant le pool SOC de 1 tonne C/ha/an dans la zone racinaire, la production alimentaire annuelle des pays du Sud peut augmenter de 24 à 32 millions de tonnes de grains alimentaires et de 6 à 10 millions de tonnes de racines et de tubercules </w:t>
      </w:r>
      <w:r w:rsidR="00357332"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{"citationItems":[{"id":"ITEM-1","itemData":{"DOI":"10.1016/j.foodpol.2010.12.001","ISSN":"03069192","abstract":"Soils of the world's agroecosystems (croplands, grazing lands, rangelands) are depleted of their soil organic carbon (SOC) pool by 25-75% depending on climate, soil type, and historic management. The magnitude of loss may be 10 to 50. tons. C/ha. Soils with severe depletion of their SOC pool have low agronomic yield and low use efficiency of added input. Conversion to a restorative land use and adoption of recommended management practices, can enhance the SOC pool, improve soil quality, increase agronomic productivity, advance global food security, enhance soil resilience to adapt to extreme climatic events, and mitigate climate change by off-setting fossil fuel emissions. The technical potential of carbon (C) sequestration in soils of the agroecosystems is 1.2-3.1. billion. tons. C/yr. Improvement in soil quality, by increase in the SOC pool of 1. ton. C/ha/yr in the root zone, can increase annual food production in developing countries by 24-32. million. tons of food grains and 6-10. million. tons of roots and tubers. The strategy is to create positive soil C and nutrient budgets through adoption of no-till farming with mulch, use of cover crops, integrated nutrient management including biofertilizers, water conservation, and harvesting, and improving soil structure and tilth. © 2010.","author":[{"dropping-particle":"","family":"Lal","given":"R.","non-dropping-particle":"","parse-names":false,"suffix":""}],"container-title":"Food Policy","id":"ITEM-1","issue":"SUPPL. 1","issued":{"date-parts":[["2011"]]},"page":"S33-S39","publisher":"Elsevier Ltd","title":"Sequestering carbon in soils of agro-ecosystems","type":"article-journal","volume":"36"},"uris":["http://www.mendeley.com/documents/?uuid=ce1208a8-5b64-4494-bda9-1e05ddc8f281"]},{"id":"ITEM-2","itemData":{"DOI":"10.1016/j.cosust.2013.10.004","ISSN":"18773435","abstract":"In the Sahelian zone of West Africa, crops grown under a discontinuous cover of scattered trees dominate many landscapes and constitute the so-called parklands. These systems reflect the ecological knowledge of the farmers of such risk prone environments. Agroforestry parklands are playing an important role, through trees and shrubs providing soil cover that reduces erosion and buffers the impacts of climate change. They also provide green fodder that complements crop residues for livestock feeds, and fruits and leaves for human consumption and for income generation. The interactions between various components of the system influence the ecosystem service functions of trees of parklands (provisioning, regulating and supporting services) in several ways. These ecosystem functions have been at the center of the local ecological knowledge guiding the management options of the farmers and have also attracted the attention of scientists. Findings revealed new challenges that call for production options ensuring increased and diversified productivity of the systems while preserving the environment. Research on such challenges must adopt an inclusive approach based on local knowledge supported by science-based analyses of the socio-ecological systems in the face of high population pressure and climate change. © 2013 Elsevier B.V.","author":[{"dropping-particle":"","family":"Bayala","given":"J.","non-dropping-particle":"","parse-names":false,"suffix":""},{"dropping-particle":"","family":"Sanou","given":"J.","non-dropping-particle":"","parse-names":false,"suffix":""},{"dropping-particle":"","family":"Teklehaimanot","given":"Z.","non-dropping-particle":"","parse-names":false,"suffix":""},{"dropping-particle":"","family":"Kalinganire","given":"A.","non-dropping-particle":"","parse-names":false,"suffix":""},{"dropping-particle":"","family":"Ouédraogo","given":"S. J.","non-dropping-particle":"","parse-names":false,"suffix":""}],"container-title":"Current Opinion in Environmental Sustainability","id":"ITEM-2","issue":"1","issued":{"date-parts":[["2014"]]},"page":"28-34","title":"Parklands for buffering climate risk and sustaining agricultural production in the Sahel of West Africa","type":"article-journal","volume":"6"},"uris":["http://www.mendeley.com/documents/?uuid=a8e59eb7-0e07-4811-9fc7-71a9fd6900f5"]}],"mendeley":{"formattedCitation":"(Bayala et al., 2014; Lal, 2011)","plainTextFormattedCitation":"(Bayala et al., 2014; Lal, 2011)","previouslyFormattedCitation":"(Bayala et al. 2014; Lal 2011)"},"properties":{"noteIndex":0},"schema":"https://github.com/citation-style-language/schema/raw/master/csl-citation.json"}</w:instrText>
      </w:r>
      <w:r w:rsidR="00357332"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(Bayala et al., 2014; Lal, 2011)</w:t>
      </w:r>
      <w:r w:rsidR="00357332"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Les racines des arbres stockent davantage de carbone, contribuant ainsi au SOC entre 1,5 et plus de 3 fois plus que dans les terres non cultivées </w:t>
      </w:r>
      <w:r w:rsidR="00357332"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{"citationItems":[{"id":"ITEM-1","itemData":{"DOI":"10.2134/agronj2005.0179","ISSN":"00021962","abstract":"Crop residue management received little attention until about 1970. Records of crop residue production are limited, but crop yield databases have been available since 1865. Carbon sequestration and other conservation benefits require a detailed knowledge of crop residue production and management Our objectives are to: (i) review grain and biomass yield, harvest index (HI), and root C/shoot C ratios (k) of major grain crops in the USA; (ii) discuss historical agricultural-practice impacts on soil organic C (SOC); and (iii) compare estimates of total (above- and belowground) source C production (ESC) relative to minimum source C inputs required to maintain SOC (MSC). Aboveground MSC input averaged 2.5 ± 1.0 Mg C ha-1 yr-1 (n = 13) based on moldboard plow sites and 1.8 ± 0.44 Mg C ha-1 yr-1 (n = 5) based on no-till and chisel plow sites. These MSC values included only aboveground source C, thus underestimate the total MSC. When ESC is estimated from k, including rhizodeposition (krec), the true magnitude of the C cycle is at least twice that when ESC is estimated using k excluding rhizodeposition (khis). Neglecting rhizodeposition C underestimates the net production of C in cropland. Current yields and measured MSC predict continued SOC loss associated with soybean [Glycine max (L.) Merr.] and some wheat (Triticum aestivum L.) production management unless conservation tilage is used and ESC is increased. The adequacies of ESC to maintain SOC has direct implications for estimating the amount of crop residue that can be harvested and yet maintain SOC. © American Society of Agronomy.","author":[{"dropping-particle":"","family":"Johnson","given":"J. M.F.","non-dropping-particle":"","parse-names":false,"suffix":""},{"dropping-particle":"","family":"Allmaras","given":"R. R.","non-dropping-particle":"","parse-names":false,"suffix":""},{"dropping-particle":"","family":"Reicosky","given":"D. C.","non-dropping-particle":"","parse-names":false,"suffix":""}],"container-title":"Agronomy Journal","id":"ITEM-1","issue":"3","issued":{"date-parts":[["2006"]]},"page":"622-636","title":"Estimating source carbon from crop residues, roots and rhizodeposits using the national grain-yield database","type":"article-journal","volume":"98"},"uris":["http://www.mendeley.com/documents/?uuid=70d02786-da82-4361-a6e4-115d8a36deba"]},{"id":"ITEM-2","itemData":{"DOI":"10.1016/S0065-2113(10)08005-3","ISSN":"00652113","abstract":"Agroforestry-the practice of growing trees and crops in interacting combinations-is recognized worldwide as an integrated approach to sustainable land-use. It is estimated to be practiced over 1 billion hectares in developing countries, and to a lesser extent in the industrialized countries. Agroforestry systems (AFSs) are believed to have a higher potential to sequester carbon (C) because of their perceived ability for greater capture and utilization of growth resources (light, nutrients, and water) than single-species crop or pasture systems. The estimates of C stored in AFSs range from 0.29 to 15.21Mgha-1yr-1 aboveground, and 30 to 300MgCha-1 up to 1-m depth in the soil. Recent studies under various AFSs in diverse ecological conditions showed that tree-based agricultural systems, compared to treeless systems, stored more C in deeper soil layers near the tree than away from the tree; higher soil organic carbon content was associated with higher species richness and tree density; and C3 plants (trees) contributed to more C in the silt-+clay-sized (&lt;53μm diameter) fractions-that constitute more stable C-than C4 plants in deeper soil profiles. The extent of C sequestered in AFSs depends to a great extent on environmental conditions and system management. Trading of the sequestered C is a viable opportunity for economic benefit to agroforestry practitioners, who are mostly resource-poor farmers in developing countries. However, more rigorous research results are required for AFSs to be used in global agendas of C sequestration. © 2010 Elsevier Inc.","author":[{"dropping-particle":"","family":"Ramachandran Nair","given":"P. K.","non-dropping-particle":"","parse-names":false,"suffix":""},{"dropping-particle":"","family":"Nair","given":"Vimala D.","non-dropping-particle":"","parse-names":false,"suffix":""},{"dropping-particle":"","family":"Mohan Kumar","given":"B.","non-dropping-particle":"","parse-names":false,"suffix":""},{"dropping-particle":"","family":"Showalter","given":"Julia M.","non-dropping-particle":"","parse-names":false,"suffix":""}],"container-title":"Advances in Agronomy","id":"ITEM-2","issue":"C","issued":{"date-parts":[["2010"]]},"number-of-pages":"237-307","title":"Carbon sequestration in agroforestry systems","type":"book","volume":"108"},"uris":["http://www.mendeley.com/documents/?uuid=fc193990-2171-419c-9da2-bb7410ae5262"]}],"mendeley":{"formattedCitation":"(Johnson et al., 2006; Ramachandran Nair et al., 2010)","plainTextFormattedCitation":"(Johnson et al., 2006; Ramachandran Nair et al., 2010)","previouslyFormattedCitation":"(Johnson, Allmaras, and Reicosky 2006; Ramachandran Nair et al. 2010)"},"properties":{"noteIndex":0},"schema":"https://github.com/citation-style-language/schema/raw/master/csl-citation.json"}</w:instrText>
      </w:r>
      <w:r w:rsidR="00357332"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(Johnson et al., 2006; Ramachandran Nair et al., 2010)</w:t>
      </w:r>
      <w:r w:rsidR="00357332" w:rsidRPr="00C5457C">
        <w:rPr>
          <w:rFonts w:ascii="Times New Roman" w:hAnsi="Times New Roman" w:cs="Times New Roman"/>
          <w:sz w:val="24"/>
          <w:szCs w:val="24"/>
        </w:rPr>
        <w:fldChar w:fldCharType="end"/>
      </w:r>
      <w:r w:rsidRPr="00C5457C">
        <w:rPr>
          <w:rFonts w:ascii="Times New Roman" w:hAnsi="Times New Roman" w:cs="Times New Roman"/>
          <w:sz w:val="24"/>
          <w:szCs w:val="24"/>
        </w:rPr>
        <w:t>.</w:t>
      </w:r>
    </w:p>
    <w:p w14:paraId="622FE19F" w14:textId="088A7B7D" w:rsidR="00AF7ED9" w:rsidRPr="00C5457C" w:rsidRDefault="00AF7ED9" w:rsidP="00C5457C">
      <w:pPr>
        <w:pStyle w:val="Titre3"/>
        <w:spacing w:line="360" w:lineRule="auto"/>
        <w:jc w:val="both"/>
        <w:rPr>
          <w:rFonts w:ascii="Times New Roman" w:hAnsi="Times New Roman" w:cs="Times New Roman"/>
        </w:rPr>
      </w:pPr>
      <w:r w:rsidRPr="00C5457C">
        <w:rPr>
          <w:rStyle w:val="Titre3Car"/>
          <w:rFonts w:ascii="Times New Roman" w:hAnsi="Times New Roman" w:cs="Times New Roman"/>
        </w:rPr>
        <w:t>Association</w:t>
      </w:r>
      <w:r w:rsidRPr="00C5457C">
        <w:rPr>
          <w:rFonts w:ascii="Times New Roman" w:hAnsi="Times New Roman" w:cs="Times New Roman"/>
        </w:rPr>
        <w:t xml:space="preserve"> de culture</w:t>
      </w:r>
      <w:r w:rsidR="00A117F7" w:rsidRPr="00C5457C">
        <w:rPr>
          <w:rFonts w:ascii="Times New Roman" w:hAnsi="Times New Roman" w:cs="Times New Roman"/>
        </w:rPr>
        <w:t>s</w:t>
      </w:r>
    </w:p>
    <w:p w14:paraId="7F24851D" w14:textId="3B2774CC" w:rsidR="00D81254" w:rsidRPr="00C5457C" w:rsidRDefault="00D81254"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Au Sahel, les agriculteurs conservent les arbres sur les terres agricoles et diversifient leur production pour faire face aux incertitudes liées aux mauvaises années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{"citationItems":[{"id":"ITEM-1","itemData":{"ISSN":"1991637X","abstract":"In agro forestry systems, crop yields under trees are often low compared to outside. This study explored crop management under trees for improved production and income for farmers. Cowpea (Vignaunguiculata) and pearl millet (Pennisetum glaucum) sole and intercrops were grown under and outside the shade of six randomly selected Parkia biglobosa trees during one season in south-central Burkina Faso. The area under the canopy of each tree was divided into four main plots according to cardinal directions, and sub-divided into three concentric zones. Control plots were established outside the tree canopy. The crops were intercropped in two different proportions using the replacement method and compared to sole crops. Days to flowering were noted and yields were measured, and Land Equivalent Ratio (LER) and Monetary Advantage Index (MAI) calculated. Flowering was earlier outside than under the trees and intercrops flowered earlier than sole crops. Cowpea sole crops had significant grain yield losses of up to 21% under trees compared to outside, and pearl millet yield was reduced up to 67% under trees. Intercrop yields were less affected by growth under trees. LER was significantly higher under the trees than outside, and were always larger than unity indicating benefits of intercropping over sole cropping. Intercropping with two rows of cowpea and one row of millet gave significantly higher economic benefit than mixture with one row of each of the crops. Results indicate that intercropping could improve the system's productivity, increase the income for farmers, and compensate losses in pearl millet under the canopy. © 2011 Academic Journals.","author":[{"dropping-particle":"","family":"Osman","given":"Ahmed Nur","non-dropping-particle":"","parse-names":false,"suffix":""},{"dropping-particle":"","family":"Ræbild","given":"Anders","non-dropping-particle":"","parse-names":false,"suffix":""},{"dropping-particle":"","family":"Christiansen","given":"Jørgen Lindskrog","non-dropping-particle":"","parse-names":false,"suffix":""},{"dropping-particle":"","family":"Bayala","given":"Jules","non-dropping-particle":"","parse-names":false,"suffix":""}],"container-title":"African Journal of Agricultural Research","id":"ITEM-1","issue":"4","issued":{"date-parts":[["2011"]]},"page":"882-891","title":"Performance of cowpea (Vigna unguiculata) and pearl millet (Pennisetum glaucum) intercropped under parkia biglobosa in an agroforestry system in Burkina Faso","type":"article-journal","volume":"6"},"uris":["http://www.mendeley.com/documents/?uuid=cc0f48c0-5ba1-40c7-b4e7-1f7c8d7343a4"]}],"mendeley":{"formattedCitation":"(Osman et al., 2011)","plainTextFormattedCitation":"(Osman et al., 2011)","previouslyFormattedCitation":"(Osman et al. 2011)"},"properties":{"noteIndex":0},"schema":"https://github.com/citation-style-language/schema/raw/master/csl-citation.json"}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(Osman et al., 2011)</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EF74AC" w:rsidRPr="00C5457C">
        <w:rPr>
          <w:rFonts w:ascii="Times New Roman" w:hAnsi="Times New Roman" w:cs="Times New Roman"/>
          <w:sz w:val="24"/>
          <w:szCs w:val="24"/>
        </w:rPr>
        <w:t>Le niébé (</w:t>
      </w:r>
      <w:proofErr w:type="spellStart"/>
      <w:r w:rsidR="00EF74AC" w:rsidRPr="00C5457C">
        <w:rPr>
          <w:rFonts w:ascii="Times New Roman" w:hAnsi="Times New Roman" w:cs="Times New Roman"/>
          <w:i/>
          <w:iCs/>
          <w:sz w:val="24"/>
          <w:szCs w:val="24"/>
        </w:rPr>
        <w:t>Vigna</w:t>
      </w:r>
      <w:proofErr w:type="spellEnd"/>
      <w:r w:rsidR="00EF74AC" w:rsidRPr="00C5457C">
        <w:rPr>
          <w:rFonts w:ascii="Times New Roman" w:hAnsi="Times New Roman" w:cs="Times New Roman"/>
          <w:i/>
          <w:iCs/>
          <w:sz w:val="24"/>
          <w:szCs w:val="24"/>
        </w:rPr>
        <w:t xml:space="preserve"> </w:t>
      </w:r>
      <w:proofErr w:type="spellStart"/>
      <w:r w:rsidR="00EF74AC" w:rsidRPr="00C5457C">
        <w:rPr>
          <w:rFonts w:ascii="Times New Roman" w:hAnsi="Times New Roman" w:cs="Times New Roman"/>
          <w:i/>
          <w:iCs/>
          <w:sz w:val="24"/>
          <w:szCs w:val="24"/>
        </w:rPr>
        <w:t>unguiculata</w:t>
      </w:r>
      <w:proofErr w:type="spellEnd"/>
      <w:r w:rsidR="00EF74AC" w:rsidRPr="00C5457C">
        <w:rPr>
          <w:rFonts w:ascii="Times New Roman" w:hAnsi="Times New Roman" w:cs="Times New Roman"/>
          <w:i/>
          <w:iCs/>
          <w:sz w:val="24"/>
          <w:szCs w:val="24"/>
        </w:rPr>
        <w:t xml:space="preserve"> L. </w:t>
      </w:r>
      <w:proofErr w:type="spellStart"/>
      <w:r w:rsidR="00EF74AC" w:rsidRPr="00C5457C">
        <w:rPr>
          <w:rFonts w:ascii="Times New Roman" w:hAnsi="Times New Roman" w:cs="Times New Roman"/>
          <w:i/>
          <w:iCs/>
          <w:sz w:val="24"/>
          <w:szCs w:val="24"/>
        </w:rPr>
        <w:t>Walp</w:t>
      </w:r>
      <w:proofErr w:type="spellEnd"/>
      <w:r w:rsidR="00EF74AC" w:rsidRPr="00C5457C">
        <w:rPr>
          <w:rFonts w:ascii="Times New Roman" w:hAnsi="Times New Roman" w:cs="Times New Roman"/>
          <w:sz w:val="24"/>
          <w:szCs w:val="24"/>
        </w:rPr>
        <w:t>) est fréquemment cultivé en compagnie des cultures céréalières majeures telles que le maïs (</w:t>
      </w:r>
      <w:proofErr w:type="spellStart"/>
      <w:r w:rsidR="00EF74AC" w:rsidRPr="00C5457C">
        <w:rPr>
          <w:rFonts w:ascii="Times New Roman" w:hAnsi="Times New Roman" w:cs="Times New Roman"/>
          <w:i/>
          <w:iCs/>
          <w:sz w:val="24"/>
          <w:szCs w:val="24"/>
        </w:rPr>
        <w:t>Zea</w:t>
      </w:r>
      <w:proofErr w:type="spellEnd"/>
      <w:r w:rsidR="00EF74AC" w:rsidRPr="00C5457C">
        <w:rPr>
          <w:rFonts w:ascii="Times New Roman" w:hAnsi="Times New Roman" w:cs="Times New Roman"/>
          <w:i/>
          <w:iCs/>
          <w:sz w:val="24"/>
          <w:szCs w:val="24"/>
        </w:rPr>
        <w:t xml:space="preserve"> </w:t>
      </w:r>
      <w:proofErr w:type="spellStart"/>
      <w:r w:rsidR="00EF74AC" w:rsidRPr="00C5457C">
        <w:rPr>
          <w:rFonts w:ascii="Times New Roman" w:hAnsi="Times New Roman" w:cs="Times New Roman"/>
          <w:i/>
          <w:iCs/>
          <w:sz w:val="24"/>
          <w:szCs w:val="24"/>
        </w:rPr>
        <w:t>mays</w:t>
      </w:r>
      <w:proofErr w:type="spellEnd"/>
      <w:r w:rsidR="00EF74AC" w:rsidRPr="00C5457C">
        <w:rPr>
          <w:rFonts w:ascii="Times New Roman" w:hAnsi="Times New Roman" w:cs="Times New Roman"/>
          <w:i/>
          <w:iCs/>
          <w:sz w:val="24"/>
          <w:szCs w:val="24"/>
        </w:rPr>
        <w:t xml:space="preserve"> L.</w:t>
      </w:r>
      <w:r w:rsidR="00EF74AC" w:rsidRPr="00C5457C">
        <w:rPr>
          <w:rFonts w:ascii="Times New Roman" w:hAnsi="Times New Roman" w:cs="Times New Roman"/>
          <w:sz w:val="24"/>
          <w:szCs w:val="24"/>
        </w:rPr>
        <w:t>), le sorgho (</w:t>
      </w:r>
      <w:proofErr w:type="spellStart"/>
      <w:r w:rsidR="00EF74AC" w:rsidRPr="00C5457C">
        <w:rPr>
          <w:rFonts w:ascii="Times New Roman" w:hAnsi="Times New Roman" w:cs="Times New Roman"/>
          <w:i/>
          <w:iCs/>
          <w:sz w:val="24"/>
          <w:szCs w:val="24"/>
        </w:rPr>
        <w:t>Sorghum</w:t>
      </w:r>
      <w:proofErr w:type="spellEnd"/>
      <w:r w:rsidR="00EF74AC" w:rsidRPr="00C5457C">
        <w:rPr>
          <w:rFonts w:ascii="Times New Roman" w:hAnsi="Times New Roman" w:cs="Times New Roman"/>
          <w:i/>
          <w:iCs/>
          <w:sz w:val="24"/>
          <w:szCs w:val="24"/>
        </w:rPr>
        <w:t xml:space="preserve"> bicolor </w:t>
      </w:r>
      <w:r w:rsidR="00EF74AC" w:rsidRPr="00C5457C">
        <w:rPr>
          <w:rFonts w:ascii="Times New Roman" w:hAnsi="Times New Roman" w:cs="Times New Roman"/>
          <w:sz w:val="24"/>
          <w:szCs w:val="24"/>
        </w:rPr>
        <w:t xml:space="preserve">L. </w:t>
      </w:r>
      <w:proofErr w:type="spellStart"/>
      <w:r w:rsidR="00EF74AC" w:rsidRPr="00C5457C">
        <w:rPr>
          <w:rFonts w:ascii="Times New Roman" w:hAnsi="Times New Roman" w:cs="Times New Roman"/>
          <w:sz w:val="24"/>
          <w:szCs w:val="24"/>
        </w:rPr>
        <w:t>Moench</w:t>
      </w:r>
      <w:proofErr w:type="spellEnd"/>
      <w:r w:rsidR="00EF74AC" w:rsidRPr="00C5457C">
        <w:rPr>
          <w:rFonts w:ascii="Times New Roman" w:hAnsi="Times New Roman" w:cs="Times New Roman"/>
          <w:sz w:val="24"/>
          <w:szCs w:val="24"/>
        </w:rPr>
        <w:t>) et le millet perlé (</w:t>
      </w:r>
      <w:proofErr w:type="spellStart"/>
      <w:r w:rsidR="00EF74AC" w:rsidRPr="00C5457C">
        <w:rPr>
          <w:rFonts w:ascii="Times New Roman" w:hAnsi="Times New Roman" w:cs="Times New Roman"/>
          <w:i/>
          <w:iCs/>
          <w:sz w:val="24"/>
          <w:szCs w:val="24"/>
        </w:rPr>
        <w:t>Pennisetum</w:t>
      </w:r>
      <w:proofErr w:type="spellEnd"/>
      <w:r w:rsidR="00EF74AC" w:rsidRPr="00C5457C">
        <w:rPr>
          <w:rFonts w:ascii="Times New Roman" w:hAnsi="Times New Roman" w:cs="Times New Roman"/>
          <w:i/>
          <w:iCs/>
          <w:sz w:val="24"/>
          <w:szCs w:val="24"/>
        </w:rPr>
        <w:t xml:space="preserve"> </w:t>
      </w:r>
      <w:proofErr w:type="spellStart"/>
      <w:r w:rsidR="00EF74AC" w:rsidRPr="00C5457C">
        <w:rPr>
          <w:rFonts w:ascii="Times New Roman" w:hAnsi="Times New Roman" w:cs="Times New Roman"/>
          <w:i/>
          <w:iCs/>
          <w:sz w:val="24"/>
          <w:szCs w:val="24"/>
        </w:rPr>
        <w:t>glaucum</w:t>
      </w:r>
      <w:proofErr w:type="spellEnd"/>
      <w:r w:rsidR="00EF74AC" w:rsidRPr="00C5457C">
        <w:rPr>
          <w:rFonts w:ascii="Times New Roman" w:hAnsi="Times New Roman" w:cs="Times New Roman"/>
          <w:sz w:val="24"/>
          <w:szCs w:val="24"/>
        </w:rPr>
        <w:t xml:space="preserve"> L.R.Br) </w:t>
      </w:r>
      <w:r w:rsidR="00A34CA7" w:rsidRPr="00C5457C">
        <w:rPr>
          <w:rFonts w:ascii="Times New Roman" w:hAnsi="Times New Roman" w:cs="Times New Roman"/>
          <w:sz w:val="24"/>
          <w:szCs w:val="24"/>
        </w:rPr>
        <w:t xml:space="preserve">à ces arbres </w:t>
      </w:r>
      <w:r w:rsidR="00771462"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{"citationItems":[{"id":"ITEM-1","itemData":{"DOI":"10.1023/A:1016189605188","ISSN":"01650009","abstract":"In the last 30 years the climate of the West African Sahel has shown various changes, especially in terms of rainfall, of which inter-annual variability is very high. This has significant consequences for the poor-resource farmers, whose incomes depend mainly on rainfed agriculture. The West African Sahel is already known as an area characterized by important interaction between climate variability and key socio-economic sectors such as agriculture and water resources. More than 80% of the 55 million population of West African Sahel is rural, involved in agriculture and stock-farming, the two sectors contributing almost 35% of the countries' GDPs. It is therefore obvious that climate change seriously affects the economies of these countries. Adding to this situation the high rate of population increase (</w:instrText>
      </w:r>
      <w:r w:rsidR="009E6C60" w:rsidRPr="00C5457C">
        <w:rPr>
          <w:rFonts w:ascii="Cambria Math" w:hAnsi="Cambria Math" w:cs="Cambria Math"/>
          <w:sz w:val="24"/>
          <w:szCs w:val="24"/>
        </w:rPr>
        <w:instrText>∼</w:instrText>
      </w:r>
      <w:r w:rsidR="009E6C60" w:rsidRPr="00C5457C">
        <w:rPr>
          <w:rFonts w:ascii="Times New Roman" w:hAnsi="Times New Roman" w:cs="Times New Roman"/>
          <w:sz w:val="24"/>
          <w:szCs w:val="24"/>
        </w:rPr>
        <w:instrText>3%), leading to progressive pressure upon ecosystems, and poor sanitary facilities, one comes to the conclusion that Sahelian countries, Niger amongst them, will be highly vulnerable to climate change. This paper investigates the impact of current climate variability and future climate change on millet production for three major millet-producing regions in Niger, Statistical models have been used to predict the effects of climate change on future production on the basis of thirteen available predictors. Based on the analysis of the past 30-years of rainfall and production data, the most significant predictors of the model are (i) sea surface temperature anomalies, (ii) the amount of rainfall in July, August and September, (iii) the number of rainy days and (iv) the wind erosion factor. In 2025, production of millet is estimated to be about 13% lower as a consequence of climate change, translated into a reduction of the total amount of rainfall for July, August and September, combined with an increase in temperature while maintaining other significant predictors at a constant level. Subsequently, various potential strategies to compensate this loss are evaluated, including those to increase water use efficiency and to cultivate varieties that are adapted to such circumstances.","author":[{"dropping-particle":"","family":"Mohamed","given":"A.","non-dropping-particle":"Ben","parse-names":false,"suffix":""},{"dropping-particle":"","family":"Duivenbooden","given":"N.","non-dropping-particle":"Van","parse-names":false,"suffix":""},{"dropping-particle":"","family":"Abdoussallam","given":"S.","non-dropping-particle":"","parse-names":false,"suffix":""}],"container-title":"Climatic Change","id":"ITEM-1","issue":"3","issued":{"date-parts":[["2002"]]},"page":"327-348","title":"Impact of climate change on agricultural production in the Sahel - Part 1. Methodological approach and case study for millet in Niger","type":"article-journal","volume":"54"},"uris":["http://www.mendeley.com/documents/?uuid=9342c02c-fa41-48fb-9c59-7067dfff3bf2"]},{"id":"ITEM-2","itemData":{"DOI":"10.1007/s13593-020-00629-0","ISSN":"17730155","abstract":"Intercropping is a common practice among farmers in sub-Saharan Africa, regarded as a sustainable way of improving land productivity to meet food and nutritional requirements for a growing population, especially in marginal areas. Cowpea (Vigna unguiculata L. Walp) is often intercropped with major cereal crops, maize (Zea mays L.), sorghum (Sorghum bicolor L. Moench) and pearl millet (Pennisetum glaucumL.R.Br). Here we conducted a systematic literature review on cowpea intercropped with maize, sorghum or pearl millet reported in sub-Saharan Africa with the objectives (i) to determine yield and productivity of component crops and (ii) to quantify biological N2-fixation in sole or intercrops. We retrieved 60 unique publications combining 1196, 998 and 25 observations of yields, land productivity and N2-fixation, respectively, for crops grown as intercrops and monocrops. The major results are as follows: (1) land productivity of cowpea intercropped with maize, sorghum and pearl millet is favourable, with average land equivalent ratios of 1.42 ± 0.47, 1.26 ± 0.35 and 1.30 ± 0.32, respectively; (2) no significant differences between the proportion of nitrogen derived from the atmosphere (%Ndfa) for sole or intercropped cowpea were found, with average values of 56.00 ± 4.89 and 46.62 ± 7.05, respectively; (3) however, the total amount of fixed nitrogen was higher in cowpea monocropping systems due to higher biomass production; nitrogen fixation was 57 kg N ha−1 and 36 kg N ha−1 in monocrops and intercrops respectively. We conclude that cereal-cowpea intercropping is a pathway for intensification for the low nutrient input systems of smallholder farmers in sub-Saharan Africa. Our review also suggests potential for improvement of these systems, based on the choice of the associated varieties, planting patterns and sowing time, cowpea leaf harvesting as a vegetable, and fertilization.","author":[{"dropping-particle":"","family":"Namatsheve","given":"Talent","non-dropping-particle":"","parse-names":false,"suffix":""},{"dropping-particle":"","family":"Cardinael","given":"Rémi","non-dropping-particle":"","parse-names":false,"suffix":""},{"dropping-particle":"","family":"Corbeels","given":"Marc","non-dropping-particle":"","parse-names":false,"suffix":""},{"dropping-particle":"","family":"Chikowo","given":"Regis","non-dropping-particle":"","parse-names":false,"suffix":""}],"container-title":"Agronomy for Sustainable Development","id":"ITEM-2","issue":"4","issued":{"date-parts":[["2020"]]},"publisher":"Agronomy for Sustainable Development","title":"Productivity and biological N2-fixation in cereal-cowpea intercropping systems in sub-Saharan Africa. A review","type":"article-journal","volume":"40"},"uris":["http://www.mendeley.com/documents/?uuid=f058c223-971a-4156-9b04-f23154a21662"]}],"mendeley":{"formattedCitation":"(Ben Mohamed et al., 2002; Namatsheve et al., 2020)","plainTextFormattedCitation":"(Ben Mohamed et al., 2002; Namatsheve et al., 2020)","previouslyFormattedCitation":"(Ben Mohamed, Van Duivenbooden, and Abdoussallam 2002; Namatsheve et al. 2020)"},"properties":{"noteIndex":0},"schema":"https://github.com/citation-style-language/schema/raw/master/csl-citation.json"}</w:instrText>
      </w:r>
      <w:r w:rsidR="00771462"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(Ben Mohamed et al., 2002; Namatsheve et al., 2020)</w:t>
      </w:r>
      <w:r w:rsidR="00771462" w:rsidRPr="00C5457C">
        <w:rPr>
          <w:rFonts w:ascii="Times New Roman" w:hAnsi="Times New Roman" w:cs="Times New Roman"/>
          <w:sz w:val="24"/>
          <w:szCs w:val="24"/>
        </w:rPr>
        <w:fldChar w:fldCharType="end"/>
      </w:r>
      <w:r w:rsidR="00A34CA7" w:rsidRPr="00C5457C">
        <w:rPr>
          <w:rFonts w:ascii="Times New Roman" w:hAnsi="Times New Roman" w:cs="Times New Roman"/>
          <w:sz w:val="24"/>
          <w:szCs w:val="24"/>
        </w:rPr>
        <w:t>.</w:t>
      </w:r>
      <w:r w:rsidR="00A7019C" w:rsidRPr="00C5457C">
        <w:rPr>
          <w:rFonts w:ascii="Times New Roman" w:hAnsi="Times New Roman" w:cs="Times New Roman"/>
          <w:sz w:val="24"/>
          <w:szCs w:val="24"/>
        </w:rPr>
        <w:t xml:space="preserve"> L</w:t>
      </w:r>
      <w:r w:rsidR="00120233" w:rsidRPr="00C5457C">
        <w:rPr>
          <w:rFonts w:ascii="Times New Roman" w:hAnsi="Times New Roman" w:cs="Times New Roman"/>
          <w:sz w:val="24"/>
          <w:szCs w:val="24"/>
        </w:rPr>
        <w:t>’</w:t>
      </w:r>
      <w:r w:rsidR="00A7019C" w:rsidRPr="00C5457C">
        <w:rPr>
          <w:rFonts w:ascii="Times New Roman" w:hAnsi="Times New Roman" w:cs="Times New Roman"/>
          <w:sz w:val="24"/>
          <w:szCs w:val="24"/>
        </w:rPr>
        <w:t>associations de</w:t>
      </w:r>
      <w:r w:rsidR="00120233" w:rsidRPr="00C5457C">
        <w:rPr>
          <w:rFonts w:ascii="Times New Roman" w:hAnsi="Times New Roman" w:cs="Times New Roman"/>
          <w:sz w:val="24"/>
          <w:szCs w:val="24"/>
        </w:rPr>
        <w:t>s</w:t>
      </w:r>
      <w:r w:rsidR="00A7019C" w:rsidRPr="00C5457C">
        <w:rPr>
          <w:rFonts w:ascii="Times New Roman" w:hAnsi="Times New Roman" w:cs="Times New Roman"/>
          <w:sz w:val="24"/>
          <w:szCs w:val="24"/>
        </w:rPr>
        <w:t xml:space="preserve"> cultures</w:t>
      </w:r>
      <w:r w:rsidR="00120233" w:rsidRPr="00C5457C">
        <w:rPr>
          <w:rFonts w:ascii="Times New Roman" w:hAnsi="Times New Roman" w:cs="Times New Roman"/>
          <w:sz w:val="24"/>
          <w:szCs w:val="24"/>
        </w:rPr>
        <w:t xml:space="preserve"> ou culture intercalaire, parfois appelée polyculture ou culture mixte </w:t>
      </w:r>
      <w:r w:rsidR="00120233"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{"citationItems":[{"id":"ITEM-1","itemData":{"DOI":"10.1046/j.1365-2494.1998.00144.x","ISSN":"01425242","abstract":"Cereals grown for forage are increasing in importance in the rations of ruminants in the UK and have the potential to supply high proportions of energy-rich forage in their diets. However, such diets usually require some degree of protein supplementation. Crop mixtures, generally referred to as intercrops, have the potential to boost the forage protein content of diets as well as having a number of agronomic benefits. In this paper, the growth and utilization of annual intercrops is reviewed with particular reference, where feasible, to temperate regions. General agronomic and feeding issues associated with cereal intercrops are outlined together with the practicalities of field-scale management of intercrops in highly mechanized systems. A number of cereal-based intercrop combinations are also considered, concentrating specifically on their value for forage production. The future potential for different combinations is discussed and research recommendations made.","author":[{"dropping-particle":"","family":"Anil","given":"L.","non-dropping-particle":"","parse-names":false,"suffix":""},{"dropping-particle":"","family":"Park","given":"J.","non-dropping-particle":"","parse-names":false,"suffix":""},{"dropping-particle":"","family":"Phipps","given":"R. H.","non-dropping-particle":"","parse-names":false,"suffix":""},{"dropping-particle":"","family":"Miller","given":"F. A.","non-dropping-particle":"","parse-names":false,"suffix":""}],"container-title":"Grass and Forage Science","id":"ITEM-1","issue":"4","issued":{"date-parts":[["1998"]]},"page":"301-317","title":"Temperate intercropping of cereals for forage: A review of the potential for growth and utilization with particular reference to the UK","type":"article-journal","volume":"53"},"uris":["http://www.mendeley.com/documents/?uuid=0c3682af-5739-49ce-90bc-1f664d9d70bc"]}],"mendeley":{"formattedCitation":"(Anil et al., 1998)","plainTextFormattedCitation":"(Anil et al., 1998)","previouslyFormattedCitation":"(Anil et al. 1998)"},"properties":{"noteIndex":0},"schema":"https://github.com/citation-style-language/schema/raw/master/csl-citation.json"}</w:instrText>
      </w:r>
      <w:r w:rsidR="00120233"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(Anil et al., 1998)</w:t>
      </w:r>
      <w:r w:rsidR="00120233" w:rsidRPr="00C5457C">
        <w:rPr>
          <w:rFonts w:ascii="Times New Roman" w:hAnsi="Times New Roman" w:cs="Times New Roman"/>
          <w:sz w:val="24"/>
          <w:szCs w:val="24"/>
        </w:rPr>
        <w:fldChar w:fldCharType="end"/>
      </w:r>
      <w:r w:rsidR="00A7019C" w:rsidRPr="00C5457C">
        <w:rPr>
          <w:rFonts w:ascii="Times New Roman" w:hAnsi="Times New Roman" w:cs="Times New Roman"/>
          <w:sz w:val="24"/>
          <w:szCs w:val="24"/>
        </w:rPr>
        <w:t xml:space="preserve"> améliorent les rendements, la sécurité environnementale, la durabilité de la production et offrent des services écosystémiques plus importants </w:t>
      </w:r>
      <w:r w:rsidR="00A7019C"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{"citationItems":[{"id":"ITEM-1","itemData":{"DOI":"10.3390/agronomy11020343","ISSN":"20734395","abstract":"Intensive agriculture is based on the use of high-energy inputs and quality planting materials with assured irrigation, but it has failed to assure agricultural sustainability because of creation of ecological imbalance and degradation of natural resources. On the other hand, intercropping systems, also known as mixed cropping or polyculture, a traditional farming practice with diversified crop cultivation, uses comparatively low inputs and improves the quality of the agro-ecosystem. Intensification of crops can be done spatially and temporally by the adoption of the intercropping system targeting future need. Intercropping ensures multiple benefits like enhancement of yield, environmental security, production sustainability and greater ecosystem services. In intercropping, two or more crop species are grown concurrently as they coexist for a significant part of the crop cycle and interact among themselves and agro-ecosystems. Legumes as component crops in the intercropping system play versatile roles like biological N fixation and soil quality improvement, additional yield output including protein yield, and creation of functional diversity. But growing two or more crops together requires additional care and management for the creation of less competition among the crop species and efficient utilization of natural resources. Research evidence showed beneficial impacts of a properly managed intercropping system in terms of resource utilization and combined yield of crops grown with low-input use. The review highlights the principles and management of an intercropping system and its benefits and usefulness as a low-input agriculture for food and environmental security.","author":[{"dropping-particle":"","family":"Maitra","given":"Sagar","non-dropping-particle":"","parse-names":false,"suffix":""},{"dropping-particle":"","family":"Hossain","given":"Akbar","non-dropping-particle":"","parse-names":false,"suffix":""},{"dropping-particle":"","family":"Brestic","given":"Marian","non-dropping-particle":"","parse-names":false,"suffix":""},{"dropping-particle":"","family":"Skalicky","given":"Milan","non-dropping-particle":"","parse-names":false,"suffix":""},{"dropping-particle":"","family":"Ondrisik","given":"Peter","non-dropping-particle":"","parse-names":false,"suffix":""},{"dropping-particle":"","family":"Gitari","given":"Harun","non-dropping-particle":"","parse-names":false,"suffix":""},{"dropping-particle":"","family":"Brahmachari","given":"Koushik","non-dropping-particle":"","parse-names":false,"suffix":""},{"dropping-particle":"","family":"Shankar","given":"Tanmoy","non-dropping-particle":"","parse-names":false,"suffix":""},{"dropping-particle":"","family":"Bhadra","given":"Preetha","non-dropping-particle":"","parse-names":false,"suffix":""},{"dropping-particle":"","family":"Palai","given":"Jnana Bharati","non-dropping-particle":"","parse-names":false,"suffix":""},{"dropping-particle":"","family":"Jena","given":"Jagadish","non-dropping-particle":"","parse-names":false,"suffix":""},{"dropping-particle":"","family":"Bhattacharya","given":"Urjashi","non-dropping-particle":"","parse-names":false,"suffix":""},{"dropping-particle":"","family":"Duvvada","given":"Sarath Kumar","non-dropping-particle":"","parse-names":false,"suffix":""},{"dropping-particle":"","family":"Lalichetti","given":"Sagar","non-dropping-particle":"","parse-names":false,"suffix":""},{"dropping-particle":"","family":"Sairam","given":"Masina","non-dropping-particle":"","parse-names":false,"suffix":""}],"container-title":"Agronomy","id":"ITEM-1","issue":"2","issued":{"date-parts":[["2021"]]},"page":"343","title":"Intercropping—A Low Input Agricultural Strategy for Food and Environmental Security","type":"article-journal","volume":"11"},"uris":["http://www.mendeley.com/documents/?uuid=232dd15f-767d-43da-af74-7e8e413be869"]}],"mendeley":{"formattedCitation":"(Maitra et al., 2021)","plainTextFormattedCitation":"(Maitra et al., 2021)","previouslyFormattedCitation":"(Maitra et al. 2021)"},"properties":{"noteIndex":0},"schema":"https://github.com/citation-style-language/schema/raw/master/csl-citation.json"}</w:instrText>
      </w:r>
      <w:r w:rsidR="00A7019C"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(Maitra et al., 2021)</w:t>
      </w:r>
      <w:r w:rsidR="00A7019C" w:rsidRPr="00C5457C">
        <w:rPr>
          <w:rFonts w:ascii="Times New Roman" w:hAnsi="Times New Roman" w:cs="Times New Roman"/>
          <w:sz w:val="24"/>
          <w:szCs w:val="24"/>
        </w:rPr>
        <w:fldChar w:fldCharType="end"/>
      </w:r>
      <w:r w:rsidR="00A7019C" w:rsidRPr="00C5457C">
        <w:rPr>
          <w:rFonts w:ascii="Times New Roman" w:hAnsi="Times New Roman" w:cs="Times New Roman"/>
          <w:sz w:val="24"/>
          <w:szCs w:val="24"/>
        </w:rPr>
        <w:t xml:space="preserve">. </w:t>
      </w:r>
      <w:r w:rsidR="003F3ED0" w:rsidRPr="00C5457C">
        <w:rPr>
          <w:rFonts w:ascii="Times New Roman" w:hAnsi="Times New Roman" w:cs="Times New Roman"/>
          <w:sz w:val="24"/>
          <w:szCs w:val="24"/>
        </w:rPr>
        <w:t>E</w:t>
      </w:r>
      <w:r w:rsidR="007A4A14" w:rsidRPr="00C5457C">
        <w:rPr>
          <w:rFonts w:ascii="Times New Roman" w:hAnsi="Times New Roman" w:cs="Times New Roman"/>
          <w:sz w:val="24"/>
          <w:szCs w:val="24"/>
        </w:rPr>
        <w:t xml:space="preserve">lles réduisent la présence de ravageurs, de maladies et de mauvaises herbes et maintiennent la fertilité du sol </w:t>
      </w:r>
      <w:r w:rsidR="007A4A14"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{"citationItems":[{"id":"ITEM-1","itemData":{"DOI":"10.1017/S1742170507002025","ISSN":"17421705","abstract":"Intercropping is the simultaneous cultivation of more than one crop species on the same piece of land and is regarded as the practical application of basic ecological principles such as diversity, competition and facilitation. Field experiments were carried out on a sandy loam soil and a sandy soil in Denmark over three consecutive cropping seasons including dual grain legume (pea, faba bean and lupin)-barley intercropping as compared to the respective sole crops (SC). Yield stability of intercrops (IC) was not greater than that of grain legume SC, with the exception of the IC containing faba bean. Faba bean and lupin had lower yield stability than pea and fertilized barley. However, the different IC used environmental resources for plant growth up to 50% (LER=0.91-1.51) more effectively as compared to the respective SC, but with considerable variation over location, years and crops. The SC performance supported the interspecific interactions within the IC stand. On the sandy loam 13% greater grain yield of pea cv. Agadir (520 g m-2) was observed as compared to cv. Bohatyr. Faba bean and lupin yielded similarly (340 g m-2) in the sandy loam soil, with decreasing yields on the sandy soil (320-270 g m-2). Nitrogen fixation was very constant in grain legume SC over species and location, varying from 13.2 to 15.8 g N m-2, being lowest in peas and highest in faba bean and lupin. The intercropped grain legumes increased the proportion of plant N derived from N2-fixation by on average 10-15% compared to the corresponding SC. However, especially lupin was suppressed when intercropping, with a reduced N2-fixation from 15 to 5-6 g N m-2. The IC were particularly effective at suppressing weeds, capturing a greater share of available resources than SC. Weed infestation in the different crops was comparable; however, it tended to be the highest in sole cropped faba bean, lupin and unfertilized barley, where the application of urea to barley reduced the weed infestation by around 50%. Reduction in disease was observed in all IC systems compared to the corresponding SC, with a general disease reduction in the range of 20-40%. For one disease in particular (brown spot on lupin) disease reduction was almost 80% in the IC. Intercropping practices offer many advantages but improved understanding of the ecological mechanisms associated with planned spatial diversity, including additional benefits with associated diversity, is needed to enhance the benefits achieved. © 2008…","author":[{"dropping-particle":"","family":"Hauggaard-Nielsen","given":"Henrik","non-dropping-particle":"","parse-names":false,"suffix":""},{"dropping-particle":"","family":"Jørnsgaard","given":"Bjarne","non-dropping-particle":"","parse-names":false,"suffix":""},{"dropping-particle":"","family":"Kinane","given":"Julia","non-dropping-particle":"","parse-names":false,"suffix":""},{"dropping-particle":"","family":"Jensen","given":"Erik Steen","non-dropping-particle":"","parse-names":false,"suffix":""}],"container-title":"Renewable Agriculture and Food Systems","id":"ITEM-1","issue":"1","issued":{"date-parts":[["2008"]]},"page":"3-12","title":"Grain legume - Cereal intercropping: The practical application of diversity, competition and facilitation in arable and organic cropping systems","type":"article-journal","volume":"23"},"uris":["http://www.mendeley.com/documents/?uuid=bad02cdf-5171-4d80-bde1-ab59bb115f12"]}],"mendeley":{"formattedCitation":"(Hauggaard-Nielsen et al., 2008)","plainTextFormattedCitation":"(Hauggaard-Nielsen et al., 2008)","previouslyFormattedCitation":"(Hauggaard-Nielsen et al. 2008)"},"properties":{"noteIndex":0},"schema":"https://github.com/citation-style-language/schema/raw/master/csl-citation.json"}</w:instrText>
      </w:r>
      <w:r w:rsidR="007A4A14"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(Hauggaard-Nielsen et al., 2008)</w:t>
      </w:r>
      <w:r w:rsidR="007A4A14" w:rsidRPr="00C5457C">
        <w:rPr>
          <w:rFonts w:ascii="Times New Roman" w:hAnsi="Times New Roman" w:cs="Times New Roman"/>
          <w:sz w:val="24"/>
          <w:szCs w:val="24"/>
        </w:rPr>
        <w:fldChar w:fldCharType="end"/>
      </w:r>
      <w:r w:rsidR="007A4A14" w:rsidRPr="00C5457C">
        <w:rPr>
          <w:rFonts w:ascii="Times New Roman" w:hAnsi="Times New Roman" w:cs="Times New Roman"/>
          <w:sz w:val="24"/>
          <w:szCs w:val="24"/>
        </w:rPr>
        <w:t xml:space="preserve">. </w:t>
      </w:r>
      <w:r w:rsidR="00955106" w:rsidRPr="00C5457C">
        <w:rPr>
          <w:rFonts w:ascii="Times New Roman" w:hAnsi="Times New Roman" w:cs="Times New Roman"/>
          <w:sz w:val="24"/>
          <w:szCs w:val="24"/>
        </w:rPr>
        <w:t xml:space="preserve">Selon une méta-analyse de 100 études, un hectare de culture intercalaire produit en moyenne 1,17 hectare de culture unique </w:t>
      </w:r>
      <w:r w:rsidR="00955106"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{"citationItems":[{"id":"ITEM-1","itemData":{"DOI":"10.15302/J-FASE-2020352","ISSN":"2095977X","author":[{"dropping-particle":"","family":"Werf","given":"Wopke","non-dropping-particle":"van der","parse-names":false,"suffix":""},{"dropping-particle":"","family":"Li","given":"Chunjie","non-dropping-particle":"","parse-names":false,"suffix":""},{"dropping-particle":"","family":"Cong","given":"Wen Feng","non-dropping-particle":"","parse-names":false,"suffix":""},{"dropping-particle":"","family":"Zhang","given":"Fusuo","non-dropping-particle":"","parse-names":false,"suffix":""}],"container-title":"Frontiers of Agricultural Science and Engineering","id":"ITEM-1","issue":"3","issued":{"date-parts":[["2020"]]},"page":"254-256","title":"Intercropping enables a sustainable intensification of agriculture","type":"article-journal","volume":"7"},"uris":["http://www.mendeley.com/documents/?uuid=acb7bde3-3459-43af-a046-bd26aa767d40"]},{"id":"ITEM-2","itemData":{"DOI":"10.1016/j.fcr.2015.09.010","ISSN":"03784290","abstract":"Sustainable intensification of agriculture is needed to meet higher future food demands while mitigating agriculture's ecological footprint. Intercropping is a strategy for increasing agricultural productivity per unit land that is based on ecological mechanisms for improved resource capture. No quantitative synthesis has been made on the effect of intercrop system properties and species trait combinations on intercrop productivity. Here we use meta-analysis of the intercropping literature to study how the productivity of mixed systems is affected by intercrop system design and species traits. We focus on the effects of temporal niche differentiation between species, intercropping pattern, relative densities, the use of C3 and C4 species and the rate of nitrogen fertilizer. Land equivalent ratio (LER) is used as index for assessing the relative productivity of a mixed system as compared to sole crops. Average LER was 1.22. ±0.02, and no differences in LER were found between the 50 most highly cited studies and a random sample from the literature, indicating that high LERs in highly cited papers are representative of the entire literature. Temporal niche differentiation contributed substantially to high LER in systems combining a C3 and C4 species, but not in systems based on C3 species mixtures. The amount of N fertilizer interacted positively with the effect of temporal niche differentiation on LER. The intercropping literature is dominated by studies on cereal/legume mixtures. However, the few studies on C3 cereal/C4 cereal mixtures indicate these mixtures have high LER.Substantial improvements in land use efficiency in agriculture may be obtained by using mixtures, particularly C3/C4 mixtures. Thus, enhanced within-field crop diversity can make an important contribution to sustainable increases in food production.","author":[{"dropping-particle":"","family":"Yu","given":"Yang","non-dropping-particle":"","parse-names":false,"suffix":""},{"dropping-particle":"","family":"Stomph","given":"Tjeerd Jan","non-dropping-particle":"","parse-names":false,"suffix":""},{"dropping-particle":"","family":"Makowski","given":"David","non-dropping-particle":"","parse-names":false,"suffix":""},{"dropping-particle":"","family":"Werf","given":"Wopke","non-dropping-particle":"van der","parse-names":false,"suffix":""}],"container-title":"Field Crops Research","id":"ITEM-2","issued":{"date-parts":[["2015"]]},"page":"133-144","publisher":"Elsevier B.V.","title":"Temporal niche differentiation increases the land equivalent ratio of annual intercrops: A meta-analysis","type":"article-journal","volume":"184"},"uris":["http://www.mendeley.com/documents/?uuid=057d1264-614f-4700-b0c5-5358a0ee7e2b"]}],"mendeley":{"formattedCitation":"(van der Werf et al., 2020; Yu et al., 2015)","plainTextFormattedCitation":"(van der Werf et al., 2020; Yu et al., 2015)","previouslyFormattedCitation":"(van der Werf et al. 2020; Yu et al. 2015)"},"properties":{"noteIndex":0},"schema":"https://github.com/citation-style-language/schema/raw/master/csl-citation.json"}</w:instrText>
      </w:r>
      <w:r w:rsidR="00955106"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(van der Werf et al., 2020; Yu et al., 2015)</w:t>
      </w:r>
      <w:r w:rsidR="00955106" w:rsidRPr="00C5457C">
        <w:rPr>
          <w:rFonts w:ascii="Times New Roman" w:hAnsi="Times New Roman" w:cs="Times New Roman"/>
          <w:sz w:val="24"/>
          <w:szCs w:val="24"/>
        </w:rPr>
        <w:fldChar w:fldCharType="end"/>
      </w:r>
      <w:r w:rsidR="00955106" w:rsidRPr="00C5457C">
        <w:rPr>
          <w:rFonts w:ascii="Times New Roman" w:hAnsi="Times New Roman" w:cs="Times New Roman"/>
          <w:sz w:val="24"/>
          <w:szCs w:val="24"/>
        </w:rPr>
        <w:t xml:space="preserve">. </w:t>
      </w:r>
      <w:r w:rsidR="00035706" w:rsidRPr="00C5457C">
        <w:rPr>
          <w:rFonts w:ascii="Times New Roman" w:hAnsi="Times New Roman" w:cs="Times New Roman"/>
          <w:sz w:val="24"/>
          <w:szCs w:val="24"/>
        </w:rPr>
        <w:t xml:space="preserve">Pour atteindre les rendements des cultures intercalaires, une culture unique nécessite 30 % de plus de terres </w:t>
      </w:r>
      <w:r w:rsidR="00035706"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{"citationItems":[{"id":"ITEM-1","itemData":{"DOI":"10.1016/j.scitotenv.2017.10.024","ISSN":"18791026","PMID":"28992501","abstract":"Satisfying the nutritional needs of a growing population whilst limiting environmental repercussions will require sustainable intensification of agriculture. We argue that intercropping, which is the simultaneous production of multiple crops on the same area of land, could play an essential role in this intensification. We carried out the first global meta-analysis on the multifaceted benefits of intercropping. The objective of this study was to determine the benefits of intercropping in terms of energetic, economic and land-sparing potential through the framework of the stress-gradient hypothesis. We expected more intercropping benefits under stressful abiotic conditions. From 126 studies that were retrieved from the scientific literature, 939 intercropping observations were considered. When compared to the same area of land that was managed in monoculture, intercrops produced 38% more gross energy (mean relative land output of 1.38) and 33% more gross incomes (mean relative land output of 1.33) on average, whilst using 23% less land (mean land equivalent ratio of 1.30). Irrigation and the aridity index in non-irrigated intercrops did not affect land equivalent ratio, thereby indicating that intercropping remains beneficial, both under stressful and non-stressful contexts concerning moisture availability. Fertilisation and intercropping patterns (rows and strips vs. mixed) did not affect land equivalent ratio. Although intercropping offers a great opportunity for intensification of existing agricultural lands, many challenges need to be tackled by experts from multiple disciplines to ensure its feasible implementation.","author":[{"dropping-particle":"","family":"Martin-Guay","given":"Marc Olivier","non-dropping-particle":"","parse-names":false,"suffix":""},{"dropping-particle":"","family":"Paquette","given":"Alain","non-dropping-particle":"","parse-names":false,"suffix":""},{"dropping-particle":"","family":"Dupras","given":"Jérôme","non-dropping-particle":"","parse-names":false,"suffix":""},{"dropping-particle":"","family":"Rivest","given":"David","non-dropping-particle":"","parse-names":false,"suffix":""}],"container-title":"Science of the Total Environment","id":"ITEM-1","issued":{"date-parts":[["2018"]]},"page":"767-772","publisher":"Elsevier B.V.","title":"The new Green Revolution: Sustainable intensification of agriculture by intercropping","type":"article-journal","volume":"615"},"uris":["http://www.mendeley.com/documents/?uuid=935be404-5748-4235-b28f-ce2b3c59fb4d"]}],"mendeley":{"formattedCitation":"(Martin-Guay et al., 2018)","plainTextFormattedCitation":"(Martin-Guay et al., 2018)","previouslyFormattedCitation":"(Martin-Guay et al. 2018)"},"properties":{"noteIndex":0},"schema":"https://github.com/citation-style-language/schema/raw/master/csl-citation.json"}</w:instrText>
      </w:r>
      <w:r w:rsidR="00035706"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(Martin-Guay et al., 2018)</w:t>
      </w:r>
      <w:r w:rsidR="00035706" w:rsidRPr="00C5457C">
        <w:rPr>
          <w:rFonts w:ascii="Times New Roman" w:hAnsi="Times New Roman" w:cs="Times New Roman"/>
          <w:sz w:val="24"/>
          <w:szCs w:val="24"/>
        </w:rPr>
        <w:fldChar w:fldCharType="end"/>
      </w:r>
      <w:r w:rsidR="00035706" w:rsidRPr="00C5457C">
        <w:rPr>
          <w:rFonts w:ascii="Times New Roman" w:hAnsi="Times New Roman" w:cs="Times New Roman"/>
          <w:sz w:val="24"/>
          <w:szCs w:val="24"/>
        </w:rPr>
        <w:t xml:space="preserve">. </w:t>
      </w:r>
      <w:r w:rsidR="00C3647F" w:rsidRPr="00C5457C">
        <w:rPr>
          <w:rFonts w:ascii="Times New Roman" w:hAnsi="Times New Roman" w:cs="Times New Roman"/>
          <w:sz w:val="24"/>
          <w:szCs w:val="24"/>
        </w:rPr>
        <w:t xml:space="preserve">Dans une expérience, </w:t>
      </w:r>
      <w:r w:rsidR="00C3647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{"citationItems":[{"id":"ITEM-1","itemData":{"abstract":"Some of the authors of this publication are also working on these related projects: To evaluate the efficacy of Ametryn 73.15% + Trifloxysulfuron 1.85% WG for total weed control in sugarcane View project working on new molecules of herbicides View project","author":[{"dropping-particle":"","family":"Mandal","given":"M. K.","non-dropping-particle":"","parse-names":false,"suffix":""},{"dropping-particle":"","family":"Banerjee","given":"M.","non-dropping-particle":"","parse-names":false,"suffix":""},{"dropping-particle":"","family":"Banerjee","given":"H.","non-dropping-particle":"","parse-names":false,"suffix":""},{"dropping-particle":"","family":"Alipatra","given":"A.","non-dropping-particle":"","parse-names":false,"suffix":""},{"dropping-particle":"","family":"G. C. Malik","given":"","non-dropping-particle":"","parse-names":false,"suffix":""}],"container-title":"The Bioscan","id":"ITEM-1","issue":"1","issued":{"date-parts":[["2014"]]},"page":"31-35","title":"Productivity of maize (Zea mays) based intercropping system during kharif season under red and lateritic tract of West Bengal","type":"article-journal","volume":"9"},"uris":["http://www.mendeley.com/documents/?uuid=1de666bd-c14d-4da7-9d11-6336b0af0cd9"]}],"mendeley":{"formattedCitation":"(Mandal et al., 2014)","manualFormatting":"Mandal et al., (2014)","plainTextFormattedCitation":"(Mandal et al., 2014)","previouslyFormattedCitation":"(Mandal et al. 2014)"},"properties":{"noteIndex":0},"schema":"https://github.com/citation-style-language/schema/raw/master/csl-citation.json"}</w:instrText>
      </w:r>
      <w:r w:rsidR="00C3647F" w:rsidRPr="00C5457C">
        <w:rPr>
          <w:rFonts w:ascii="Times New Roman" w:hAnsi="Times New Roman" w:cs="Times New Roman"/>
          <w:sz w:val="24"/>
          <w:szCs w:val="24"/>
        </w:rPr>
        <w:fldChar w:fldCharType="separate"/>
      </w:r>
      <w:r w:rsidR="00C3647F" w:rsidRPr="00C5457C">
        <w:rPr>
          <w:rFonts w:ascii="Times New Roman" w:hAnsi="Times New Roman" w:cs="Times New Roman"/>
          <w:noProof/>
          <w:sz w:val="24"/>
          <w:szCs w:val="24"/>
        </w:rPr>
        <w:t>Mandal et al., (2014)</w:t>
      </w:r>
      <w:r w:rsidR="00C3647F" w:rsidRPr="00C5457C">
        <w:rPr>
          <w:rFonts w:ascii="Times New Roman" w:hAnsi="Times New Roman" w:cs="Times New Roman"/>
          <w:sz w:val="24"/>
          <w:szCs w:val="24"/>
        </w:rPr>
        <w:fldChar w:fldCharType="end"/>
      </w:r>
      <w:r w:rsidR="00C3647F" w:rsidRPr="00C5457C">
        <w:rPr>
          <w:rFonts w:ascii="Times New Roman" w:hAnsi="Times New Roman" w:cs="Times New Roman"/>
          <w:sz w:val="24"/>
          <w:szCs w:val="24"/>
        </w:rPr>
        <w:t xml:space="preserve"> ont trouvé un rendement équivalent au maïs de 5,48 t ha</w:t>
      </w:r>
      <w:r w:rsidR="00CF0A40" w:rsidRPr="00C5457C">
        <w:rPr>
          <w:rFonts w:ascii="Times New Roman" w:hAnsi="Times New Roman" w:cs="Times New Roman"/>
          <w:sz w:val="24"/>
          <w:szCs w:val="24"/>
          <w:vertAlign w:val="superscript"/>
        </w:rPr>
        <w:t>-1</w:t>
      </w:r>
      <w:r w:rsidR="00C3647F" w:rsidRPr="00C5457C">
        <w:rPr>
          <w:rFonts w:ascii="Times New Roman" w:hAnsi="Times New Roman" w:cs="Times New Roman"/>
          <w:sz w:val="24"/>
          <w:szCs w:val="24"/>
        </w:rPr>
        <w:t xml:space="preserve"> dans la culture intercalaire de maïs et de soja par rapport à 2,48 t ha</w:t>
      </w:r>
      <w:r w:rsidR="00CF0A40" w:rsidRPr="00C5457C">
        <w:rPr>
          <w:rFonts w:ascii="Times New Roman" w:hAnsi="Times New Roman" w:cs="Times New Roman"/>
          <w:sz w:val="24"/>
          <w:szCs w:val="24"/>
          <w:vertAlign w:val="superscript"/>
        </w:rPr>
        <w:t>-1</w:t>
      </w:r>
      <w:r w:rsidR="00C3647F" w:rsidRPr="00C5457C">
        <w:rPr>
          <w:rFonts w:ascii="Times New Roman" w:hAnsi="Times New Roman" w:cs="Times New Roman"/>
          <w:sz w:val="24"/>
          <w:szCs w:val="24"/>
        </w:rPr>
        <w:t xml:space="preserve"> dans la culture de maïs unique. </w:t>
      </w:r>
    </w:p>
    <w:p w14:paraId="50AE974B" w14:textId="325A961B" w:rsidR="001C2EEB" w:rsidRPr="00C5457C" w:rsidRDefault="003A2B0D"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Dans un système de culture intercalaire, l’association de céréales et de légumineuses améliore la fertilité du sol. En effet, les légumineuses ont la capacité de fixer biologiquement l’azote atmosphérique. Cette fixation d’azote varie généralement entre 80 et 350 kg par hectare. De plus, le système de culture intercalaire permet aux légumineuses de partager jusqu’à 15 % de leur azote avec les céréales associées </w:t>
      </w:r>
      <w:r w:rsidR="007A612B"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{"citationItems":[{"id":"ITEM-1","itemData":{"DOI":"10.1007/BF00011308","ISSN":"0032079X","abstract":"Inputs of biologically fixed N into agricultural systems may be derived from symbiotic relationships involving legumes and Rhizobium spp., partnerships between plants and Frankia spp. or cyanobacteria, or from non-symbiotic associations between free-living diazotrophs and plant roots. It is assumed that these N2-fixing systems will satisfy a large portion of their own N requirements from atmospheric N2, and that additional fixed N will be contributed to soil reserves for the benefit of other crops or forage species. This paper reviews the actual levels of N2 fixation attained by legume and non-legume associations and assesses their role as a source of N in tropical and sub-tropical agriculture. We discuss factors influencing N2 fixation and identify possible strategies for improving the amount of N2 fixed. © 1992 Kluwer Academic Publishers.","author":[{"dropping-particle":"","family":"Peoples","given":"Mark B.","non-dropping-particle":"","parse-names":false,"suffix":""},{"dropping-particle":"","family":"Craswell","given":"Eric T.","non-dropping-particle":"","parse-names":false,"suffix":""}],"container-title":"Plant and Soil","id":"ITEM-1","issue":"1-2","issued":{"date-parts":[["1992"]]},"page":"13-39","title":"Biological nitrogen fixation: Investments, expectations and actual contributions to agriculture","type":"article-journal","volume":"141"},"uris":["http://www.mendeley.com/documents/?uuid=4cf459a5-d21d-4175-9262-fc524a7424f8"]},{"id":"ITEM-2","itemData":{"DOI":"10.1007/s11104-008-9751-9","ISBN":"1110400897519","ISSN":"0032079X","abstract":"Intercropping of upland rice with short-duration grain legumes has major advantages in increasing crop yields and soil productivity. However, the contribution of arbuscular mycorrhizas, the common mutualistic symbiosis between most crops and mycorrhizal fungi, is not fully understood in intercropping systems. We assayed the contribution of inoculation of the arbuscular mycorrhizal fungus (AMF) Glomus caledonium on nutrient acquisition and biomass yield. Using the method of plastic film and nylon net partition and tracing 15N transferred between the intercropped upland rice (Oryza sativa ssp. Japonica Nipponbare) and mung bean (Vigna radiata L. Chuanyuan), we compared the intercropping, with separation of the whole root systems by a plastic film, with and without a barrier of nylon net to allow penetration of the fungal hyphae. Intercropping significantly improved the formation of arbuscular mycorrhizas, particularly in the upland rice roots. The improved formation of mycorrhizas by the intercropping increased total P uptake by 57% in rice, total P and N acquisition by 65% and 64% respectively in mung bean, and nodulation by 54% in mung bean. The percentage of total 15N transfer from mung bean to rice leaves was increased from 5.4% to 15.7% by inoculation with AMF. In contrast, there was only 2.7% of 15N transfer from rice to mung bean and no AMF effect on N transfer. It is concluded that cereal and legume crop intercropping increase mycorrhiza formation, which in turn improves nodulation, N and P acquisition and N transfer in the legumes. © 2008 Springer Science+Business Media B.V.","author":[{"dropping-particle":"","family":"Li","given":"Yuefeng","non-dropping-particle":"","parse-names":false,"suffix":""},{"dropping-particle":"","family":"Ran","given":"Wei","non-dropping-particle":"","parse-names":false,"suffix":""},{"dropping-particle":"","family":"Zhang","given":"Ruiping","non-dropping-particle":"","parse-names":false,"suffix":""},{"dropping-particle":"","family":"Sun","given":"Shubin","non-dropping-particle":"","parse-names":false,"suffix":""},{"dropping-particle":"","family":"Xu","given":"Guohua","non-dropping-particle":"","parse-names":false,"suffix":""}],"container-title":"Plant and Soil","id":"ITEM-2","issue":"1-2","issued":{"date-parts":[["2009"]]},"page":"285-296","title":"Facilitated legume nodulation, phosphate uptake and nitrogen transfer by arbuscular inoculation in an upland rice and mung bean intercropping system","type":"paper-conference","volume":"315"},"uris":["http://www.mendeley.com/documents/?uuid=9d3f0f82-de04-4df0-b9a7-0b9450e53d64"]}],"mendeley":{"formattedCitation":"(Li et al., 2009; Peoples &amp; Craswell, 1992)","plainTextFormattedCitation":"(Li et al., 2009; Peoples &amp; Craswell, 1992)","previouslyFormattedCitation":"(Li et al. 2009; Peoples and Craswell 1992)"},"properties":{"noteIndex":0},"schema":"https://github.com/citation-style-language/schema/raw/master/csl-citation.json"}</w:instrText>
      </w:r>
      <w:r w:rsidR="007A612B"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(Li et al., 2009; Peoples &amp; Craswell, 1992)</w:t>
      </w:r>
      <w:r w:rsidR="007A612B"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690123" w:rsidRPr="00C5457C">
        <w:rPr>
          <w:rFonts w:ascii="Times New Roman" w:hAnsi="Times New Roman" w:cs="Times New Roman"/>
          <w:sz w:val="24"/>
          <w:szCs w:val="24"/>
        </w:rPr>
        <w:t>Plusieurs études</w:t>
      </w:r>
      <w:r w:rsidR="003B388E" w:rsidRPr="00C5457C">
        <w:rPr>
          <w:rFonts w:ascii="Times New Roman" w:hAnsi="Times New Roman" w:cs="Times New Roman"/>
          <w:sz w:val="24"/>
          <w:szCs w:val="24"/>
        </w:rPr>
        <w:t xml:space="preserve"> </w:t>
      </w:r>
      <w:r w:rsidR="003B388E"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{"citationItems":[{"id":"ITEM-1","itemData":{"DOI":"10.1007/s00374-006-0139-9","ISSN":"01782762","abstract":"In this study, we investigated crop yield and various chemical and microbiological properties in rhizosphere of wheat, maize, and faba bean grown in the field solely and intercropped (wheat/faba bean, wheat/maize, and maize/faba bean) in the second and third year after establishment of the cropping systems. In both years, intercropping increased crop yield, changed N and P availability, and affected the microbiological properties in rhizosphere of the three species compared to sole cropping. Generally, intercropping increased microbial biomass C, N, and P availability, whereas it reduced microbial biomass N in rhizosphere of wheat. The rhizosphere bacterial community composition was studied by denaturing gradient gel electrophoresis of 16S rRNA. In the third year of different cropping systems, intercropping significantly changed bacterial community composition in rhizosphere compared with sole cropping, and the effects were most pronounced in the wheat/faba bean intercropping system. The effects were less pronounced in the second year. The results show that intercropping has significant effects on microbiological and chemical properties in the rhizosphere, which may contribute to the yield enhancement by intercropping. © 2006 Springer-Verlag.","author":[{"dropping-particle":"","family":"Song","given":"Y. N.","non-dropping-particle":"","parse-names":false,"suffix":""},{"dropping-particle":"","family":"Zhang","given":"F. S.","non-dropping-particle":"","parse-names":false,"suffix":""},{"dropping-particle":"","family":"Marschner","given":"P.","non-dropping-particle":"","parse-names":false,"suffix":""},{"dropping-particle":"","family":"Fan","given":"F. L.","non-dropping-particle":"","parse-names":false,"suffix":""},{"dropping-particle":"","family":"Gao","given":"H. M.","non-dropping-particle":"","parse-names":false,"suffix":""},{"dropping-particle":"","family":"Bao","given":"X. G.","non-dropping-particle":"","parse-names":false,"suffix":""},{"dropping-particle":"","family":"Sun","given":"J. H.","non-dropping-particle":"","parse-names":false,"suffix":""},{"dropping-particle":"","family":"Li","given":"L.","non-dropping-particle":"","parse-names":false,"suffix":""}],"container-title":"Biology and Fertility of Soils","id":"ITEM-1","issue":"5","issued":{"date-parts":[["2007"]]},"page":"565-574","title":"Effect of intercropping on crop yield and chemical and microbiological properties in rhizosphere of wheat (Triticum aestivum L.), maize (Zea mays L.), and faba bean (Vicia faba L.)","type":"article-journal","volume":"43"},"uris":["http://www.mendeley.com/documents/?uuid=4bc3b1db-5fb5-4b1b-9cc9-59ed76ed35e4"]},{"id":"ITEM-2","itemData":{"author":[{"dropping-particle":"","family":"Mobasser","given":"H. R.","non-dropping-particle":"","parse-names":false,"suffix":""},{"dropping-particle":"","family":"Vazirimehr","given":"M. R.","non-dropping-particle":"","parse-names":false,"suffix":""},{"dropping-particle":"","family":"Rigi","given":"K.","non-dropping-particle":"","parse-names":false,"suffix":""}],"id":"ITEM-2","issue":"April","issued":{"date-parts":[["2014"]]},"title":"Effect of intercropping on resources use, weed management and forage quality. International Journal of Plant, Animal and Environmental Sciences, 4(2), 706-713.","type":"article-journal"},"uris":["http://www.mendeley.com/documents/?uuid=012af804-aba8-4a83-9a97-eb601f6c151c"]},{"id":"ITEM-3","itemData":{"DOI":"10.1007/BF00011308","ISSN":"0032079X","abstract":"Inputs of biologically fixed N into agricultural systems may be derived from symbiotic relationships involving legumes and Rhizobium spp., partnerships between plants and Frankia spp. or cyanobacteria, or from non-symbiotic associations between free-living diazotrophs and plant roots. It is assumed that these N2-fixing systems will satisfy a large portion of their own N requirements from atmospheric N2, and that additional fixed N will be contributed to soil reserves for the benefit of other crops or forage species. This paper reviews the actual levels of N2 fixation attained by legume and non-legume associations and assesses their role as a source of N in tropical and sub-tropical agriculture. We discuss factors influencing N2 fixation and identify possible strategies for improving the amount of N2 fixed. © 1992 Kluwer Academic Publishers.","author":[{"dropping-particle":"","family":"Peoples","given":"Mark B.","non-dropping-particle":"","parse-names":false,"suffix":""},{"dropping-particle":"","family":"Craswell","given":"Eric T.","non-dropping-particle":"","parse-names":false,"suffix":""}],"container-title":"Plant and Soil","id":"ITEM-3","issue":"1-2","issued":{"date-parts":[["1992"]]},"page":"13-39","title":"Biological nitrogen fixation: Investments, expectations and actual contributions to agriculture","type":"article-journal","volume":"141"},"uris":["http://www.mendeley.com/documents/?uuid=4cf459a5-d21d-4175-9262-fc524a7424f8"]}],"mendeley":{"formattedCitation":"(Mobasser et al., 2014; Peoples &amp; Craswell, 1992; Song et al., 2007)","manualFormatting":"Mobasser et al., (2014); Peoples &amp; Craswell, (1992); Song et al., (2007)","plainTextFormattedCitation":"(Mobasser et al., 2014; Peoples &amp; Craswell, 1992; Song et al., 2007)","previouslyFormattedCitation":"(Mobasser, Vazirimehr, and Rigi 2014; Peoples and Craswell 1992; Song et al. 2007)"},"properties":{"noteIndex":0},"schema":"https://github.com/citation-style-language/schema/raw/master/csl-citation.json"}</w:instrText>
      </w:r>
      <w:r w:rsidR="003B388E" w:rsidRPr="00C5457C">
        <w:rPr>
          <w:rFonts w:ascii="Times New Roman" w:hAnsi="Times New Roman" w:cs="Times New Roman"/>
          <w:sz w:val="24"/>
          <w:szCs w:val="24"/>
        </w:rPr>
        <w:fldChar w:fldCharType="separate"/>
      </w:r>
      <w:r w:rsidR="003B388E" w:rsidRPr="00C5457C">
        <w:rPr>
          <w:rFonts w:ascii="Times New Roman" w:hAnsi="Times New Roman" w:cs="Times New Roman"/>
          <w:noProof/>
          <w:sz w:val="24"/>
          <w:szCs w:val="24"/>
        </w:rPr>
        <w:t>Mobasser et al., (2014); Peoples &amp; Craswell, (1992); Song et al., (2007)</w:t>
      </w:r>
      <w:r w:rsidR="003B388E" w:rsidRPr="00C5457C">
        <w:rPr>
          <w:rFonts w:ascii="Times New Roman" w:hAnsi="Times New Roman" w:cs="Times New Roman"/>
          <w:sz w:val="24"/>
          <w:szCs w:val="24"/>
        </w:rPr>
        <w:fldChar w:fldCharType="end"/>
      </w:r>
      <w:r w:rsidR="00690123" w:rsidRPr="00C5457C">
        <w:rPr>
          <w:rFonts w:ascii="Times New Roman" w:hAnsi="Times New Roman" w:cs="Times New Roman"/>
          <w:sz w:val="24"/>
          <w:szCs w:val="24"/>
        </w:rPr>
        <w:t xml:space="preserve"> ont montré que l’association des cultures à base de légumineuses améliore la disponibilité de carbone organique, d'azote et de phosphore dans le sol. Dans les cultures intercalaires, l'absorption de N, de P et de K était également supérieure de 43 % et 35 % par rapport aux cultures pures</w:t>
      </w:r>
      <w:r w:rsidR="00B04A73" w:rsidRPr="00C5457C">
        <w:rPr>
          <w:rFonts w:ascii="Times New Roman" w:hAnsi="Times New Roman" w:cs="Times New Roman"/>
          <w:sz w:val="24"/>
          <w:szCs w:val="24"/>
        </w:rPr>
        <w:t xml:space="preserve"> </w:t>
      </w:r>
      <w:r w:rsidR="00B04A73"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{"citationItems":[{"id":"ITEM-1","itemData":{"DOI":"10.1016/0378-4290(93)90120-C","ISSN":"03784290","abstract":"The capture and utilization of P and K, two non-mobile soil resources, were examined by decomposing crop production/unit area into uptake/unit area (capture) and production/unit uptake (utilization efficiency). Resource capture and utilization efficiencies by intercrops were compared to those of sole crops by contrasting intercrop means against the weighted means of sole crops. Weightings were based on the proportion of each species in the intercrop. On average, intercrops took up 43% more P (-4 to 83%) and 35% more K (- 10 to 87%) than the sole crops. Where nutrients were not limiting, P and K uptake increased as dry-matter yield increased, evidence that uptake was a function of crop growth rather than conversely. Even where soil P was deficient, uptake by a dominated crop was decided more by factors that determined the outcome of competition than by P availability. The combined root systems, likely to be larger and functional for a longer duration under intercrops than under either sole crop, were postulated to explain the greater capture of non-mobile nutrients like P and K. An enlarged root system provides an expanded root surface area to which non-mobile nutrients can diffuse. For mobile nutrients which move to root surfaces largely by mass flow, shading of the dominated canopy may explain the positive association observed between intecrop dry-matter accumulation and Ca capture. Shading reduces carbon assimilation and transpiration of the understory canopy and, therefore, would reduce mass flow of Ca as well. Competition for P and K by intercropped species, even when nutrient supplies were abundant, was affected by degree of growth concurrency, canopy domination and planting geometry. When a dominating species was harvested much earlier than the dominated species, the uptake rate of the longer-duration crop usually recovered from competition after the first crop was harvested. Exceptions occurred when development of the dominated crop was so badly impaired during concurrent growth that vegetative enlargement was inhibited after harvest of the early species. Uptake rates by pigeon pea and cassava, which are exceptionally long-maturing species that have relatively low daily P and K uptake requirements, appeared capable of fully recovering even on soils in which nutrient availabilities were marginal for other species. © 1993.","author":[{"dropping-particle":"","family":"Morris","given":"R. A.","non-dropping-particle":"","parse-names":false,"suffix":""},{"dropping-particle":"","family":"Garrity","given":"D. P.","non-dropping-particle":"","parse-names":false,"suffix":""}],"container-title":"Field Crops Research","id":"ITEM-1","issue":"3-4","issued":{"date-parts":[["1993"]]},"page":"319-334","title":"Resource capture and utilization in intercropping; non-nitrogen nutrients","type":"article-journal","volume":"34"},"uris":["http://www.mendeley.com/documents/?uuid=a14d6ac2-4a2a-4183-bfa9-70904a666d9b"]}],"mendeley":{"formattedCitation":"(Morris &amp; Garrity, 1993)","plainTextFormattedCitation":"(Morris &amp; Garrity, 1993)","previouslyFormattedCitation":"(Morris and Garrity 1993)"},"properties":{"noteIndex":0},"schema":"https://github.com/citation-style-language/schema/raw/master/csl-citation.json"}</w:instrText>
      </w:r>
      <w:r w:rsidR="00B04A73"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(Morris &amp; Garrity, 1993)</w:t>
      </w:r>
      <w:r w:rsidR="00B04A73" w:rsidRPr="00C5457C">
        <w:rPr>
          <w:rFonts w:ascii="Times New Roman" w:hAnsi="Times New Roman" w:cs="Times New Roman"/>
          <w:sz w:val="24"/>
          <w:szCs w:val="24"/>
        </w:rPr>
        <w:fldChar w:fldCharType="end"/>
      </w:r>
      <w:r w:rsidR="00690123" w:rsidRPr="00C5457C">
        <w:rPr>
          <w:rFonts w:ascii="Times New Roman" w:hAnsi="Times New Roman" w:cs="Times New Roman"/>
          <w:sz w:val="24"/>
          <w:szCs w:val="24"/>
        </w:rPr>
        <w:t>. De plus, elles peuvent garantir la disponibilité de certains oligo-</w:t>
      </w:r>
      <w:r w:rsidR="00690123" w:rsidRPr="00C5457C">
        <w:rPr>
          <w:rFonts w:ascii="Times New Roman" w:hAnsi="Times New Roman" w:cs="Times New Roman"/>
          <w:sz w:val="24"/>
          <w:szCs w:val="24"/>
        </w:rPr>
        <w:lastRenderedPageBreak/>
        <w:t xml:space="preserve">éléments tels que le zinc et le fer </w:t>
      </w:r>
      <w:r w:rsidR="00B04A73"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{"citationItems":[{"id":"ITEM-1","itemData":{"DOI":"10.1093/aob/mcv182","ISSN":"10958290","PMID":"26749590","abstract":"Background Phosphorus (P), iron (Fe) and zinc (Zn) are essential elements for plant growth and development, but their availability in soil is often limited. Intercropping contributes to increased P, Fe and Zn uptake and thereby increases yield and improves grain nutritional quality and ultimately human health. A better understanding of how intercropping leads to increased plant P, Fe and Zn availability will help to improve P-fertilizer-use efficiency and agronomic Fe and Zn biofortification. Scope This review synthesizes the literature on how intercropping of legumes with cereals increases acquisition of P, Fe and Zn from soil and recapitulates what is known about root-to-shoot nutrient translocation, plant-internal nutrient remobilization and allocation to grains. Conclusions Direct interspecific facilitation in intercropping involves below-ground processes in which cereals increase Fe and Zn bioavailability while companion legumes benefit. This has been demonstrated and verified using isotopic nutrient tracing and molecular analysis. The same methodological approaches and field studies should be used to explore direct interspecific P facilitation. Both niche complementarity and interspecific facilitation contribute to increased P acquisition in intercropping. Niche complementarity may also contribute to increased Fe and Zn acquisition, an aspect poorly understood. Interspecific mobilization and uptake facilitation of sparingly soluble P, Fe and Zn from soil, however, are not the only determinants of the concentrations of P, Fe and Zn in grains. Grain yield and nutrient translocation from roots to shoots further influence the concentrations of these nutrients in grains.","author":[{"dropping-particle":"","family":"Xue","given":"Yanfang","non-dropping-particle":"","parse-names":false,"suffix":""},{"dropping-particle":"","family":"Xia","given":"Haiyong","non-dropping-particle":"","parse-names":false,"suffix":""},{"dropping-particle":"","family":"Christie","given":"Peter","non-dropping-particle":"","parse-names":false,"suffix":""},{"dropping-particle":"","family":"Zhang","given":"Zheng","non-dropping-particle":"","parse-names":false,"suffix":""},{"dropping-particle":"","family":"Li","given":"Long","non-dropping-particle":"","parse-names":false,"suffix":""},{"dropping-particle":"","family":"Tang","given":"Caixian","non-dropping-particle":"","parse-names":false,"suffix":""}],"container-title":"Annals of Botany","id":"ITEM-1","issue":"3","issued":{"date-parts":[["2016"]]},"page":"363-377","title":"Crop acquisition of phosphorus, iron and zinc from soil in cereal/legume intercropping systems: a critical review","type":"article-journal","volume":"117"},"uris":["http://www.mendeley.com/documents/?uuid=0da777f0-05ab-4575-bc12-f403052693e3"]}],"mendeley":{"formattedCitation":"(Xue et al., 2016)","plainTextFormattedCitation":"(Xue et al., 2016)","previouslyFormattedCitation":"(Xue et al. 2016)"},"properties":{"noteIndex":0},"schema":"https://github.com/citation-style-language/schema/raw/master/csl-citation.json"}</w:instrText>
      </w:r>
      <w:r w:rsidR="00B04A73"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(Xue et al., 2016)</w:t>
      </w:r>
      <w:r w:rsidR="00B04A73" w:rsidRPr="00C5457C">
        <w:rPr>
          <w:rFonts w:ascii="Times New Roman" w:hAnsi="Times New Roman" w:cs="Times New Roman"/>
          <w:sz w:val="24"/>
          <w:szCs w:val="24"/>
        </w:rPr>
        <w:fldChar w:fldCharType="end"/>
      </w:r>
      <w:r w:rsidR="00690123" w:rsidRPr="00C5457C">
        <w:rPr>
          <w:rFonts w:ascii="Times New Roman" w:hAnsi="Times New Roman" w:cs="Times New Roman"/>
          <w:sz w:val="24"/>
          <w:szCs w:val="24"/>
        </w:rPr>
        <w:t>. Le P est un facteur limitant dans les sols acides, et les racines de certaines cultures comme l'arachide, le niébé, le maïs et les haricots sécrètent des acides organiques et des phosphatases dans la rhizosphère et augmentent la disponibilité du P, ce qui permet aux cultures associées à ces cultures d'obtenir plus de P</w:t>
      </w:r>
      <w:r w:rsidR="00B04A73" w:rsidRPr="00C5457C">
        <w:rPr>
          <w:rFonts w:ascii="Times New Roman" w:hAnsi="Times New Roman" w:cs="Times New Roman"/>
          <w:sz w:val="24"/>
          <w:szCs w:val="24"/>
        </w:rPr>
        <w:t xml:space="preserve"> </w:t>
      </w:r>
      <w:r w:rsidR="000B235C" w:rsidRPr="00C5457C">
        <w:rPr>
          <w:rFonts w:ascii="Times New Roman" w:hAnsi="Times New Roman" w:cs="Times New Roman"/>
          <w:sz w:val="24"/>
          <w:szCs w:val="24"/>
        </w:rPr>
        <w:t>(Li et al., 2013)</w:t>
      </w:r>
      <w:r w:rsidR="00690123" w:rsidRPr="00C5457C">
        <w:rPr>
          <w:rFonts w:ascii="Times New Roman" w:hAnsi="Times New Roman" w:cs="Times New Roman"/>
          <w:sz w:val="24"/>
          <w:szCs w:val="24"/>
        </w:rPr>
        <w:t xml:space="preserve">. De plus, la toxicité de l'Al peut nuire aux cultures dans les sols acides, et la libération d'acides organiques protège les racines de la toxicité de l'Al </w:t>
      </w:r>
      <w:r w:rsidR="000B235C"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{"citationItems":[{"id":"ITEM-1","itemData":{"DOI":"10.1093/jxb/erq272","ISSN":"00220957","PMID":"20847099","abstract":"Acid soils restrict plant production around the world. One of the major limitations to plant growth on acid soils is the prevalence of soluble aluminium (Al3+) ions which can inhibit root growth at micromolar concentrations. Species that show a natural resistance to Al3+ toxicity perform better on acid soils. Our understanding of the physiology of Al3+ resistance in important crop plants has increased greatly over the past 20 years, largely due to the application of genetics and molecular biology. Fourteen genes from seven different species are known to contribute to Al3+ tolerance and resistance and several additional candidates have been identified. Some of these genes account for genotypic variation within species and others do not. One mechanism of resistance which has now been identified in a range of species relies on the efflux of organic anions such as malate and citrate from roots. The genes controlling this trait are members of the ALMT and MATE families which encode membrane proteins that facilitate organic anion efflux across the plasma membrane. Identification of these and other resistance genes provides opportunities for enhancing the Al3+ resistance of plants by marker-assisted breeding and through biotechnology. Most attempts to enhance Al3+ resistance in plants with genetic engineering have targeted genes that are induced by Al3+ stress or that are likely to increase organic anion efflux. In the latter case, studies have either enhanced organic anion synthesis or increased organic anion transport across the plasma membrane. Recent developments in this area are summarized and the structure-function of the TaALMT1 protein from wheat is discussed. © 2010 The Author.","author":[{"dropping-particle":"","family":"Ryan","given":"P. R.","non-dropping-particle":"","parse-names":false,"suffix":""},{"dropping-particle":"","family":"Tyerman","given":"S. D.","non-dropping-particle":"","parse-names":false,"suffix":""},{"dropping-particle":"","family":"Sasaki","given":"T.","non-dropping-particle":"","parse-names":false,"suffix":""},{"dropping-particle":"","family":"Furuichi","given":"T.","non-dropping-particle":"","parse-names":false,"suffix":""},{"dropping-particle":"","family":"Yamamoto","given":"Y.","non-dropping-particle":"","parse-names":false,"suffix":""},{"dropping-particle":"","family":"Zhang","given":"W. H.","non-dropping-particle":"","parse-names":false,"suffix":""},{"dropping-particle":"","family":"Delhaize","given":"E.","non-dropping-particle":"","parse-names":false,"suffix":""}],"container-title":"Journal of Experimental Botany","id":"ITEM-1","issue":"1","issued":{"date-parts":[["2011"]]},"page":"9-20","title":"The identification of aluminium-resistance genes provides opportunities for enhancing crop production on acid soils","type":"article-journal","volume":"62"},"uris":["http://www.mendeley.com/documents/?uuid=a8e27544-c9ad-426a-bcdb-4bba5948015c"]}],"mendeley":{"formattedCitation":"(Ryan et al., 2011)","plainTextFormattedCitation":"(Ryan et al., 2011)","previouslyFormattedCitation":"(Ryan et al. 2011)"},"properties":{"noteIndex":0},"schema":"https://github.com/citation-style-language/schema/raw/master/csl-citation.json"}</w:instrText>
      </w:r>
      <w:r w:rsidR="000B235C"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(Ryan et al., 2011)</w:t>
      </w:r>
      <w:r w:rsidR="000B235C" w:rsidRPr="00C5457C">
        <w:rPr>
          <w:rFonts w:ascii="Times New Roman" w:hAnsi="Times New Roman" w:cs="Times New Roman"/>
          <w:sz w:val="24"/>
          <w:szCs w:val="24"/>
        </w:rPr>
        <w:fldChar w:fldCharType="end"/>
      </w:r>
      <w:r w:rsidR="00690123" w:rsidRPr="00C5457C">
        <w:rPr>
          <w:rFonts w:ascii="Times New Roman" w:hAnsi="Times New Roman" w:cs="Times New Roman"/>
          <w:sz w:val="24"/>
          <w:szCs w:val="24"/>
        </w:rPr>
        <w:t>.</w:t>
      </w:r>
    </w:p>
    <w:p w14:paraId="555F9345" w14:textId="43C335B7" w:rsidR="001C2EEB" w:rsidRPr="00C5457C" w:rsidRDefault="001C2EEB"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L</w:t>
      </w:r>
      <w:r w:rsidR="00C85277" w:rsidRPr="00C5457C">
        <w:rPr>
          <w:rFonts w:ascii="Times New Roman" w:hAnsi="Times New Roman" w:cs="Times New Roman"/>
          <w:sz w:val="24"/>
          <w:szCs w:val="24"/>
        </w:rPr>
        <w:t>’association</w:t>
      </w:r>
      <w:r w:rsidRPr="00C5457C">
        <w:rPr>
          <w:rFonts w:ascii="Times New Roman" w:hAnsi="Times New Roman" w:cs="Times New Roman"/>
          <w:sz w:val="24"/>
          <w:szCs w:val="24"/>
        </w:rPr>
        <w:t xml:space="preserve"> de cultures attire les insectes bénéfiques, qui peuvent maintenir la population d'insectes nuisibles en dessous du seuil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{"citationItems":[{"id":"ITEM-1","itemData":{"DOI":"10.30954/2347-9655.01.2019.3","ISSN":"23479655","abstract":"Intercropping system, in general, is growing of two or more crops on the same piece of land simultaneously with a definite row proportions. However, it is very much important to ensure that component crops do not compete with each other for space, natural resources and nutrients. The combination of cereal and legume in intercropping provides a greater scope for minimizing the adverse impact of moisture and nutrient stress in addition to improving system productivity, soil health and ecosystem services. Significant enhancement of system productivity in intercropping can be obtained with enrichment of biodiversity due to cultivation of various crop species and thus encouraging pollinators and microorganisms to harbor in the crop field. Adoption of efficient intercropping system can influence the microbial population dynamics in the soil. Population and activity of N-fixing microorganisms and other beneficial micro flora and fauna are also increased by adoption of cereal-legume intercropping system. Besides, intercropping systems with cereal-legume combination are known to facilitate efficient utilization of nutrients by creating congenial environment. The article emphasizes above and belowground diversity and efficient utilization of nutrients in cereal-legume intercropping system","author":[{"dropping-particle":"","family":"Maitra","given":"Sagar","non-dropping-particle":"","parse-names":false,"suffix":""},{"dropping-particle":"","family":"Ray","given":"Deb Prasad","non-dropping-particle":"","parse-names":false,"suffix":""}],"container-title":"International Journal of Bioresource Science","id":"ITEM-1","issue":"1","issued":{"date-parts":[["2019"]]},"title":"Enrichment of Biodiversity, Influence in Microbial Population Dynamics of Soil and Nutrient Utilization in Cereal-Legume Intercropping Systems: A Review","type":"article-journal","volume":"6"},"uris":["http://www.mendeley.com/documents/?uuid=7389f534-5c44-4b87-9f12-83f770510570"]}],"mendeley":{"formattedCitation":"(Maitra &amp; Ray, 2019)","plainTextFormattedCitation":"(Maitra &amp; Ray, 2019)","previouslyFormattedCitation":"(Maitra and Ray 2019)"},"properties":{"noteIndex":0},"schema":"https://github.com/citation-style-language/schema/raw/master/csl-citation.json"}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(Maitra &amp; Ray, 2019)</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Lorsque le niébé était considéré comme une légumineuse dans la culture intercalaire,</w:t>
      </w:r>
      <w:r w:rsidR="00724764" w:rsidRPr="00C5457C">
        <w:rPr>
          <w:rFonts w:ascii="Times New Roman" w:hAnsi="Times New Roman" w:cs="Times New Roman"/>
          <w:sz w:val="24"/>
          <w:szCs w:val="24"/>
        </w:rPr>
        <w:t xml:space="preserve"> </w:t>
      </w:r>
      <w:r w:rsidR="00724764"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{"citationItems":[{"id":"ITEM-1","itemData":{"ISBN":"9781787284395","author":[{"dropping-particle":"","family":"Omaliko","given":"P.C","non-dropping-particle":"","parse-names":false,"suffix":""}],"id":"ITEM-1","issued":{"date-parts":[["2020"]]},"publisher":"North Carolina Agricultural and Technical State University","title":"Evaluation of Cowpea (Vigna unguiculata) as a Pollinator Enhancer in an Intercropping System","type":"thesis"},"uris":["http://www.mendeley.com/documents/?uuid=f28fe195-bb17-4300-86e1-6034969fc021"]}],"mendeley":{"formattedCitation":"(Omaliko, 2020)","manualFormatting":"Omaliko (2020)","plainTextFormattedCitation":"(Omaliko, 2020)","previouslyFormattedCitation":"(Omaliko 2020)"},"properties":{"noteIndex":0},"schema":"https://github.com/citation-style-language/schema/raw/master/csl-citation.json"}</w:instrText>
      </w:r>
      <w:r w:rsidR="00724764" w:rsidRPr="00C5457C">
        <w:rPr>
          <w:rFonts w:ascii="Times New Roman" w:hAnsi="Times New Roman" w:cs="Times New Roman"/>
          <w:sz w:val="24"/>
          <w:szCs w:val="24"/>
        </w:rPr>
        <w:fldChar w:fldCharType="separate"/>
      </w:r>
      <w:r w:rsidR="00DD399D" w:rsidRPr="00C5457C">
        <w:rPr>
          <w:rFonts w:ascii="Times New Roman" w:hAnsi="Times New Roman" w:cs="Times New Roman"/>
          <w:noProof/>
          <w:sz w:val="24"/>
          <w:szCs w:val="24"/>
        </w:rPr>
        <w:t>Omaliko (2020)</w:t>
      </w:r>
      <w:r w:rsidR="00724764"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a remarqué une plus grande diversité de pollinisateurs. De plus, la diversité du sol est renforcée par la variété de micro-organismes</w:t>
      </w:r>
      <w:r w:rsidR="00036A8F" w:rsidRPr="00C5457C">
        <w:rPr>
          <w:rFonts w:ascii="Times New Roman" w:hAnsi="Times New Roman" w:cs="Times New Roman"/>
          <w:sz w:val="24"/>
          <w:szCs w:val="24"/>
        </w:rPr>
        <w:t xml:space="preserve">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{"citationItems":[{"id":"ITEM-1","itemData":{"DOI":"10.30954/2347-9655.01.2019.3","ISSN":"23479655","abstract":"Intercropping system, in general, is growing of two or more crops on the same piece of land simultaneously with a definite row proportions. However, it is very much important to ensure that component crops do not compete with each other for space, natural resources and nutrients. The combination of cereal and legume in intercropping provides a greater scope for minimizing the adverse impact of moisture and nutrient stress in addition to improving system productivity, soil health and ecosystem services. Significant enhancement of system productivity in intercropping can be obtained with enrichment of biodiversity due to cultivation of various crop species and thus encouraging pollinators and microorganisms to harbor in the crop field. Adoption of efficient intercropping system can influence the microbial population dynamics in the soil. Population and activity of N-fixing microorganisms and other beneficial micro flora and fauna are also increased by adoption of cereal-legume intercropping system. Besides, intercropping systems with cereal-legume combination are known to facilitate efficient utilization of nutrients by creating congenial environment. The article emphasizes above and belowground diversity and efficient utilization of nutrients in cereal-legume intercropping system","author":[{"dropping-particle":"","family":"Maitra","given":"Sagar","non-dropping-particle":"","parse-names":false,"suffix":""},{"dropping-particle":"","family":"Ray","given":"Deb Prasad","non-dropping-particle":"","parse-names":false,"suffix":""}],"container-title":"International Journal of Bioresource Science","id":"ITEM-1","issue":"1","issued":{"date-parts":[["2019"]]},"title":"Enrichment of Biodiversity, Influence in Microbial Population Dynamics of Soil and Nutrient Utilization in Cereal-Legume Intercropping Systems: A Review","type":"article-journal","volume":"6"},"uris":["http://www.mendeley.com/documents/?uuid=7389f534-5c44-4b87-9f12-83f770510570"]}],"mendeley":{"formattedCitation":"(Maitra &amp; Ray, 2019)","plainTextFormattedCitation":"(Maitra &amp; Ray, 2019)","previouslyFormattedCitation":"(Maitra and Ray 2019)"},"properties":{"noteIndex":0},"schema":"https://github.com/citation-style-language/schema/raw/master/csl-citation.json"}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(Maitra &amp; Ray, 2019)</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D03406"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{"citationItems":[{"id":"ITEM-1","itemData":{"DOI":"10.1016/0261-2194(88)90068-3","ISSN":"02612194","abstract":"The effect of mixed cropping of cowpeas with maize on light intensity in the cowpea canopy and on population density of Megalurothrips sjostedti (Trybom) was investigated in the field and in cages. Significantly less (P&lt; 0 · 05) light was intercepted by the cowpea canopy in the cowpea/maize mixed crop than in the cowpea crop alone. The population density and activity of M. sjostedti were significantly less in the mixed crop than in the single crop. There were significant correlations between light interception and differences in the population density of nymphs (r=0 · 79), adults (r=0 · 84) and the overall activity (r=0 · 93) of M. sjostedti. In a screenhouse choice test, M. sjostedti preferred unshaded cowpea plants to shaded ones. The results suggested that reduced light intensity in the cowpea/maize mixture contributes to the relative scarcity of M. sjostedti in the mixture. © 1988.","author":[{"dropping-particle":"","family":"Kyamanywa","given":"Sam","non-dropping-particle":"","parse-names":false,"suffix":""},{"dropping-particle":"","family":"Ampofo","given":"J. K.O.","non-dropping-particle":"","parse-names":false,"suffix":""}],"container-title":"Crop Protection","id":"ITEM-1","issue":"3","issued":{"date-parts":[["1988"]]},"page":"186-189","title":"Effect of cowpea/maize mixed cropping on the incident light at the cowpea canopy and flower thrips (Thysanoptera: Thripidae) population density","type":"article-journal","volume":"7"},"uris":["http://www.mendeley.com/documents/?uuid=73c0ce84-54f3-4801-846b-49dc6c95f4e1"]}],"mendeley":{"formattedCitation":"(Kyamanywa &amp; Ampofo, 1988)","manualFormatting":"Kyamanywa &amp; Ampofo, (1988)","plainTextFormattedCitation":"(Kyamanywa &amp; Ampofo, 1988)","previouslyFormattedCitation":"(Kyamanywa and Ampofo 1988)"},"properties":{"noteIndex":0},"schema":"https://github.com/citation-style-language/schema/raw/master/csl-citation.json"}</w:instrText>
      </w:r>
      <w:r w:rsidR="00D03406" w:rsidRPr="00C5457C">
        <w:rPr>
          <w:rFonts w:ascii="Times New Roman" w:hAnsi="Times New Roman" w:cs="Times New Roman"/>
          <w:sz w:val="24"/>
          <w:szCs w:val="24"/>
        </w:rPr>
        <w:fldChar w:fldCharType="separate"/>
      </w:r>
      <w:r w:rsidR="00D03406" w:rsidRPr="00C5457C">
        <w:rPr>
          <w:rFonts w:ascii="Times New Roman" w:hAnsi="Times New Roman" w:cs="Times New Roman"/>
          <w:noProof/>
          <w:sz w:val="24"/>
          <w:szCs w:val="24"/>
        </w:rPr>
        <w:t>Kyamanywa &amp; Ampofo, (1988)</w:t>
      </w:r>
      <w:r w:rsidR="00D03406"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constaté que les cultures intercalaires avaient moins d'ennemis naturels et moins d'insectes nuisibles, comme cela a été observé dans les cultures intercalaires de maïs avec des haricots et du niébé. La pyrale (</w:t>
      </w:r>
      <w:proofErr w:type="spellStart"/>
      <w:r w:rsidRPr="00C5457C">
        <w:rPr>
          <w:rFonts w:ascii="Times New Roman" w:hAnsi="Times New Roman" w:cs="Times New Roman"/>
          <w:i/>
          <w:iCs/>
          <w:sz w:val="24"/>
          <w:szCs w:val="24"/>
        </w:rPr>
        <w:t>Antigostra</w:t>
      </w:r>
      <w:proofErr w:type="spellEnd"/>
      <w:r w:rsidRPr="00C5457C">
        <w:rPr>
          <w:rFonts w:ascii="Times New Roman" w:hAnsi="Times New Roman" w:cs="Times New Roman"/>
          <w:i/>
          <w:iCs/>
          <w:sz w:val="24"/>
          <w:szCs w:val="24"/>
        </w:rPr>
        <w:t xml:space="preserve"> </w:t>
      </w:r>
      <w:proofErr w:type="spellStart"/>
      <w:r w:rsidRPr="00C5457C">
        <w:rPr>
          <w:rFonts w:ascii="Times New Roman" w:hAnsi="Times New Roman" w:cs="Times New Roman"/>
          <w:i/>
          <w:iCs/>
          <w:sz w:val="24"/>
          <w:szCs w:val="24"/>
        </w:rPr>
        <w:t>sp</w:t>
      </w:r>
      <w:proofErr w:type="spellEnd"/>
      <w:r w:rsidRPr="00C5457C">
        <w:rPr>
          <w:rFonts w:ascii="Times New Roman" w:hAnsi="Times New Roman" w:cs="Times New Roman"/>
          <w:i/>
          <w:iCs/>
          <w:sz w:val="24"/>
          <w:szCs w:val="24"/>
        </w:rPr>
        <w:t>.</w:t>
      </w:r>
      <w:r w:rsidRPr="00C5457C">
        <w:rPr>
          <w:rFonts w:ascii="Times New Roman" w:hAnsi="Times New Roman" w:cs="Times New Roman"/>
          <w:sz w:val="24"/>
          <w:szCs w:val="24"/>
        </w:rPr>
        <w:t>)</w:t>
      </w:r>
      <w:r w:rsidR="0050060F" w:rsidRPr="00C5457C">
        <w:rPr>
          <w:rFonts w:ascii="Times New Roman" w:hAnsi="Times New Roman" w:cs="Times New Roman"/>
          <w:sz w:val="24"/>
          <w:szCs w:val="24"/>
        </w:rPr>
        <w:t xml:space="preserve"> a</w:t>
      </w:r>
      <w:r w:rsidRPr="00C5457C">
        <w:rPr>
          <w:rFonts w:ascii="Times New Roman" w:hAnsi="Times New Roman" w:cs="Times New Roman"/>
          <w:sz w:val="24"/>
          <w:szCs w:val="24"/>
        </w:rPr>
        <w:t xml:space="preserve"> moins détruit le sésame au Nigeria</w:t>
      </w:r>
      <w:r w:rsidR="0050060F" w:rsidRPr="00C5457C">
        <w:rPr>
          <w:rFonts w:ascii="Times New Roman" w:hAnsi="Times New Roman" w:cs="Times New Roman"/>
          <w:sz w:val="24"/>
          <w:szCs w:val="24"/>
        </w:rPr>
        <w:t xml:space="preserve"> lorsqu’il est associé au sorgho</w:t>
      </w:r>
      <w:r w:rsidR="00B64EE4" w:rsidRPr="00C5457C">
        <w:rPr>
          <w:rFonts w:ascii="Times New Roman" w:hAnsi="Times New Roman" w:cs="Times New Roman"/>
          <w:sz w:val="24"/>
          <w:szCs w:val="24"/>
        </w:rPr>
        <w:t xml:space="preserve"> </w:t>
      </w:r>
      <w:r w:rsidR="00B64EE4"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{"citationItems":[{"id":"ITEM-1","itemData":{"DOI":"10.2134/asaspecpub27.c15","ISBN":"9780891182931","abstract":"Multiple cropping allows for crop intensification in two dimensions, vertical and horizontal. In multiple cropping, it is necessary to study pests over the entire cropping period, because the pests of one crop might be influenced by the previous crop as well as by companion crops in intercropping patterns. A portion of pest management research in multiple cropping patterns will be predictive in nature. Development of pest management technology for multiple cropping systems must take into account the resources of the farmer. Many variables and their effects on pests need to be determined as a result of introducing new crop species, replacing varieties, and arranging crops in time and space. Research on pest management in multiple cropping systems should take into consideration crop-crop interactions, be they intercrop, relay, or sequential, and the performance of individual crops.","author":[{"dropping-particle":"","family":"Litsinger","given":"J. A.","non-dropping-particle":"","parse-names":false,"suffix":""},{"dropping-particle":"","family":"Moody","given":"Keith","non-dropping-particle":"","parse-names":false,"suffix":""}],"container-title":"Multiple Cropping","id":"ITEM-1","issued":{"date-parts":[["2015"]]},"page":"293-316","title":"Integrated pest management in multiple cropping systems","type":"article-journal"},"uris":["http://www.mendeley.com/documents/?uuid=d2bdd2a9-eaf3-4853-b6d8-611ef3193f04"]}],"mendeley":{"formattedCitation":"(Litsinger &amp; Moody, 2015)","plainTextFormattedCitation":"(Litsinger &amp; Moody, 2015)","previouslyFormattedCitation":"(Litsinger and Moody 2015)"},"properties":{"noteIndex":0},"schema":"https://github.com/citation-style-language/schema/raw/master/csl-citation.json"}</w:instrText>
      </w:r>
      <w:r w:rsidR="00B64EE4"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(Litsinger &amp; Moody, 2015)</w:t>
      </w:r>
      <w:r w:rsidR="00B64EE4"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Par rapport à leurs </w:t>
      </w:r>
      <w:r w:rsidR="00724764" w:rsidRPr="00C5457C">
        <w:rPr>
          <w:rFonts w:ascii="Times New Roman" w:hAnsi="Times New Roman" w:cs="Times New Roman"/>
          <w:sz w:val="24"/>
          <w:szCs w:val="24"/>
        </w:rPr>
        <w:t>cultures</w:t>
      </w:r>
      <w:r w:rsidRPr="00C5457C">
        <w:rPr>
          <w:rFonts w:ascii="Times New Roman" w:hAnsi="Times New Roman" w:cs="Times New Roman"/>
          <w:sz w:val="24"/>
          <w:szCs w:val="24"/>
        </w:rPr>
        <w:t xml:space="preserve"> pur</w:t>
      </w:r>
      <w:r w:rsidR="00724764" w:rsidRPr="00C5457C">
        <w:rPr>
          <w:rFonts w:ascii="Times New Roman" w:hAnsi="Times New Roman" w:cs="Times New Roman"/>
          <w:sz w:val="24"/>
          <w:szCs w:val="24"/>
        </w:rPr>
        <w:t>e</w:t>
      </w:r>
      <w:r w:rsidRPr="00C5457C">
        <w:rPr>
          <w:rFonts w:ascii="Times New Roman" w:hAnsi="Times New Roman" w:cs="Times New Roman"/>
          <w:sz w:val="24"/>
          <w:szCs w:val="24"/>
        </w:rPr>
        <w:t>s, la polyculture a réduit la population d'</w:t>
      </w:r>
      <w:proofErr w:type="spellStart"/>
      <w:r w:rsidRPr="00C5457C">
        <w:rPr>
          <w:rFonts w:ascii="Times New Roman" w:hAnsi="Times New Roman" w:cs="Times New Roman"/>
          <w:i/>
          <w:iCs/>
          <w:sz w:val="24"/>
          <w:szCs w:val="24"/>
        </w:rPr>
        <w:t>Empoasca</w:t>
      </w:r>
      <w:proofErr w:type="spellEnd"/>
      <w:r w:rsidRPr="00C5457C">
        <w:rPr>
          <w:rFonts w:ascii="Times New Roman" w:hAnsi="Times New Roman" w:cs="Times New Roman"/>
          <w:i/>
          <w:iCs/>
          <w:sz w:val="24"/>
          <w:szCs w:val="24"/>
        </w:rPr>
        <w:t xml:space="preserve"> </w:t>
      </w:r>
      <w:proofErr w:type="spellStart"/>
      <w:r w:rsidRPr="00C5457C">
        <w:rPr>
          <w:rFonts w:ascii="Times New Roman" w:hAnsi="Times New Roman" w:cs="Times New Roman"/>
          <w:i/>
          <w:iCs/>
          <w:sz w:val="24"/>
          <w:szCs w:val="24"/>
        </w:rPr>
        <w:t>krameri</w:t>
      </w:r>
      <w:proofErr w:type="spellEnd"/>
      <w:r w:rsidRPr="00C5457C">
        <w:rPr>
          <w:rFonts w:ascii="Times New Roman" w:hAnsi="Times New Roman" w:cs="Times New Roman"/>
          <w:sz w:val="24"/>
          <w:szCs w:val="24"/>
        </w:rPr>
        <w:t xml:space="preserve"> de 26 % dans les haricots et de </w:t>
      </w:r>
      <w:proofErr w:type="spellStart"/>
      <w:r w:rsidRPr="00C5457C">
        <w:rPr>
          <w:rFonts w:ascii="Times New Roman" w:hAnsi="Times New Roman" w:cs="Times New Roman"/>
          <w:i/>
          <w:iCs/>
          <w:sz w:val="24"/>
          <w:szCs w:val="24"/>
        </w:rPr>
        <w:t>Spodoptera</w:t>
      </w:r>
      <w:proofErr w:type="spellEnd"/>
      <w:r w:rsidRPr="00C5457C">
        <w:rPr>
          <w:rFonts w:ascii="Times New Roman" w:hAnsi="Times New Roman" w:cs="Times New Roman"/>
          <w:sz w:val="24"/>
          <w:szCs w:val="24"/>
        </w:rPr>
        <w:t xml:space="preserve"> de 14 % dans le maïs en culture intercalaire </w:t>
      </w:r>
      <w:r w:rsidR="00DD399D"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{"citationItems":[{"id":"ITEM-1","itemData":{"DOI":"10.1016/0378-4290(78)90005-9","ISSN":"03784290","abstract":"Tropical agroecosystems often include two or more crops arranged in diverse polycultural patterns. Experimental evaluation of the pest situation in polycultural systems was carried out in several field experiments at CIAT (Centro Internacional de Agricultura Tropical, Palmira, Colombia) with maize and beans in monoculture and polyculture. Beans grown as maize/bean polycultures had 26% fewer Empoasca kraemeri Ross and Moore adults than monoculture beans. Similarly the populations of Diabrotica balteata Le Comte were 45% less in polycultures. Spodoptera frugiperda (Smith) incidence as cutworm in maize was reduced 14% in polycultures. Also these systems had 23% less infestation of fall armyworm as whorl feeder. Date of planting affects pest interactions in these systems. For example, maize planted 30 and 20 days earlier than beans reduced leafhoppers on beans by 66% as compared to simultaneous planting. Fall armyworm damage on maize was reduced 88% when beans were planted 20 to 40 days earlier than the maize. Diversification of monocultural systems with other crops, especially non-host plants, seems to be one effective strategy in tropical pest management. Further research will provide a basis for incorporating practical pest control schemes into the most important intercropping systems in the tropics. © 1978.","author":[{"dropping-particle":"","family":"Altieri","given":"Miguel Angel","non-dropping-particle":"","parse-names":false,"suffix":""},{"dropping-particle":"","family":"Francis","given":"Charles A.","non-dropping-particle":"","parse-names":false,"suffix":""},{"dropping-particle":"","family":"Schoonhoven","given":"Aart","non-dropping-particle":"Van","parse-names":false,"suffix":""},{"dropping-particle":"","family":"Doll","given":"Jerry D.","non-dropping-particle":"","parse-names":false,"suffix":""}],"container-title":"Field Crops Research","id":"ITEM-1","issue":"C","issued":{"date-parts":[["1978"]]},"page":"33-49","title":"A review of insect prevalence in maize (Zea mays L.) and bean (Phaseolus vulgaris L.) polycultural systems","type":"article-journal","volume":"1"},"uris":["http://www.mendeley.com/documents/?uuid=9b4b462e-8e03-4922-bb46-85e0fae0c893"]}],"mendeley":{"formattedCitation":"(Altieri et al., 1978)","plainTextFormattedCitation":"(Altieri et al., 1978)","previouslyFormattedCitation":"(Altieri et al. 1978)"},"properties":{"noteIndex":0},"schema":"https://github.com/citation-style-language/schema/raw/master/csl-citation.json"}</w:instrText>
      </w:r>
      <w:r w:rsidR="00DD399D"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(Altieri et al., 1978)</w:t>
      </w:r>
      <w:r w:rsidR="00DD399D"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Lorsque le niébé est cultivé en </w:t>
      </w:r>
      <w:r w:rsidR="00882F59" w:rsidRPr="00C5457C">
        <w:rPr>
          <w:rFonts w:ascii="Times New Roman" w:hAnsi="Times New Roman" w:cs="Times New Roman"/>
          <w:sz w:val="24"/>
          <w:szCs w:val="24"/>
        </w:rPr>
        <w:t>association</w:t>
      </w:r>
      <w:r w:rsidR="00FD60E3" w:rsidRPr="00C5457C">
        <w:rPr>
          <w:rFonts w:ascii="Times New Roman" w:hAnsi="Times New Roman" w:cs="Times New Roman"/>
          <w:sz w:val="24"/>
          <w:szCs w:val="24"/>
        </w:rPr>
        <w:t xml:space="preserve">  </w:t>
      </w:r>
      <w:r w:rsidRPr="00C5457C">
        <w:rPr>
          <w:rFonts w:ascii="Times New Roman" w:hAnsi="Times New Roman" w:cs="Times New Roman"/>
          <w:sz w:val="24"/>
          <w:szCs w:val="24"/>
        </w:rPr>
        <w:t xml:space="preserve"> avec le coton, la population de ravageurs suceurs diminue </w:t>
      </w:r>
      <w:r w:rsidR="009434E9" w:rsidRPr="00C5457C">
        <w:rPr>
          <w:rFonts w:ascii="Times New Roman" w:hAnsi="Times New Roman" w:cs="Times New Roman"/>
          <w:sz w:val="24"/>
          <w:szCs w:val="24"/>
        </w:rPr>
        <w:t>(</w:t>
      </w:r>
      <w:proofErr w:type="spellStart"/>
      <w:r w:rsidR="009434E9" w:rsidRPr="00C5457C">
        <w:rPr>
          <w:rFonts w:ascii="Times New Roman" w:hAnsi="Times New Roman" w:cs="Times New Roman"/>
          <w:sz w:val="24"/>
          <w:szCs w:val="24"/>
        </w:rPr>
        <w:t>Chikte</w:t>
      </w:r>
      <w:proofErr w:type="spellEnd"/>
      <w:r w:rsidR="009434E9" w:rsidRPr="00C5457C">
        <w:rPr>
          <w:rFonts w:ascii="Times New Roman" w:hAnsi="Times New Roman" w:cs="Times New Roman"/>
          <w:sz w:val="24"/>
          <w:szCs w:val="24"/>
        </w:rPr>
        <w:t xml:space="preserve"> et al., 2008)</w:t>
      </w:r>
      <w:r w:rsidRPr="00C5457C">
        <w:rPr>
          <w:rFonts w:ascii="Times New Roman" w:hAnsi="Times New Roman" w:cs="Times New Roman"/>
          <w:sz w:val="24"/>
          <w:szCs w:val="24"/>
        </w:rPr>
        <w:t xml:space="preserve"> et le foreur des tiges (</w:t>
      </w:r>
      <w:proofErr w:type="spellStart"/>
      <w:r w:rsidRPr="00C5457C">
        <w:rPr>
          <w:rFonts w:ascii="Times New Roman" w:hAnsi="Times New Roman" w:cs="Times New Roman"/>
          <w:i/>
          <w:iCs/>
          <w:sz w:val="24"/>
          <w:szCs w:val="24"/>
        </w:rPr>
        <w:t>Chilo</w:t>
      </w:r>
      <w:proofErr w:type="spellEnd"/>
      <w:r w:rsidRPr="00C5457C">
        <w:rPr>
          <w:rFonts w:ascii="Times New Roman" w:hAnsi="Times New Roman" w:cs="Times New Roman"/>
          <w:i/>
          <w:iCs/>
          <w:sz w:val="24"/>
          <w:szCs w:val="24"/>
        </w:rPr>
        <w:t xml:space="preserve"> </w:t>
      </w:r>
      <w:proofErr w:type="spellStart"/>
      <w:r w:rsidRPr="00C5457C">
        <w:rPr>
          <w:rFonts w:ascii="Times New Roman" w:hAnsi="Times New Roman" w:cs="Times New Roman"/>
          <w:i/>
          <w:iCs/>
          <w:sz w:val="24"/>
          <w:szCs w:val="24"/>
        </w:rPr>
        <w:t>zacconius</w:t>
      </w:r>
      <w:proofErr w:type="spellEnd"/>
      <w:r w:rsidRPr="00C5457C">
        <w:rPr>
          <w:rFonts w:ascii="Times New Roman" w:hAnsi="Times New Roman" w:cs="Times New Roman"/>
          <w:sz w:val="24"/>
          <w:szCs w:val="24"/>
        </w:rPr>
        <w:t>) et la punaise verte (</w:t>
      </w:r>
      <w:proofErr w:type="spellStart"/>
      <w:r w:rsidRPr="00C5457C">
        <w:rPr>
          <w:rFonts w:ascii="Times New Roman" w:hAnsi="Times New Roman" w:cs="Times New Roman"/>
          <w:i/>
          <w:iCs/>
          <w:sz w:val="24"/>
          <w:szCs w:val="24"/>
        </w:rPr>
        <w:t>Nezara</w:t>
      </w:r>
      <w:proofErr w:type="spellEnd"/>
      <w:r w:rsidRPr="00C5457C">
        <w:rPr>
          <w:rFonts w:ascii="Times New Roman" w:hAnsi="Times New Roman" w:cs="Times New Roman"/>
          <w:i/>
          <w:iCs/>
          <w:sz w:val="24"/>
          <w:szCs w:val="24"/>
        </w:rPr>
        <w:t xml:space="preserve"> </w:t>
      </w:r>
      <w:proofErr w:type="spellStart"/>
      <w:r w:rsidRPr="00C5457C">
        <w:rPr>
          <w:rFonts w:ascii="Times New Roman" w:hAnsi="Times New Roman" w:cs="Times New Roman"/>
          <w:i/>
          <w:iCs/>
          <w:sz w:val="24"/>
          <w:szCs w:val="24"/>
        </w:rPr>
        <w:t>viridula</w:t>
      </w:r>
      <w:proofErr w:type="spellEnd"/>
      <w:r w:rsidRPr="00C5457C">
        <w:rPr>
          <w:rFonts w:ascii="Times New Roman" w:hAnsi="Times New Roman" w:cs="Times New Roman"/>
          <w:sz w:val="24"/>
          <w:szCs w:val="24"/>
        </w:rPr>
        <w:t>) sont contrôlés</w:t>
      </w:r>
      <w:r w:rsidR="009434E9" w:rsidRPr="00C5457C">
        <w:rPr>
          <w:rFonts w:ascii="Times New Roman" w:hAnsi="Times New Roman" w:cs="Times New Roman"/>
          <w:sz w:val="24"/>
          <w:szCs w:val="24"/>
        </w:rPr>
        <w:t xml:space="preserve"> </w:t>
      </w:r>
      <w:r w:rsidR="009434E9"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{"citationItems":[{"id":"ITEM-1","itemData":{"abstract":"We conducted a 3 x 4 factorial experiment fitted into a randomized complete block design, using three intercrops: cowpea (Vigna unguiculata L. Walp) at 0, 50,000, 100,000, 150,000 plants/ha; groundnut (Arachis hypogea L.) at 100,000, 200,000, 300,000 plants/ha; and egusi-melon (Colocynthis vulgaris L.) at 10,000, 20,000, and 30,000 plants/ha to evaluate their influence on incidence of stem borer (Chilo zacconius) (Blesz) and the green stink bug (Nezara viridula (L.)) in upland rice (Oryza sativa L.) .The experiment was conducted during the wet and dry seasons of 2004. Rice/cowpea recorded the highest incidence of N. viridula (3.1, 3.3%) compared to rice/groundnut (1.3, 1.3%) and rice/egusi, (1.8, 1.8%) during the wet and dry seasons respectively. Intercrop with groundnut significantly (p 0.05) reduced stem borer (C. zacconius) incidence to 7.4 and 13.2% respectively for wet and dry season cultivation compared with the control (12.0 and 18.0%). Rice and groundnut (100,000 -200,000 plants/ha) intercrop is recommended for reduced incidence of C. zacconius and N. viridula. This result demonstrates that a careful selection of crop combination and plant population could lead to reduced insect pests' incidence in upland rice.","author":[{"dropping-particle":"","family":"Epidi","given":"T T","non-dropping-particle":"","parse-names":false,"suffix":""},{"dropping-particle":"","family":"Bassey","given":"A E","non-dropping-particle":"","parse-names":false,"suffix":""},{"dropping-particle":"","family":"Zuofa","given":"K","non-dropping-particle":"","parse-names":false,"suffix":""}],"container-title":"African Journal of Environmental Science and Technology","id":"ITEM-1","issue":"12","issued":{"date-parts":[["2008"]]},"page":"438-441","title":"Influence of intercrops on pests' populations in upland rice (Oriza sativa L.)","type":"article-journal","volume":"2"},"uris":["http://www.mendeley.com/documents/?uuid=6cae8e44-1913-4fac-acb1-844c86e3a0cf"]}],"mendeley":{"formattedCitation":"(Epidi et al., 2008)","plainTextFormattedCitation":"(Epidi et al., 2008)","previouslyFormattedCitation":"(Epidi, Bassey, and Zuofa 2008)"},"properties":{"noteIndex":0},"schema":"https://github.com/citation-style-language/schema/raw/master/csl-citation.json"}</w:instrText>
      </w:r>
      <w:r w:rsidR="009434E9"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(Epidi et al., 2008)</w:t>
      </w:r>
      <w:r w:rsidR="009434E9" w:rsidRPr="00C5457C">
        <w:rPr>
          <w:rFonts w:ascii="Times New Roman" w:hAnsi="Times New Roman" w:cs="Times New Roman"/>
          <w:sz w:val="24"/>
          <w:szCs w:val="24"/>
        </w:rPr>
        <w:fldChar w:fldCharType="end"/>
      </w:r>
      <w:r w:rsidRPr="00C5457C">
        <w:rPr>
          <w:rFonts w:ascii="Times New Roman" w:hAnsi="Times New Roman" w:cs="Times New Roman"/>
          <w:sz w:val="24"/>
          <w:szCs w:val="24"/>
        </w:rPr>
        <w:t>.</w:t>
      </w:r>
    </w:p>
    <w:p w14:paraId="4C6EA208" w14:textId="10905491" w:rsidR="00BA407D" w:rsidRPr="00C5457C" w:rsidRDefault="00C06591" w:rsidP="00C5457C">
      <w:pPr>
        <w:pStyle w:val="Titre3"/>
        <w:spacing w:line="360" w:lineRule="auto"/>
        <w:jc w:val="both"/>
        <w:rPr>
          <w:rFonts w:ascii="Times New Roman" w:hAnsi="Times New Roman" w:cs="Times New Roman"/>
        </w:rPr>
      </w:pPr>
      <w:r w:rsidRPr="00C5457C">
        <w:rPr>
          <w:rFonts w:ascii="Times New Roman" w:hAnsi="Times New Roman" w:cs="Times New Roman"/>
        </w:rPr>
        <w:t>Application de résidus de culture (</w:t>
      </w:r>
      <w:proofErr w:type="spellStart"/>
      <w:r w:rsidRPr="00C5457C">
        <w:rPr>
          <w:rFonts w:ascii="Times New Roman" w:hAnsi="Times New Roman" w:cs="Times New Roman"/>
        </w:rPr>
        <w:t>mulching</w:t>
      </w:r>
      <w:proofErr w:type="spellEnd"/>
      <w:r w:rsidRPr="00C5457C">
        <w:rPr>
          <w:rFonts w:ascii="Times New Roman" w:hAnsi="Times New Roman" w:cs="Times New Roman"/>
        </w:rPr>
        <w:t>)</w:t>
      </w:r>
    </w:p>
    <w:p w14:paraId="56409340" w14:textId="054D57EA" w:rsidR="00B819F6" w:rsidRPr="00C5457C" w:rsidRDefault="00A6573F"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Le paill</w:t>
      </w:r>
      <w:r w:rsidR="00311018" w:rsidRPr="00C5457C">
        <w:rPr>
          <w:rFonts w:ascii="Times New Roman" w:hAnsi="Times New Roman" w:cs="Times New Roman"/>
          <w:sz w:val="24"/>
          <w:szCs w:val="24"/>
        </w:rPr>
        <w:t>age</w:t>
      </w:r>
      <w:r w:rsidRPr="00C5457C">
        <w:rPr>
          <w:rFonts w:ascii="Times New Roman" w:hAnsi="Times New Roman" w:cs="Times New Roman"/>
          <w:sz w:val="24"/>
          <w:szCs w:val="24"/>
        </w:rPr>
        <w:t>, également connu sous le nom de mulch (mot anglais), est utilisé</w:t>
      </w:r>
      <w:r w:rsidR="00311018" w:rsidRPr="00C5457C">
        <w:rPr>
          <w:rFonts w:ascii="Times New Roman" w:hAnsi="Times New Roman" w:cs="Times New Roman"/>
          <w:sz w:val="24"/>
          <w:szCs w:val="24"/>
        </w:rPr>
        <w:t xml:space="preserve"> pour recouvrir la surface du sol autour des plantes avec du paillis</w:t>
      </w:r>
      <w:r w:rsidR="009452EB" w:rsidRPr="00C5457C">
        <w:rPr>
          <w:rFonts w:ascii="Times New Roman" w:hAnsi="Times New Roman" w:cs="Times New Roman"/>
          <w:sz w:val="24"/>
          <w:szCs w:val="24"/>
        </w:rPr>
        <w:t xml:space="preserve"> (au moment de la récolte d'une culture principale)</w:t>
      </w:r>
      <w:r w:rsidR="00311018" w:rsidRPr="00C5457C">
        <w:rPr>
          <w:rFonts w:ascii="Times New Roman" w:hAnsi="Times New Roman" w:cs="Times New Roman"/>
          <w:sz w:val="24"/>
          <w:szCs w:val="24"/>
        </w:rPr>
        <w:t xml:space="preserve"> afin de créer des conditions favorables à la croissance des plantes et à une bonne production agricole </w:t>
      </w:r>
      <w:r w:rsidR="00311018"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{"citationItems":[{"id":"ITEM-1","itemData":{"DOI":"10.1016/S0168-1923(99)00081-7","ISSN":"01681923","abstract":"To document the long-term energy and water budget of a fallow land, a complete dataset was collected in the south-west of France. It included climatic data, surface fluxes, vegetation evolution and soil moisture monitoring. The soil hydrodynamic and thermal properties were also determined in situ and through laboratory measurements. The experiment was conducted during 3 years (1995-1997) on a 20 ha field. A natural plant-residue mulch layer was constantly covering the field. Its thickness artificially increased in June 1995 when the farmer unexpectedly cut the grass and left the residue on the ground. Two versions of the simple soil plant atmosphere transfer (SiSPAT) model were compared using the 1995 dataset: the original version which did not take into account the mulch layer; and a modified version where explicit modelling of the mulch was included (SiSPAT-mulch). The prediction of soil temperature, surface fluxes and surface soil moisture was improved when considering a mulch layer. Annual surface evaporation was divided by a factor two to four and transpiration increased by 30-50% when considering the mulch layer. Annual total evaporation decreases by 4-10% according to mulch characteristics, leading to a better simulation of the annual and daily water balance of the site. A sensitivity analysis investigated the robustness of these results and possible causes of inaccuracies on half hour values.","author":[{"dropping-particle":"","family":"Enrique","given":"Gonzalez Sosa","non-dropping-particle":"","parse-names":false,"suffix":""},{"dropping-particle":"","family":"Braud","given":"Isabelle","non-dropping-particle":"","parse-names":false,"suffix":""},{"dropping-particle":"","family":"Jean-Louis","given":"Thony","non-dropping-particle":"","parse-names":false,"suffix":""},{"dropping-particle":"","family":"Michel","given":"Vauclin","non-dropping-particle":"","parse-names":false,"suffix":""},{"dropping-particle":"","family":"Pierre","given":"Bessemoulin","non-dropping-particle":"","parse-names":false,"suffix":""},{"dropping-particle":"","family":"Jean-Christophe","given":"Calvet","non-dropping-particle":"","parse-names":false,"suffix":""}],"container-title":"Agricultural and Forest Meteorology","id":"ITEM-1","issue":"3","issued":{"date-parts":[["1999"]]},"page":"151-169","title":"Modelling heat and water exchanges of fallow land covered with plant-residue mulch","type":"article-journal","volume":"97"},"uris":["http://www.mendeley.com/documents/?uuid=533802d5-b143-4dbe-8c25-2ed723506dfd"]},{"id":"ITEM-2","itemData":{"DOI":"10.1016/j.agwat.2008.06.001","ISSN":"03783774","abstract":"Mulching is one of the important agronomic practices in conserving the soil moisture and modifying the soil physical environment. Wheat, the second most important cereal crop in India, is sensitive to soil moisture stress. Field experiments were conducted during winter seasons of 2004-2005 and 2005-2006 in a sandy loam soil to evaluate the soil and plant water status in wheat under synthetic (transparent and black polyethylene) and organic (rice husk) mulches with limited irrigation and compared with adequate irrigation with no mulch (conventional practices by the farmers). Though all the mulch treatments improved the soil moisture status, rice husk was found to be superior in maintaining optimum soil moisture condition for crop use. The residual soil moisture was also minimum, indicating effective utilization of moisture by the crop under RH. The plant water status, as evaluated by relative water content and leaf water potential were favourable under RH. Specific leaf weight, root length density and dry biomass were also greater in this treatment. Optimum soil and canopy thermal environment of wheat with limited fluctuations were observed under RH, even during dry periods. This produced comparable yield with less water use, enhancing the water use efficiency. Therefore, it may be concluded that under limited irrigation condition, RH mulching will be beneficial for wheat as it is able to maintain better soil and plant water status, leading to higher grain yield and enhanced water use efficiency. © 2008 Elsevier B.V. All rights reserved.","author":[{"dropping-particle":"","family":"Chakraborty","given":"Debashis","non-dropping-particle":"","parse-names":false,"suffix":""},{"dropping-particle":"","family":"Nagarajan","given":"Shantha","non-dropping-particle":"","parse-names":false,"suffix":""},{"dropping-particle":"","family":"Aggarwal","given":"Pramila","non-dropping-particle":"","parse-names":false,"suffix":""},{"dropping-particle":"","family":"Gupta","given":"V. K.","non-dropping-particle":"","parse-names":false,"suffix":""},{"dropping-particle":"","family":"Tomar","given":"R. K.","non-dropping-particle":"","parse-names":false,"suffix":""},{"dropping-particle":"","family":"Garg","given":"R. N.","non-dropping-particle":"","parse-names":false,"suffix":""},{"dropping-particle":"","family":"Sahoo","given":"R. N.","non-dropping-particle":"","parse-names":false,"suffix":""},{"dropping-particle":"","family":"Sarkar","given":"A.","non-dropping-particle":"","parse-names":false,"suffix":""},{"dropping-particle":"","family":"Chopra","given":"U. K.","non-dropping-particle":"","parse-names":false,"suffix":""},{"dropping-particle":"","family":"Sarma","given":"K. S.Sundara","non-dropping-particle":"","parse-names":false,"suffix":""},{"dropping-particle":"","family":"Kalra","given":"N.","non-dropping-particle":"","parse-names":false,"suffix":""}],"container-title":"Agricultural Water Management","id":"ITEM-2","issue":"12","issued":{"date-parts":[["2008"]]},"page":"1323-1334","title":"Effect of mulching on soil and plant water status, and the growth and yield of wheat (Triticum aestivum L.) in a semi-arid environment","type":"article-journal","volume":"95"},"uris":["http://www.mendeley.com/documents/?uuid=5cfb83fb-a74d-4176-baa2-0eeefdc4dd9b"]}],"mendeley":{"formattedCitation":"(Chakraborty et al., 2008; Enrique et al., 1999)","plainTextFormattedCitation":"(Chakraborty et al., 2008; Enrique et al., 1999)","previouslyFormattedCitation":"(Chakraborty et al. 2008; Enrique et al. 1999)"},"properties":{"noteIndex":0},"schema":"https://github.com/citation-style-language/schema/raw/master/csl-citation.json"}</w:instrText>
      </w:r>
      <w:r w:rsidR="00311018"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(Chakraborty et al., 2008; Enrique et al., 1999)</w:t>
      </w:r>
      <w:r w:rsidR="00311018" w:rsidRPr="00C5457C">
        <w:rPr>
          <w:rFonts w:ascii="Times New Roman" w:hAnsi="Times New Roman" w:cs="Times New Roman"/>
          <w:sz w:val="24"/>
          <w:szCs w:val="24"/>
        </w:rPr>
        <w:fldChar w:fldCharType="end"/>
      </w:r>
      <w:r w:rsidR="00311018" w:rsidRPr="00C5457C">
        <w:rPr>
          <w:rFonts w:ascii="Times New Roman" w:hAnsi="Times New Roman" w:cs="Times New Roman"/>
          <w:sz w:val="24"/>
          <w:szCs w:val="24"/>
        </w:rPr>
        <w:t>.</w:t>
      </w:r>
      <w:r w:rsidR="00640040" w:rsidRPr="00C5457C">
        <w:rPr>
          <w:rFonts w:ascii="Times New Roman" w:hAnsi="Times New Roman" w:cs="Times New Roman"/>
          <w:sz w:val="24"/>
          <w:szCs w:val="24"/>
        </w:rPr>
        <w:t xml:space="preserve"> </w:t>
      </w:r>
      <w:r w:rsidR="004F7C78" w:rsidRPr="00C5457C">
        <w:rPr>
          <w:rFonts w:ascii="Times New Roman" w:hAnsi="Times New Roman" w:cs="Times New Roman"/>
          <w:sz w:val="24"/>
          <w:szCs w:val="24"/>
        </w:rPr>
        <w:t>En Afrique de l’ouest, la paille d</w:t>
      </w:r>
      <w:r w:rsidR="005A1D6F" w:rsidRPr="00C5457C">
        <w:rPr>
          <w:rFonts w:ascii="Times New Roman" w:hAnsi="Times New Roman" w:cs="Times New Roman"/>
          <w:sz w:val="24"/>
          <w:szCs w:val="24"/>
        </w:rPr>
        <w:t>u</w:t>
      </w:r>
      <w:r w:rsidR="004F7C78" w:rsidRPr="00C5457C">
        <w:rPr>
          <w:rFonts w:ascii="Times New Roman" w:hAnsi="Times New Roman" w:cs="Times New Roman"/>
          <w:sz w:val="24"/>
          <w:szCs w:val="24"/>
        </w:rPr>
        <w:t xml:space="preserve"> mil</w:t>
      </w:r>
      <w:r w:rsidR="00B27BB6" w:rsidRPr="00C5457C">
        <w:rPr>
          <w:rFonts w:ascii="Times New Roman" w:hAnsi="Times New Roman" w:cs="Times New Roman"/>
          <w:sz w:val="24"/>
          <w:szCs w:val="24"/>
        </w:rPr>
        <w:t>let</w:t>
      </w:r>
      <w:r w:rsidR="004F7C78" w:rsidRPr="00C5457C">
        <w:rPr>
          <w:rFonts w:ascii="Times New Roman" w:hAnsi="Times New Roman" w:cs="Times New Roman"/>
          <w:sz w:val="24"/>
          <w:szCs w:val="24"/>
        </w:rPr>
        <w:t xml:space="preserve"> laissée à la surface du sol est connue pour protéger les jeunes semis du vent de sable qui précède chaque tempête </w:t>
      </w:r>
      <w:r w:rsidR="004F7C78"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{"citationItems":[{"id":"ITEM-1","itemData":{"DOI":"10.1007/BF01048993","ISSN":"01671731","abstract":"In the West African semi-arid tropics (WASAT), continuous cultivation leads to drastically reduced levels of soil organic matter. Such reductions in the level of soil organic matter have resulted in decreased soil productivity. The addition of organic materials either in the form of manures or crop residue has beneficial effects on the soils' chemical and physical properties. For many of the countries in this region, the amounts of nutrients in crops and crop residue are often several orders of magnitude higher than the quantity of the same nutrients applied as fertilizers. The return of the crop residue for soil fertility improvement cannot be overstressed. It is essential that more information on the rates of organic matter decomposition as well as the many reactions between products of organic matter decomposition and the soil under WASAT conditions be made available. © 1991 Kluwer Academic Publishers.","author":[{"dropping-particle":"","family":"Bationo","given":"A.","non-dropping-particle":"","parse-names":false,"suffix":""},{"dropping-particle":"","family":"Mokwunye","given":"A. U.","non-dropping-particle":"","parse-names":false,"suffix":""}],"container-title":"Fertilizer Research","id":"ITEM-1","issue":"1","issued":{"date-parts":[["1991"]]},"page":"117-125","title":"Role of manures and crop residue in alleviating soil fertility constraints to crop production: With special reference to the Sahelian and Sudanian zones of West Africa","type":"article-journal","volume":"29"},"uris":["http://www.mendeley.com/documents/?uuid=b43ff56d-6bb5-4d14-bb50-45f6471a9ad8"]}],"mendeley":{"formattedCitation":"(Bationo &amp; Mokwunye, 1991)","plainTextFormattedCitation":"(Bationo &amp; Mokwunye, 1991)","previouslyFormattedCitation":"(Bationo and Mokwunye 1991)"},"properties":{"noteIndex":0},"schema":"https://github.com/citation-style-language/schema/raw/master/csl-citation.json"}</w:instrText>
      </w:r>
      <w:r w:rsidR="004F7C78"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(Bationo &amp; Mokwunye, 1991)</w:t>
      </w:r>
      <w:r w:rsidR="004F7C78" w:rsidRPr="00C5457C">
        <w:rPr>
          <w:rFonts w:ascii="Times New Roman" w:hAnsi="Times New Roman" w:cs="Times New Roman"/>
          <w:sz w:val="24"/>
          <w:szCs w:val="24"/>
        </w:rPr>
        <w:fldChar w:fldCharType="end"/>
      </w:r>
      <w:r w:rsidR="004F7C78" w:rsidRPr="00C5457C">
        <w:rPr>
          <w:rFonts w:ascii="Times New Roman" w:hAnsi="Times New Roman" w:cs="Times New Roman"/>
          <w:sz w:val="24"/>
          <w:szCs w:val="24"/>
        </w:rPr>
        <w:t xml:space="preserve">. </w:t>
      </w:r>
      <w:r w:rsidR="00E0663C" w:rsidRPr="00C5457C">
        <w:rPr>
          <w:rFonts w:ascii="Times New Roman" w:hAnsi="Times New Roman" w:cs="Times New Roman"/>
          <w:sz w:val="24"/>
          <w:szCs w:val="24"/>
        </w:rPr>
        <w:t>Le paillage optimise l'utilisation de l'eau</w:t>
      </w:r>
      <w:r w:rsidR="00855E9D" w:rsidRPr="00C5457C">
        <w:rPr>
          <w:rFonts w:ascii="Times New Roman" w:hAnsi="Times New Roman" w:cs="Times New Roman"/>
          <w:sz w:val="24"/>
          <w:szCs w:val="24"/>
        </w:rPr>
        <w:t>, améliore la fertilité du sol</w:t>
      </w:r>
      <w:r w:rsidR="00E0663C" w:rsidRPr="00C5457C">
        <w:rPr>
          <w:rFonts w:ascii="Times New Roman" w:hAnsi="Times New Roman" w:cs="Times New Roman"/>
          <w:sz w:val="24"/>
          <w:szCs w:val="24"/>
        </w:rPr>
        <w:t xml:space="preserve"> tout en augmentant la croissance et le rendement des cultures</w:t>
      </w:r>
      <w:r w:rsidR="00855E9D" w:rsidRPr="00C5457C">
        <w:rPr>
          <w:rFonts w:ascii="Times New Roman" w:hAnsi="Times New Roman" w:cs="Times New Roman"/>
          <w:sz w:val="24"/>
          <w:szCs w:val="24"/>
        </w:rPr>
        <w:t xml:space="preserve"> </w:t>
      </w:r>
      <w:r w:rsidR="00855E9D"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{"citationItems":[{"id":"ITEM-1","itemData":{"DOI":"10.18006/2022.10(4).697.712","ISSN":"23208694","abstract":"The logarithmic phase of the human population creates high food demand near the future throughout the world. On the flip side, improved crop production requires uninterrupted water irrigation. Therefore, sensible agricultural inputs are needed to overcome these concerns. New technology-based innovative agronomic research steps will boost the contemporary agriculture practices in developed and developing countries. Agricultural cropping systems could follow mulching practices as one of the best crop management practices for its water and nutrient management potential. It is primarily to accomplish healthy economic and environmental bonds. By covering the soil's surface with biodegradable resources such as organic and inorganic materials, mulching improves the physicochemical characteristics of the soil. This approach provides a favorable environment for the development of plant growth and fosters the activities of microbial communities. Additionally, it reduces the growth of weeds, manages erosion, gets rid of pesticide residue, and increases soil fertility. Mulching the soil surface has profound benefits in improving the soil moisture levels due to a reduced evaporation rate. This method is a practical agronomic entrance to reduce water scarcity and raise the chance of water conservation, notably in arid and semiarid regions. It can also boost crop security and production to meet the global food requirements. This review significantly focuses on the current influence and advantages of organic mulches for crop establishment in the agriculture sector, which can close the production gap between achievable and actual yield.","author":[{"dropping-particle":"","family":"Ravichandran","given":"Mythili","non-dropping-particle":"","parse-names":false,"suffix":""},{"dropping-particle":"","family":"Samiappan","given":"Sumathi C.","non-dropping-particle":"","parse-names":false,"suffix":""},{"dropping-particle":"","family":"Pandiyan","given":"Rajesh","non-dropping-particle":"","parse-names":false,"suffix":""},{"dropping-particle":"","family":"Velu","given":"Rajesh Kannan","non-dropping-particle":"","parse-names":false,"suffix":""}],"container-title":"Journal of Experimental Biology and Agricultural Sciences","id":"ITEM-1","issue":"4","issued":{"date-parts":[["2022"]]},"page":"697-712","title":"Improvement of crop and soil management practices through mulching for enhancement of soil fertility and environmental sustainability: A review","type":"article-journal","volume":"10"},"uris":["http://www.mendeley.com/documents/?uuid=fd791a90-d9b4-4052-a63b-70a8712405e7"]},{"id":"ITEM-2","itemData":{"DOI":"10.1186/s42269-019-0186-7","abstract":"Agricultural water resources have been limited over the years due to global warming and irregular rainfall in the arid and semi-arid regions. To mitigate the water stress in agriculture, mulching has a crucial impact as a water-saving technique in rain-fed crop cultivation. It is important mainly for preserving soil moisture, relegating soil temperature, and limiting soil evaporation, which affects the crop yield. Mulching has many strategic effects on soil ecosystem, crop growth, and climate. Mulch insulates the soil, helping to provide a buffer from cold and hot temperatures that have a crucial activity in creating beautiful and protected landscapes. This study has accumulated a series of information about both organic and plastic mulch materials and its applicability on crop cultivation. Moreover, future research potentials of mulching with modeling were discussed to quantify water loss in agriculture.","author":[{"dropping-particle":"","family":"Kader","given":"Mohammad Abdul","non-dropping-particle":"","parse-names":false,"suffix":""},{"dropping-particle":"","family":"Singha","given":"Ashutus","non-dropping-particle":"","parse-names":false,"suffix":""},{"dropping-particle":"","family":"Begum","given":"Mili Amena","non-dropping-particle":"","parse-names":false,"suffix":""},{"dropping-particle":"","family":"Jewel","given":"Arif","non-dropping-particle":"","parse-names":false,"suffix":""},{"dropping-particle":"","family":"Khan","given":"Ferdous Hossain","non-dropping-particle":"","parse-names":false,"suffix":""},{"dropping-particle":"","family":"Khan","given":"Nazrul Islam","non-dropping-particle":"","parse-names":false,"suffix":""}],"container-title":"Bulletin of the National Research Centre","id":"ITEM-2","issue":"1","issued":{"date-parts":[["2019"]]},"publisher":"Bulletin of the National Research Centre","title":"Mulching as water-saving technique in dryland agriculture: review article","type":"article-journal","volume":"43"},"uris":["http://www.mendeley.com/documents/?uuid=d8472e7d-8037-4dba-a6bd-6a024b4d4758"]}],"mendeley":{"formattedCitation":"(Kader et al., 2019; Ravichandran et al., 2022)","plainTextFormattedCitation":"(Kader et al., 2019; Ravichandran et al., 2022)","previouslyFormattedCitation":"(Kader et al. 2019; Ravichandran et al. 2022)"},"properties":{"noteIndex":0},"schema":"https://github.com/citation-style-language/schema/raw/master/csl-citation.json"}</w:instrText>
      </w:r>
      <w:r w:rsidR="00855E9D"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(Kader et al., 2019; Ravichandran et al., 2022)</w:t>
      </w:r>
      <w:r w:rsidR="00855E9D" w:rsidRPr="00C5457C">
        <w:rPr>
          <w:rFonts w:ascii="Times New Roman" w:hAnsi="Times New Roman" w:cs="Times New Roman"/>
          <w:sz w:val="24"/>
          <w:szCs w:val="24"/>
        </w:rPr>
        <w:fldChar w:fldCharType="end"/>
      </w:r>
      <w:r w:rsidR="00E0663C" w:rsidRPr="00C5457C">
        <w:rPr>
          <w:rFonts w:ascii="Times New Roman" w:hAnsi="Times New Roman" w:cs="Times New Roman"/>
          <w:sz w:val="24"/>
          <w:szCs w:val="24"/>
        </w:rPr>
        <w:t>.</w:t>
      </w:r>
      <w:r w:rsidR="00C276F6" w:rsidRPr="00C5457C">
        <w:rPr>
          <w:rFonts w:ascii="Times New Roman" w:hAnsi="Times New Roman" w:cs="Times New Roman"/>
          <w:sz w:val="24"/>
          <w:szCs w:val="24"/>
        </w:rPr>
        <w:t xml:space="preserve"> Les résultats obtenus par </w:t>
      </w:r>
      <w:r w:rsidR="00C276F6"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{"citationItems":[{"id":"ITEM-1","itemData":{"author":[{"dropping-particle":"","family":"Hien","given":"F. G.","non-dropping-particle":"","parse-names":false,"suffix":""},{"dropping-particle":"","family":"Slingerland","given":"M.","non-dropping-particle":"","parse-names":false,"suffix":""},{"dropping-particle":"","family":"Hien","given":"V.","non-dropping-particle":"","parse-names":false,"suffix":""}],"container-title":"In Soil Fertility Management in West African Land Use Systems","id":"ITEM-1","issued":{"date-parts":[["1998"]]},"page":"1-7","publisher-place":"Niamey, Niger","title":"Le paillage traditionnel dans la gestion de la fertilite des sols en milieu soudano-sahelien: fonctions biophysiques et incidence sur la production de sorghoin","type":"article-magazine"},"uris":["http://www.mendeley.com/documents/?uuid=1495b12b-6998-427c-bda7-2ac9aa615643"]}],"mendeley":{"formattedCitation":"(Hien et al., 1998)","manualFormatting":"Hien et al., (1998)","plainTextFormattedCitation":"(Hien et al., 1998)","previouslyFormattedCitation":"(Hien, Slingerland, and Hien 1998)"},"properties":{"noteIndex":0},"schema":"https://github.com/citation-style-language/schema/raw/master/csl-citation.json"}</w:instrText>
      </w:r>
      <w:r w:rsidR="00C276F6" w:rsidRPr="00C5457C">
        <w:rPr>
          <w:rFonts w:ascii="Times New Roman" w:hAnsi="Times New Roman" w:cs="Times New Roman"/>
          <w:sz w:val="24"/>
          <w:szCs w:val="24"/>
        </w:rPr>
        <w:fldChar w:fldCharType="separate"/>
      </w:r>
      <w:r w:rsidR="00C276F6" w:rsidRPr="00C5457C">
        <w:rPr>
          <w:rFonts w:ascii="Times New Roman" w:hAnsi="Times New Roman" w:cs="Times New Roman"/>
          <w:noProof/>
          <w:sz w:val="24"/>
          <w:szCs w:val="24"/>
        </w:rPr>
        <w:t>Hien et al., (1998)</w:t>
      </w:r>
      <w:r w:rsidR="00C276F6" w:rsidRPr="00C5457C">
        <w:rPr>
          <w:rFonts w:ascii="Times New Roman" w:hAnsi="Times New Roman" w:cs="Times New Roman"/>
          <w:sz w:val="24"/>
          <w:szCs w:val="24"/>
        </w:rPr>
        <w:fldChar w:fldCharType="end"/>
      </w:r>
      <w:r w:rsidR="00C276F6" w:rsidRPr="00C5457C">
        <w:rPr>
          <w:rFonts w:ascii="Times New Roman" w:hAnsi="Times New Roman" w:cs="Times New Roman"/>
          <w:sz w:val="24"/>
          <w:szCs w:val="24"/>
        </w:rPr>
        <w:t xml:space="preserve"> ont montré que, par rapport au témoin, le paillage réduit le ruissellement, augmente l’infiltration de 4 à 7 fois et diminue l’évaporation pendant cette période. L’accroissement significatif de la disponibilité en eau se traduit par une germination plus rapide et plus complète sur les parcelles paillées. </w:t>
      </w:r>
      <w:r w:rsidR="00855E9D" w:rsidRPr="00C5457C">
        <w:rPr>
          <w:rFonts w:ascii="Times New Roman" w:hAnsi="Times New Roman" w:cs="Times New Roman"/>
          <w:sz w:val="24"/>
          <w:szCs w:val="24"/>
        </w:rPr>
        <w:t xml:space="preserve"> </w:t>
      </w:r>
      <w:r w:rsidR="006D1CD9" w:rsidRPr="00C5457C">
        <w:rPr>
          <w:rFonts w:ascii="Times New Roman" w:hAnsi="Times New Roman" w:cs="Times New Roman"/>
          <w:sz w:val="24"/>
          <w:szCs w:val="24"/>
        </w:rPr>
        <w:t xml:space="preserve">Selon </w:t>
      </w:r>
      <w:r w:rsidR="006D1CD9"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{"citationItems":[{"id":"ITEM-1","itemData":{"DOI":"10.1007/s11104-005-0172-8","ISSN":"0032-079X","abstract":"Mediterranean ecosystems are water-limited and frequently also nutrient-limited. We aimed to investigate the effects of increasing drought, as predicted by GCM and eco-physiological models for the next decades. on the cycle and P plant availability in a Mediterranean forest. We conducted a field experiment in a mature ever-green oak forest, establishing four drought-treatment plots and four control plots (150 m(2) each). After three years. the runoff and rainfall exclusion reduced an overall 22% the soil moisture, and the runoff exclusion alone reduced it 10%. The reduction of 22% in soil moisture produced a decrease of 40% of the accumulated above-ground plant P content, above all because there was a smaller increase in aerial biomass. The plant leaf P content increased by 100+/-40 mg m(-2) in the control plots, whereas it decreased by 40+/-40 mg m(-2) in the drought plots. The soil Po-NaHCO3 (organic labile-P fraction) increased by 25% in consonance with the increase in litterfall. while the inorganic labile-P fraction decreased in relation to the organic labile-P fraction up to 48%, indicating a decrease in microbial activity. Thus, after just three years of slight drought. a clear trend towards an accumulation of P in the soil and towards a decrease of P in the stand biomass was observed. The P accumulation in the soil in the drought plots was mainly in forms that were not directly available to plants. These indirect effects of drought including the decrease in plant P availability, may become a serious constraint for plant growth and therefore may have a serious effect on ecosystem performance.","author":[{"dropping-particle":"","family":"Sardans","given":"Jordi","non-dropping-particle":"","parse-names":false,"suffix":""},{"dropping-particle":"","family":"Peñuelas","given":"Josep","non-dropping-particle":"","parse-names":false,"suffix":""}],"container-title":"Plant and Soil","id":"ITEM-1","issue":"1-2","issued":{"date-parts":[["2004"]]},"page":"367-377","title":"Increasing drought decreases phosphorus availability in an evergreen Mediterranean forest","type":"article-journal","volume":"267"},"uris":["http://www.mendeley.com/documents/?uuid=a6e05130-ae4d-46fe-9298-2b5b3a00177e"]}],"mendeley":{"formattedCitation":"(Sardans &amp; Peñuelas, 2004)","manualFormatting":"Sardans &amp; Peñuelas, (2004)","plainTextFormattedCitation":"(Sardans &amp; Peñuelas, 2004)","previouslyFormattedCitation":"(Sardans and Peñuelas 2004)"},"properties":{"noteIndex":0},"schema":"https://github.com/citation-style-language/schema/raw/master/csl-citation.json"}</w:instrText>
      </w:r>
      <w:r w:rsidR="006D1CD9" w:rsidRPr="00C5457C">
        <w:rPr>
          <w:rFonts w:ascii="Times New Roman" w:hAnsi="Times New Roman" w:cs="Times New Roman"/>
          <w:sz w:val="24"/>
          <w:szCs w:val="24"/>
        </w:rPr>
        <w:fldChar w:fldCharType="separate"/>
      </w:r>
      <w:r w:rsidR="006D1CD9" w:rsidRPr="00C5457C">
        <w:rPr>
          <w:rFonts w:ascii="Times New Roman" w:hAnsi="Times New Roman" w:cs="Times New Roman"/>
          <w:noProof/>
          <w:sz w:val="24"/>
          <w:szCs w:val="24"/>
        </w:rPr>
        <w:t>Sardans &amp; Peñuelas, (2004)</w:t>
      </w:r>
      <w:r w:rsidR="006D1CD9" w:rsidRPr="00C5457C">
        <w:rPr>
          <w:rFonts w:ascii="Times New Roman" w:hAnsi="Times New Roman" w:cs="Times New Roman"/>
          <w:sz w:val="24"/>
          <w:szCs w:val="24"/>
        </w:rPr>
        <w:fldChar w:fldCharType="end"/>
      </w:r>
      <w:r w:rsidR="006D1CD9" w:rsidRPr="00C5457C">
        <w:rPr>
          <w:rFonts w:ascii="Times New Roman" w:hAnsi="Times New Roman" w:cs="Times New Roman"/>
          <w:sz w:val="24"/>
          <w:szCs w:val="24"/>
        </w:rPr>
        <w:t xml:space="preserve"> le paillis améliore l'apport de nutriments, réduit le stress environnemental et augmente la disponibilité de phosphore pour </w:t>
      </w:r>
      <w:r w:rsidR="006D1CD9" w:rsidRPr="00C5457C">
        <w:rPr>
          <w:rFonts w:ascii="Times New Roman" w:hAnsi="Times New Roman" w:cs="Times New Roman"/>
          <w:sz w:val="24"/>
          <w:szCs w:val="24"/>
        </w:rPr>
        <w:lastRenderedPageBreak/>
        <w:t xml:space="preserve">favoriser la croissance et le développement des plantes. </w:t>
      </w:r>
      <w:r w:rsidR="00222352" w:rsidRPr="00C5457C">
        <w:rPr>
          <w:rFonts w:ascii="Times New Roman" w:hAnsi="Times New Roman" w:cs="Times New Roman"/>
          <w:sz w:val="24"/>
          <w:szCs w:val="24"/>
        </w:rPr>
        <w:t>Geiger et al.</w:t>
      </w:r>
      <w:r w:rsidR="00851F5A" w:rsidRPr="00C5457C">
        <w:rPr>
          <w:rFonts w:ascii="Times New Roman" w:hAnsi="Times New Roman" w:cs="Times New Roman"/>
          <w:sz w:val="24"/>
          <w:szCs w:val="24"/>
        </w:rPr>
        <w:t xml:space="preserve">, (1988) </w:t>
      </w:r>
      <w:r w:rsidR="00222352" w:rsidRPr="00C5457C">
        <w:rPr>
          <w:rFonts w:ascii="Times New Roman" w:hAnsi="Times New Roman" w:cs="Times New Roman"/>
          <w:sz w:val="24"/>
          <w:szCs w:val="24"/>
        </w:rPr>
        <w:t>ont découvert que les niveaux de Ca, Mg et K dans la partie supérieure du sol (0</w:t>
      </w:r>
      <w:r w:rsidR="00DD59C4" w:rsidRPr="00C5457C">
        <w:rPr>
          <w:rFonts w:ascii="Times New Roman" w:hAnsi="Times New Roman" w:cs="Times New Roman"/>
          <w:sz w:val="24"/>
          <w:szCs w:val="24"/>
        </w:rPr>
        <w:t>-</w:t>
      </w:r>
      <w:r w:rsidR="00222352" w:rsidRPr="00C5457C">
        <w:rPr>
          <w:rFonts w:ascii="Times New Roman" w:hAnsi="Times New Roman" w:cs="Times New Roman"/>
          <w:sz w:val="24"/>
          <w:szCs w:val="24"/>
        </w:rPr>
        <w:t>20 cm) avaient augmenté significativement après cinq ans d'ajout de résidus de culture.</w:t>
      </w:r>
    </w:p>
    <w:p w14:paraId="6757358F" w14:textId="5AB8AB73" w:rsidR="00215D1E" w:rsidRPr="00C5457C" w:rsidRDefault="00222352"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 </w:t>
      </w:r>
      <w:r w:rsidR="006F4A41" w:rsidRPr="00C5457C">
        <w:rPr>
          <w:rFonts w:ascii="Times New Roman" w:hAnsi="Times New Roman" w:cs="Times New Roman"/>
          <w:sz w:val="24"/>
          <w:szCs w:val="24"/>
        </w:rPr>
        <w:t xml:space="preserve">En 1983, un projet a été initié au Centre sahélien de l'IRCISAT à </w:t>
      </w:r>
      <w:proofErr w:type="spellStart"/>
      <w:r w:rsidR="006F4A41" w:rsidRPr="00C5457C">
        <w:rPr>
          <w:rFonts w:ascii="Times New Roman" w:hAnsi="Times New Roman" w:cs="Times New Roman"/>
          <w:sz w:val="24"/>
          <w:szCs w:val="24"/>
        </w:rPr>
        <w:t>Sadore</w:t>
      </w:r>
      <w:proofErr w:type="spellEnd"/>
      <w:r w:rsidR="006F4A41" w:rsidRPr="00C5457C">
        <w:rPr>
          <w:rFonts w:ascii="Times New Roman" w:hAnsi="Times New Roman" w:cs="Times New Roman"/>
          <w:sz w:val="24"/>
          <w:szCs w:val="24"/>
        </w:rPr>
        <w:t xml:space="preserve"> (Niger) afin d'examiner l'impact des </w:t>
      </w:r>
      <w:r w:rsidRPr="00C5457C">
        <w:rPr>
          <w:rFonts w:ascii="Times New Roman" w:hAnsi="Times New Roman" w:cs="Times New Roman"/>
          <w:sz w:val="24"/>
          <w:szCs w:val="24"/>
        </w:rPr>
        <w:t>résidus</w:t>
      </w:r>
      <w:r w:rsidR="006F4A41" w:rsidRPr="00C5457C">
        <w:rPr>
          <w:rFonts w:ascii="Times New Roman" w:hAnsi="Times New Roman" w:cs="Times New Roman"/>
          <w:sz w:val="24"/>
          <w:szCs w:val="24"/>
        </w:rPr>
        <w:t xml:space="preserve"> de culture. Après trois ans, les résidus de culture seuls ont produit statistiquement la même quantité de grains de millet que les parcelles où des engrais avaient été appliqués </w:t>
      </w:r>
      <w:r w:rsidR="006F4A41"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{"citationItems":[{"id":"ITEM-1","itemData":{"DOI":"10.1007/BF01048993","ISSN":"01671731","abstract":"In the West African semi-arid tropics (WASAT), continuous cultivation leads to drastically reduced levels of soil organic matter. Such reductions in the level of soil organic matter have resulted in decreased soil productivity. The addition of organic materials either in the form of manures or crop residue has beneficial effects on the soils' chemical and physical properties. For many of the countries in this region, the amounts of nutrients in crops and crop residue are often several orders of magnitude higher than the quantity of the same nutrients applied as fertilizers. The return of the crop residue for soil fertility improvement cannot be overstressed. It is essential that more information on the rates of organic matter decomposition as well as the many reactions between products of organic matter decomposition and the soil under WASAT conditions be made available. © 1991 Kluwer Academic Publishers.","author":[{"dropping-particle":"","family":"Bationo","given":"A.","non-dropping-particle":"","parse-names":false,"suffix":""},{"dropping-particle":"","family":"Mokwunye","given":"A. U.","non-dropping-particle":"","parse-names":false,"suffix":""}],"container-title":"Fertilizer Research","id":"ITEM-1","issue":"1","issued":{"date-parts":[["1991"]]},"page":"117-125","title":"Role of manures and crop residue in alleviating soil fertility constraints to crop production: With special reference to the Sahelian and Sudanian zones of West Africa","type":"article-journal","volume":"29"},"uris":["http://www.mendeley.com/documents/?uuid=b43ff56d-6bb5-4d14-bb50-45f6471a9ad8"]}],"mendeley":{"formattedCitation":"(Bationo &amp; Mokwunye, 1991)","plainTextFormattedCitation":"(Bationo &amp; Mokwunye, 1991)","previouslyFormattedCitation":"(Bationo and Mokwunye 1991)"},"properties":{"noteIndex":0},"schema":"https://github.com/citation-style-language/schema/raw/master/csl-citation.json"}</w:instrText>
      </w:r>
      <w:r w:rsidR="006F4A41"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(Bationo &amp; Mokwunye, 1991)</w:t>
      </w:r>
      <w:r w:rsidR="006F4A41" w:rsidRPr="00C5457C">
        <w:rPr>
          <w:rFonts w:ascii="Times New Roman" w:hAnsi="Times New Roman" w:cs="Times New Roman"/>
          <w:sz w:val="24"/>
          <w:szCs w:val="24"/>
        </w:rPr>
        <w:fldChar w:fldCharType="end"/>
      </w:r>
      <w:r w:rsidR="006F4A41" w:rsidRPr="00C5457C">
        <w:rPr>
          <w:rFonts w:ascii="Times New Roman" w:hAnsi="Times New Roman" w:cs="Times New Roman"/>
          <w:sz w:val="24"/>
          <w:szCs w:val="24"/>
        </w:rPr>
        <w:t xml:space="preserve">. </w:t>
      </w:r>
      <w:r w:rsidR="00215D1E"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{"citationItems":[{"id":"ITEM-1","itemData":{"author":[{"dropping-particle":"","family":"Hien","given":"F. G.","non-dropping-particle":"","parse-names":false,"suffix":""},{"dropping-particle":"","family":"Slingerland","given":"M.","non-dropping-particle":"","parse-names":false,"suffix":""},{"dropping-particle":"","family":"Hien","given":"V.","non-dropping-particle":"","parse-names":false,"suffix":""}],"container-title":"In Soil Fertility Management in West African Land Use Systems","id":"ITEM-1","issued":{"date-parts":[["1998"]]},"page":"1-7","publisher-place":"Niamey, Niger","title":"Le paillage traditionnel dans la gestion de la fertilite des sols en milieu soudano-sahelien: fonctions biophysiques et incidence sur la production de sorghoin","type":"article-magazine"},"uris":["http://www.mendeley.com/documents/?uuid=1495b12b-6998-427c-bda7-2ac9aa615643"]}],"mendeley":{"formattedCitation":"(Hien et al., 1998)","manualFormatting":"Hien et al., (1998)","plainTextFormattedCitation":"(Hien et al., 1998)","previouslyFormattedCitation":"(Hien et al. 1998)"},"properties":{"noteIndex":0},"schema":"https://github.com/citation-style-language/schema/raw/master/csl-citation.json"}</w:instrText>
      </w:r>
      <w:r w:rsidR="00215D1E" w:rsidRPr="00C5457C">
        <w:rPr>
          <w:rFonts w:ascii="Times New Roman" w:hAnsi="Times New Roman" w:cs="Times New Roman"/>
          <w:sz w:val="24"/>
          <w:szCs w:val="24"/>
        </w:rPr>
        <w:fldChar w:fldCharType="separate"/>
      </w:r>
      <w:r w:rsidR="00215D1E" w:rsidRPr="00C5457C">
        <w:rPr>
          <w:rFonts w:ascii="Times New Roman" w:hAnsi="Times New Roman" w:cs="Times New Roman"/>
          <w:noProof/>
          <w:sz w:val="24"/>
          <w:szCs w:val="24"/>
        </w:rPr>
        <w:t>Hien et al., (1998)</w:t>
      </w:r>
      <w:r w:rsidR="00215D1E" w:rsidRPr="00C5457C">
        <w:rPr>
          <w:rFonts w:ascii="Times New Roman" w:hAnsi="Times New Roman" w:cs="Times New Roman"/>
          <w:sz w:val="24"/>
          <w:szCs w:val="24"/>
        </w:rPr>
        <w:fldChar w:fldCharType="end"/>
      </w:r>
      <w:r w:rsidR="00215D1E" w:rsidRPr="00C5457C">
        <w:rPr>
          <w:rFonts w:ascii="Times New Roman" w:hAnsi="Times New Roman" w:cs="Times New Roman"/>
          <w:sz w:val="24"/>
          <w:szCs w:val="24"/>
        </w:rPr>
        <w:t xml:space="preserve"> ont trouvé des rendements de matières sèches (1836 à 2729 Kg ha</w:t>
      </w:r>
      <w:r w:rsidR="00215D1E" w:rsidRPr="00C5457C">
        <w:rPr>
          <w:rFonts w:ascii="Times New Roman" w:hAnsi="Times New Roman" w:cs="Times New Roman"/>
          <w:sz w:val="24"/>
          <w:szCs w:val="24"/>
          <w:vertAlign w:val="superscript"/>
        </w:rPr>
        <w:t>-1</w:t>
      </w:r>
      <w:r w:rsidR="00215D1E" w:rsidRPr="00C5457C">
        <w:rPr>
          <w:rFonts w:ascii="Times New Roman" w:hAnsi="Times New Roman" w:cs="Times New Roman"/>
          <w:sz w:val="24"/>
          <w:szCs w:val="24"/>
        </w:rPr>
        <w:t>) et de grains (687 à 1064 Kg ha</w:t>
      </w:r>
      <w:r w:rsidR="00215D1E" w:rsidRPr="00C5457C">
        <w:rPr>
          <w:rFonts w:ascii="Times New Roman" w:hAnsi="Times New Roman" w:cs="Times New Roman"/>
          <w:sz w:val="24"/>
          <w:szCs w:val="24"/>
          <w:vertAlign w:val="superscript"/>
        </w:rPr>
        <w:t>-1</w:t>
      </w:r>
      <w:r w:rsidR="00215D1E" w:rsidRPr="00C5457C">
        <w:rPr>
          <w:rFonts w:ascii="Times New Roman" w:hAnsi="Times New Roman" w:cs="Times New Roman"/>
          <w:sz w:val="24"/>
          <w:szCs w:val="24"/>
        </w:rPr>
        <w:t>) du sorgho significativement supérieur à ceux des témoins qui étaient de 480 Kg M.S. ha</w:t>
      </w:r>
      <w:r w:rsidR="00215D1E" w:rsidRPr="00C5457C">
        <w:rPr>
          <w:rFonts w:ascii="Times New Roman" w:hAnsi="Times New Roman" w:cs="Times New Roman"/>
          <w:sz w:val="24"/>
          <w:szCs w:val="24"/>
          <w:vertAlign w:val="superscript"/>
        </w:rPr>
        <w:t>-1</w:t>
      </w:r>
      <w:r w:rsidR="00215D1E" w:rsidRPr="00C5457C">
        <w:rPr>
          <w:rFonts w:ascii="Times New Roman" w:hAnsi="Times New Roman" w:cs="Times New Roman"/>
          <w:sz w:val="24"/>
          <w:szCs w:val="24"/>
        </w:rPr>
        <w:t xml:space="preserve"> et 140 Kg de grains ha</w:t>
      </w:r>
      <w:r w:rsidR="00215D1E" w:rsidRPr="00C5457C">
        <w:rPr>
          <w:rFonts w:ascii="Times New Roman" w:hAnsi="Times New Roman" w:cs="Times New Roman"/>
          <w:sz w:val="24"/>
          <w:szCs w:val="24"/>
          <w:vertAlign w:val="superscript"/>
        </w:rPr>
        <w:t>-1</w:t>
      </w:r>
      <w:r w:rsidR="00215D1E" w:rsidRPr="00C5457C">
        <w:rPr>
          <w:rFonts w:ascii="Times New Roman" w:hAnsi="Times New Roman" w:cs="Times New Roman"/>
          <w:sz w:val="24"/>
          <w:szCs w:val="24"/>
        </w:rPr>
        <w:t xml:space="preserve">. </w:t>
      </w:r>
      <w:r w:rsidR="00DD59C4"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{"citationItems":[{"id":"ITEM-1","itemData":{"DOI":"10.18006/2022.10(4).697.712","ISSN":"23208694","abstract":"The logarithmic phase of the human population creates high food demand near the future throughout the world. On the flip side, improved crop production requires uninterrupted water irrigation. Therefore, sensible agricultural inputs are needed to overcome these concerns. New technology-based innovative agronomic research steps will boost the contemporary agriculture practices in developed and developing countries. Agricultural cropping systems could follow mulching practices as one of the best crop management practices for its water and nutrient management potential. It is primarily to accomplish healthy economic and environmental bonds. By covering the soil's surface with biodegradable resources such as organic and inorganic materials, mulching improves the physicochemical characteristics of the soil. This approach provides a favorable environment for the development of plant growth and fosters the activities of microbial communities. Additionally, it reduces the growth of weeds, manages erosion, gets rid of pesticide residue, and increases soil fertility. Mulching the soil surface has profound benefits in improving the soil moisture levels due to a reduced evaporation rate. This method is a practical agronomic entrance to reduce water scarcity and raise the chance of water conservation, notably in arid and semiarid regions. It can also boost crop security and production to meet the global food requirements. This review significantly focuses on the current influence and advantages of organic mulches for crop establishment in the agriculture sector, which can close the production gap between achievable and actual yield.","author":[{"dropping-particle":"","family":"Ravichandran","given":"Mythili","non-dropping-particle":"","parse-names":false,"suffix":""},{"dropping-particle":"","family":"Samiappan","given":"Sumathi C.","non-dropping-particle":"","parse-names":false,"suffix":""},{"dropping-particle":"","family":"Pandiyan","given":"Rajesh","non-dropping-particle":"","parse-names":false,"suffix":""},{"dropping-particle":"","family":"Velu","given":"Rajesh Kannan","non-dropping-particle":"","parse-names":false,"suffix":""}],"container-title":"Journal of Experimental Biology and Agricultural Sciences","id":"ITEM-1","issue":"4","issued":{"date-parts":[["2022"]]},"page":"697-712","title":"Improvement of crop and soil management practices through mulching for enhancement of soil fertility and environmental sustainability: A review","type":"article-journal","volume":"10"},"uris":["http://www.mendeley.com/documents/?uuid=fd791a90-d9b4-4052-a63b-70a8712405e7"]}],"mendeley":{"formattedCitation":"(Ravichandran et al., 2022)","manualFormatting":"Ravichandran et al., (2022)","plainTextFormattedCitation":"(Ravichandran et al., 2022)","previouslyFormattedCitation":"(Ravichandran et al. 2022)"},"properties":{"noteIndex":0},"schema":"https://github.com/citation-style-language/schema/raw/master/csl-citation.json"}</w:instrText>
      </w:r>
      <w:r w:rsidR="00DD59C4" w:rsidRPr="00C5457C">
        <w:rPr>
          <w:rFonts w:ascii="Times New Roman" w:hAnsi="Times New Roman" w:cs="Times New Roman"/>
          <w:sz w:val="24"/>
          <w:szCs w:val="24"/>
        </w:rPr>
        <w:fldChar w:fldCharType="separate"/>
      </w:r>
      <w:r w:rsidR="00DD59C4" w:rsidRPr="00C5457C">
        <w:rPr>
          <w:rFonts w:ascii="Times New Roman" w:hAnsi="Times New Roman" w:cs="Times New Roman"/>
          <w:noProof/>
          <w:sz w:val="24"/>
          <w:szCs w:val="24"/>
        </w:rPr>
        <w:t>Ravichandran et al., (2022)</w:t>
      </w:r>
      <w:r w:rsidR="00DD59C4" w:rsidRPr="00C5457C">
        <w:rPr>
          <w:rFonts w:ascii="Times New Roman" w:hAnsi="Times New Roman" w:cs="Times New Roman"/>
          <w:sz w:val="24"/>
          <w:szCs w:val="24"/>
        </w:rPr>
        <w:fldChar w:fldCharType="end"/>
      </w:r>
      <w:r w:rsidR="00DD59C4" w:rsidRPr="00C5457C">
        <w:rPr>
          <w:rFonts w:ascii="Times New Roman" w:hAnsi="Times New Roman" w:cs="Times New Roman"/>
          <w:sz w:val="24"/>
          <w:szCs w:val="24"/>
        </w:rPr>
        <w:t xml:space="preserve"> ont </w:t>
      </w:r>
      <w:r w:rsidR="00C276F6" w:rsidRPr="00C5457C">
        <w:rPr>
          <w:rFonts w:ascii="Times New Roman" w:hAnsi="Times New Roman" w:cs="Times New Roman"/>
          <w:sz w:val="24"/>
          <w:szCs w:val="24"/>
        </w:rPr>
        <w:t>trouvés</w:t>
      </w:r>
      <w:r w:rsidR="00DD59C4" w:rsidRPr="00C5457C">
        <w:rPr>
          <w:rFonts w:ascii="Times New Roman" w:hAnsi="Times New Roman" w:cs="Times New Roman"/>
          <w:sz w:val="24"/>
          <w:szCs w:val="24"/>
        </w:rPr>
        <w:t xml:space="preserve"> à la suite de leurs travaux que le paillage</w:t>
      </w:r>
      <w:r w:rsidR="00183035" w:rsidRPr="00C5457C">
        <w:rPr>
          <w:rFonts w:ascii="Times New Roman" w:hAnsi="Times New Roman" w:cs="Times New Roman"/>
          <w:sz w:val="24"/>
          <w:szCs w:val="24"/>
        </w:rPr>
        <w:t xml:space="preserve"> augmente le rendement des cultures de 50 à 60 % par rapport à des conditions sans paillage. </w:t>
      </w:r>
      <w:r w:rsidR="00CA5B1C" w:rsidRPr="00C5457C">
        <w:rPr>
          <w:rFonts w:ascii="Times New Roman" w:hAnsi="Times New Roman" w:cs="Times New Roman"/>
          <w:sz w:val="24"/>
          <w:szCs w:val="24"/>
        </w:rPr>
        <w:t xml:space="preserve">Un sol sans paillis peut augmenter le taux d'évapotranspiration de 25 % </w:t>
      </w:r>
      <w:r w:rsidR="00CA5B1C"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{"citationItems":[{"id":"ITEM-1","itemData":{"author":[{"dropping-particle":"","family":"Chalker-Scott","given":"Linda","non-dropping-particle":"","parse-names":false,"suffix":""}],"container-title":"Parasitology of Fishes.","id":"ITEM-1","issue":"1905","issued":{"date-parts":[["2007"]]},"page":"239-249","title":"Impact of Mulches on Landscape Plants and the Environment — A Review","type":"article-journal","volume":"147004"},"uris":["http://www.mendeley.com/documents/?uuid=e8937f07-3f81-47c2-ad1b-aba2e9186a92"]}],"mendeley":{"formattedCitation":"(Chalker-Scott, 2007)","plainTextFormattedCitation":"(Chalker-Scott, 2007)","previouslyFormattedCitation":"(Chalker-Scott 2007)"},"properties":{"noteIndex":0},"schema":"https://github.com/citation-style-language/schema/raw/master/csl-citation.json"}</w:instrText>
      </w:r>
      <w:r w:rsidR="00CA5B1C"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(Chalker-Scott, 2007)</w:t>
      </w:r>
      <w:r w:rsidR="00CA5B1C" w:rsidRPr="00C5457C">
        <w:rPr>
          <w:rFonts w:ascii="Times New Roman" w:hAnsi="Times New Roman" w:cs="Times New Roman"/>
          <w:sz w:val="24"/>
          <w:szCs w:val="24"/>
        </w:rPr>
        <w:fldChar w:fldCharType="end"/>
      </w:r>
      <w:r w:rsidR="00CA5B1C" w:rsidRPr="00C5457C">
        <w:rPr>
          <w:rFonts w:ascii="Times New Roman" w:hAnsi="Times New Roman" w:cs="Times New Roman"/>
          <w:sz w:val="24"/>
          <w:szCs w:val="24"/>
        </w:rPr>
        <w:t xml:space="preserve">, </w:t>
      </w:r>
      <w:r w:rsidR="00E26DF4" w:rsidRPr="00C5457C">
        <w:rPr>
          <w:rFonts w:ascii="Times New Roman" w:hAnsi="Times New Roman" w:cs="Times New Roman"/>
          <w:sz w:val="24"/>
          <w:szCs w:val="24"/>
        </w:rPr>
        <w:t>et</w:t>
      </w:r>
      <w:r w:rsidRPr="00C5457C">
        <w:rPr>
          <w:rFonts w:ascii="Times New Roman" w:hAnsi="Times New Roman" w:cs="Times New Roman"/>
          <w:sz w:val="24"/>
          <w:szCs w:val="24"/>
        </w:rPr>
        <w:t xml:space="preserve"> l’application </w:t>
      </w:r>
      <w:r w:rsidR="00E26DF4" w:rsidRPr="00C5457C">
        <w:rPr>
          <w:rFonts w:ascii="Times New Roman" w:hAnsi="Times New Roman" w:cs="Times New Roman"/>
          <w:sz w:val="24"/>
          <w:szCs w:val="24"/>
        </w:rPr>
        <w:t>des résidus de culture</w:t>
      </w:r>
      <w:r w:rsidRPr="00C5457C">
        <w:rPr>
          <w:rFonts w:ascii="Times New Roman" w:hAnsi="Times New Roman" w:cs="Times New Roman"/>
          <w:sz w:val="24"/>
          <w:szCs w:val="24"/>
        </w:rPr>
        <w:t xml:space="preserve"> peut</w:t>
      </w:r>
      <w:r w:rsidR="00CA5B1C" w:rsidRPr="00C5457C">
        <w:rPr>
          <w:rFonts w:ascii="Times New Roman" w:hAnsi="Times New Roman" w:cs="Times New Roman"/>
          <w:sz w:val="24"/>
          <w:szCs w:val="24"/>
        </w:rPr>
        <w:t xml:space="preserve"> rédu</w:t>
      </w:r>
      <w:r w:rsidRPr="00C5457C">
        <w:rPr>
          <w:rFonts w:ascii="Times New Roman" w:hAnsi="Times New Roman" w:cs="Times New Roman"/>
          <w:sz w:val="24"/>
          <w:szCs w:val="24"/>
        </w:rPr>
        <w:t>ire</w:t>
      </w:r>
      <w:r w:rsidR="00CA5B1C" w:rsidRPr="00C5457C">
        <w:rPr>
          <w:rFonts w:ascii="Times New Roman" w:hAnsi="Times New Roman" w:cs="Times New Roman"/>
          <w:sz w:val="24"/>
          <w:szCs w:val="24"/>
        </w:rPr>
        <w:t xml:space="preserve"> </w:t>
      </w:r>
      <w:r w:rsidRPr="00C5457C">
        <w:rPr>
          <w:rFonts w:ascii="Times New Roman" w:hAnsi="Times New Roman" w:cs="Times New Roman"/>
          <w:sz w:val="24"/>
          <w:szCs w:val="24"/>
        </w:rPr>
        <w:t>ce</w:t>
      </w:r>
      <w:r w:rsidR="00CA5B1C" w:rsidRPr="00C5457C">
        <w:rPr>
          <w:rFonts w:ascii="Times New Roman" w:hAnsi="Times New Roman" w:cs="Times New Roman"/>
          <w:sz w:val="24"/>
          <w:szCs w:val="24"/>
        </w:rPr>
        <w:t xml:space="preserve"> taux d'évaporation de surface pour préserver l'humidité du sol et réduire l'érosion du sol</w:t>
      </w:r>
      <w:r w:rsidRPr="00C5457C">
        <w:rPr>
          <w:rFonts w:ascii="Times New Roman" w:hAnsi="Times New Roman" w:cs="Times New Roman"/>
          <w:sz w:val="24"/>
          <w:szCs w:val="24"/>
        </w:rPr>
        <w:t xml:space="preserve"> </w:t>
      </w:r>
      <w:r w:rsidR="00CA5B1C"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{"citationItems":[{"id":"ITEM-1","itemData":{"DOI":"10.12944/cwe.15.special-issue1.02","ISSN":"09734929","abstract":"The necessity to increase the production of food grains and enhances the quality of surrounding environment has leaded to find the materials to control or regulate the water and wind erosion. Mulching has become now a days an essential and decisive exercise in agricultural production. It lessens the application of herbicides and various chemical fertilizers, control the weeds and maintains the soil moisture and soil temperature. This article consists of the detail reviews of different research conducted on mulches and elaborate the opportunities that they resolving the problem in agriculture. The resources of water for agricultural operations have been inadequate over the years as a result of global warming and uneven or uncertain rainfall in the low rainfall zones of India. To alleviate the water scarcity in agriculture, mulching has a vital impact as a water conserving technique in rain-fed cropping. It is very important primarily for preserving the soil moisture, preventing evaporation of soil and governing the soil temperature, which affects the food production. India being an agricultural country should have a better admiration towards water conservation tactics. By now we are fighting from a great stress of water insufficiency. Each and every drop of water is important for us but inappropriately because of inattentiveness, we repeatedly waste gigantic volume of water in which 70 to 80 % is passed down for irrigation purpose. Mulching and micro- irrigation techniques can play a vital role in controlling the over and excessive irrigation. This practice assistance to prevent weed growth, increment soil moisture, reduce soil erosion, maintain soil temperature, augments soil structure, improves soil fertility and improvise soil biological regime. There are several categories of mulching which are organic mulching, inorganic mulching, natural mulching, synthetic mulching, surface mulching, upright mulching or vertical mulching, plastic mulching, rubber mulching, pebble or stone mulching, dust mulching, straw mulching, landscape fabric, live vegetative barriers etc. Mulching also shows some limitations beyond many advantages as it may harbor some insects, pests and diseases and also create some weed problems sometimes. The current analysis deals with argument of every single feature of mulching and it’s beneficiary effects.","author":[{"dropping-particle":"","family":"Prem","given":"Manjeet","non-dropping-particle":"","parse-names":false,"suffix":""},{"dropping-particle":"","family":"Ranjan","given":"Prem","non-dropping-particle":"","parse-names":false,"suffix":""},{"dropping-particle":"","family":"Seth","given":"Neeraj","non-dropping-particle":"","parse-names":false,"suffix":""},{"dropping-particle":"","family":"Patle","given":"Ghanshyam T.","non-dropping-particle":"","parse-names":false,"suffix":""}],"container-title":"Current World Environment","id":"ITEM-1","issue":"1","issued":{"date-parts":[["2020"]]},"page":"1-21","title":"Mulching Techniques to Conserve the Soil Water and Advance the Crop Production - A Review","type":"article-journal","volume":"Special Is"},"uris":["http://www.mendeley.com/documents/?uuid=b63aa575-9b93-4f7a-b4e0-8caa0e943e56"]}],"mendeley":{"formattedCitation":"(Prem et al., 2020)","plainTextFormattedCitation":"(Prem et al., 2020)","previouslyFormattedCitation":"(Prem et al. 2020)"},"properties":{"noteIndex":0},"schema":"https://github.com/citation-style-language/schema/raw/master/csl-citation.json"}</w:instrText>
      </w:r>
      <w:r w:rsidR="00CA5B1C"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(Prem et al., 2020)</w:t>
      </w:r>
      <w:r w:rsidR="00CA5B1C" w:rsidRPr="00C5457C">
        <w:rPr>
          <w:rFonts w:ascii="Times New Roman" w:hAnsi="Times New Roman" w:cs="Times New Roman"/>
          <w:sz w:val="24"/>
          <w:szCs w:val="24"/>
        </w:rPr>
        <w:fldChar w:fldCharType="end"/>
      </w:r>
      <w:r w:rsidR="00CA5B1C" w:rsidRPr="00C5457C">
        <w:rPr>
          <w:rFonts w:ascii="Times New Roman" w:hAnsi="Times New Roman" w:cs="Times New Roman"/>
          <w:sz w:val="24"/>
          <w:szCs w:val="24"/>
        </w:rPr>
        <w:t>.</w:t>
      </w:r>
      <w:r w:rsidR="005A1D6F" w:rsidRPr="00C5457C">
        <w:rPr>
          <w:rFonts w:ascii="Times New Roman" w:hAnsi="Times New Roman" w:cs="Times New Roman"/>
          <w:sz w:val="24"/>
          <w:szCs w:val="24"/>
        </w:rPr>
        <w:t xml:space="preserve"> </w:t>
      </w:r>
      <w:r w:rsidR="002C6CBD" w:rsidRPr="00C5457C">
        <w:rPr>
          <w:rFonts w:ascii="Times New Roman" w:hAnsi="Times New Roman" w:cs="Times New Roman"/>
          <w:sz w:val="24"/>
          <w:szCs w:val="24"/>
        </w:rPr>
        <w:t>Powell et al.</w:t>
      </w:r>
      <w:r w:rsidR="00B6747C" w:rsidRPr="00C5457C">
        <w:rPr>
          <w:rFonts w:ascii="Times New Roman" w:hAnsi="Times New Roman" w:cs="Times New Roman"/>
          <w:sz w:val="24"/>
          <w:szCs w:val="24"/>
        </w:rPr>
        <w:t>,</w:t>
      </w:r>
      <w:r w:rsidR="002C6CBD" w:rsidRPr="00C5457C">
        <w:rPr>
          <w:rFonts w:ascii="Times New Roman" w:hAnsi="Times New Roman" w:cs="Times New Roman"/>
          <w:sz w:val="24"/>
          <w:szCs w:val="24"/>
        </w:rPr>
        <w:t xml:space="preserve"> (1996) soutiennent que laisser tous les résidus de récolte sur les champs permet d'obtenir des rendements plus élevés que de les laisser consommer par les animaux qui laisseront leur fumier et leur urine sur les champs. Cependant, les agriculteurs ne peuvent pas considérer cette stratégie comme une option car il n'y a pas d'alternative de fourrage pendant la saison sèche </w:t>
      </w:r>
      <w:r w:rsidR="002C6CBD"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{"citationItems":[{"id":"ITEM-1","itemData":{"author":[{"dropping-particle":"","family":"Dutordoir","given":"Caroline Dandois","non-dropping-particle":"","parse-names":false,"suffix":""}],"id":"ITEM-1","issue":"11","issued":{"date-parts":[["2006"]]},"number-of-pages":"2016","publisher":"UNIVERSITE CATHOLIQUE DE LOUVAIN","title":"Impact de pratiques de gestion de la fertilité sur les rendements en mil dans le Fakara (Niger). Travail de fin d’études présenté en vue de l’obtention du grade de bio-ingénieur.","type":"thesis","volume":"18"},"uris":["http://www.mendeley.com/documents/?uuid=dd1e045d-848d-4ede-9aff-a382103a3ef9"]}],"mendeley":{"formattedCitation":"(Dutordoir, 2006)","plainTextFormattedCitation":"(Dutordoir, 2006)","previouslyFormattedCitation":"(Dutordoir 2006)"},"properties":{"noteIndex":0},"schema":"https://github.com/citation-style-language/schema/raw/master/csl-citation.json"}</w:instrText>
      </w:r>
      <w:r w:rsidR="002C6CBD"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(Dutordoir, 2006)</w:t>
      </w:r>
      <w:r w:rsidR="002C6CBD" w:rsidRPr="00C5457C">
        <w:rPr>
          <w:rFonts w:ascii="Times New Roman" w:hAnsi="Times New Roman" w:cs="Times New Roman"/>
          <w:sz w:val="24"/>
          <w:szCs w:val="24"/>
        </w:rPr>
        <w:fldChar w:fldCharType="end"/>
      </w:r>
      <w:r w:rsidR="002C6CBD" w:rsidRPr="00C5457C">
        <w:rPr>
          <w:rFonts w:ascii="Times New Roman" w:hAnsi="Times New Roman" w:cs="Times New Roman"/>
          <w:sz w:val="24"/>
          <w:szCs w:val="24"/>
        </w:rPr>
        <w:t>.</w:t>
      </w:r>
    </w:p>
    <w:p w14:paraId="2051AA19" w14:textId="0C185FA8" w:rsidR="001D0833" w:rsidRPr="00C5457C" w:rsidRDefault="001D0833"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Un moyen efficace de réhabiliter des terres dégradées est l'utilisation de résidus de culture</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{"citationItems":[{"id":"ITEM-1","itemData":{"author":[{"dropping-particle":"","family":"Dutordoir","given":"Caroline Dandois","non-dropping-particle":"","parse-names":false,"suffix":""}],"id":"ITEM-1","issue":"11","issued":{"date-parts":[["2006"]]},"number-of-pages":"2016","publisher":"UNIVERSITE CATHOLIQUE DE LOUVAIN","title":"Impact de pratiques de gestion de la fertilité sur les rendements en mil dans le Fakara (Niger). Travail de fin d’études présenté en vue de l’obtention du grade de bio-ingénieur.","type":"thesis","volume":"18"},"uris":["http://www.mendeley.com/documents/?uuid=dd1e045d-848d-4ede-9aff-a382103a3ef9"]}],"mendeley":{"formattedCitation":"(Dutordoir, 2006)","plainTextFormattedCitation":"(Dutordoir, 2006)","previouslyFormattedCitation":"(Dutordoir 2006)"},"properties":{"noteIndex":0},"schema":"https://github.com/citation-style-language/schema/raw/master/csl-citation.json"}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(Dutordoir, 2006)</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L'activité biologique, en particulier celle des termites, joue un rôle important dans ce processus de régénération stimulé par la présence de résidus organiques (même si la modification des conditions de surface en raison du dépôt de sédiments). En comparaison avec des parcelles paillées traitées avec un insecticide, l'activité des termites permet de doubler l'infiltration cumulée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{"citationItems":[{"id":"ITEM-1","itemData":{"DOI":"10.1017/S0021859699007650","ISSN":"00218596","abstract":"A 5-year study was conducted from 1988 to 1992 at three sites in Niger to determine the effects of crop rotation of a cereal and legumes and nitrogen fertilizer on chemical properties of the soil (0-20 cm) and yield of pearl millet (Pennisetum glaucum (L.) R.BR.), cowpea (Vigna unguiculata (L.) Walp.), and groundnut (Arachis hypogea L.). Four N levels and rotation treatments including continuous fallow were investigated. Soil samples taken from the top 20 cm depth at the end of the experiment from treatments without nitrogen application which included continuous fallow, fallow-millet rotation, groundnut-millet rotation, cowpea-millet rotation, and continuous millet were analysed for soil pH, organic carbon, total nitrogen and exchangeable bases. Fertilizer N significantly increased yield of pearl millet, cowpea and groundnut. Continuous monocropping of pearl millet resulted in lower yields across N levels compared to legume-millet rotations. Legume yields were also consistently lower in monoculture than when rotated with millet. There was a decline in organic matter under continuous millet, cowpea-millet rotation and groundnut-millet rotation. The fallow-millet rotation supplied more mineral N than the legume-millet rotations. Nitrogen availability was greater in cowpea-millet rotation than continuous millet. Crop rotation was more productive than the continuous monoculture but did not differ in maintaining soil organic matter. The legume-millet rotation at 30 kg/ha N appears to be the most viable for millet production. Research should focus on understanding the effect of legume/cereal intercrops and rotations on soil productivity.","author":[{"dropping-particle":"","family":"Bationo","given":"A.","non-dropping-particle":"","parse-names":false,"suffix":""},{"dropping-particle":"","family":"Ntare","given":"B. R.","non-dropping-particle":"","parse-names":false,"suffix":""}],"container-title":"Journal of Agricultural Science","id":"ITEM-1","issue":"3","issued":{"date-parts":[["2000"]]},"page":"277-284","title":"Rotation and nitrogen fertilizer effects on pearl millet, cowpea and groundnut yield and soil chemical properties in a sandy soil in the semi-arid tropics, West Africa","type":"article-journal","volume":"134"},"uris":["http://www.mendeley.com/documents/?uuid=6382fe1b-d4fd-4d61-bd2f-c861a85ce486"]}],"mendeley":{"formattedCitation":"(Bationo &amp; Ntare, 2000)","plainTextFormattedCitation":"(Bationo &amp; Ntare, 2000)","previouslyFormattedCitation":"(Bationo and Ntare 2000)"},"properties":{"noteIndex":0},"schema":"https://github.com/citation-style-language/schema/raw/master/csl-citation.json"}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(Bationo &amp; Ntare, 2000)</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w:t>
      </w:r>
    </w:p>
    <w:p w14:paraId="571FE644" w14:textId="2E6396F2" w:rsidR="00C83830" w:rsidRPr="00C5457C" w:rsidRDefault="00C83830" w:rsidP="00C5457C">
      <w:pPr>
        <w:pStyle w:val="Titre3"/>
        <w:spacing w:line="360" w:lineRule="auto"/>
        <w:jc w:val="both"/>
        <w:rPr>
          <w:rFonts w:ascii="Times New Roman" w:hAnsi="Times New Roman" w:cs="Times New Roman"/>
        </w:rPr>
      </w:pPr>
      <w:r w:rsidRPr="00C5457C">
        <w:rPr>
          <w:rFonts w:ascii="Times New Roman" w:hAnsi="Times New Roman" w:cs="Times New Roman"/>
        </w:rPr>
        <w:t>Apport de fumie</w:t>
      </w:r>
      <w:r w:rsidR="00682250" w:rsidRPr="00C5457C">
        <w:rPr>
          <w:rFonts w:ascii="Times New Roman" w:hAnsi="Times New Roman" w:cs="Times New Roman"/>
        </w:rPr>
        <w:t>r</w:t>
      </w:r>
    </w:p>
    <w:p w14:paraId="39A4F88C" w14:textId="0FF8A7DA" w:rsidR="00B73B34" w:rsidRPr="00C5457C" w:rsidRDefault="008F2213"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L'apport de fumier au Sahel est une coutume ancestrale qui consiste à transporter le fumier sur des charrettes environ un mois avant la saison de pluie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{"citationItems":[{"id":"ITEM-1","itemData":{"author":[{"dropping-particle":"","family":"Hamissou","given":"Habou Hamidou","non-dropping-particle":"","parse-names":false,"suffix":""}],"id":"ITEM-1","issued":{"date-parts":[["2023"]]},"number-of-pages":"58","publisher":"Memoire de fin de cycle, En vue de l’obtention du diplôme de Master en Biodiversté et Gestion de l’Environnement Soudanien et Sahélo-Saharien (BGESSS); Université Dan Dicko Dankoulodo de Maradi, Niger","title":"Analyse intégrative de la diversité végétale et des options de gestion agroécologique des cultures : dispositif pilote dans la Commune Rurale de Saé Saboua, Niger","type":"thesis"},"uris":["http://www.mendeley.com/documents/?uuid=0f578aaa-61e9-4ac9-a843-44d892078490"]}],"mendeley":{"formattedCitation":"(Hamissou, 2023)","plainTextFormattedCitation":"(Hamissou, 2023)","previouslyFormattedCitation":"(Hamissou 2023)"},"properties":{"noteIndex":0},"schema":"https://github.com/citation-style-language/schema/raw/master/csl-citation.json"}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(Hamissou, 2023)</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Les agriculteurs du Niger utilisent du fumier à un taux allant de 1300 kg de MS (matière sèche) ha-1 tous les 3 ans à 3800 kg de MS ha-1 tous les 2 ans </w:t>
      </w:r>
      <w:r w:rsidR="0059704C" w:rsidRPr="00C5457C">
        <w:rPr>
          <w:rFonts w:ascii="Times New Roman" w:hAnsi="Times New Roman" w:cs="Times New Roman"/>
          <w:sz w:val="24"/>
          <w:szCs w:val="24"/>
        </w:rPr>
        <w:t>, avec un taux de parcage pouvant atteindre 10 000 kg de MS ha-1</w:t>
      </w:r>
      <w:r w:rsidR="00401D7B" w:rsidRPr="00C5457C">
        <w:rPr>
          <w:rFonts w:ascii="Times New Roman" w:hAnsi="Times New Roman" w:cs="Times New Roman"/>
          <w:sz w:val="24"/>
          <w:szCs w:val="24"/>
        </w:rPr>
        <w:t xml:space="preserve"> </w:t>
      </w:r>
      <w:r w:rsidR="0059704C"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{"citationItems":[{"id":"ITEM-1","itemData":{"DOI":"10.1016/j.agee.2003.12.020","ISBN":"8562141437","ISSN":"01678809","abstract":"The cultivated soils of the Sahel are sandy, very poor in organic matter, and are prone to surface crusting and erosion. Farmers sustain pearl millet production through permanent cultivation with manure input or long-term fallowing. Due to population increase fallows are reduced bringing on low yields. This on-farm study (Banizoumbou, semi-arid Niger) examines the impact of clearing and weeding on soil surface processes, the decline in soil organic matter under prolonged cultivation, and whether manure inputs are sufficient to sustain millet production. Short-term effects were examined in a 3-year experiment with dung application (5 Mg ha-1) and weeding frequency (no, two and four weedings). Long-term effects were studied a 4-year experiment comparing three farming systems: (i) permanent cultivation with manure; (ii) cultivation after long fallows &gt;15 years; (iii) cultivation after short fallows 3-5 years. Due to the difference in scale, different processes of erosion were studied, saltation and creep in the first experiment, suspension in the second. Dung deposits provided mechanical protection of the soil surface by reducing crusting and by trapping aeolian sand. A very low cover of dung, 0.5-5%, is enough to protect the soil effectively by forming barriers against creep and saltation. Suspension occurs during tillage. Manual cultivation, while disrupting aggregates and surface crusts, enhances wind erosion and this leads to loss of clay and silt from the top soil. Changing from long to short fallow periods and even to permanent cultivation, constitutes a trend towards more intensive land use and this, eventually, leads to extremely sandy top soils (from 890 up to 934 g kg-1) and coincidences with a soil surface becoming less crusted (from 49% of field surface affected down to 7%). Manure input cannot prevent the erosion of fine earth which seems to be an irreversible feature of long-term cultivation. Dung inputs, 0.5-1 Mg ha-1 per year, are insufficient to increase substantially millet grain yield (350 kg ha-1 in manured; 300 kg ha-1 in long fallow fields), or elevated soil organic matter (2.9 g kg-1 soil, in manured fields; 4.0 g kg-1 in long fallow fields, 0-20 cm). Yet grain yield remains stable under permanent cropping, while fields without manure need fallowing for long periods to restore fertility. Under short fallows without dung input soil organic matter drops to 2.4 g kg-1, and grain yields to 125 kg ha-1. © 2004 Elsevier B.V. All rights res…","author":[{"dropping-particle":"","family":"Rouw","given":"Anneke","non-dropping-particle":"De","parse-names":false,"suffix":""},{"dropping-particle":"","family":"Rajot","given":"Jean Louis","non-dropping-particle":"","parse-names":false,"suffix":""}],"container-title":"Agriculture, Ecosystems and Environment","id":"ITEM-1","issue":"2","issued":{"date-parts":[["2004"]]},"page":"263-276","title":"Soil organic matter, surface crusting and erosion in Sahelian farming systems based on manuring or fallowing","type":"article-journal","volume":"104"},"uris":["http://www.mendeley.com/documents/?uuid=841790e5-09a2-4abb-b7c4-073a8a5492fc"]}],"mendeley":{"formattedCitation":"(De Rouw &amp; Rajot, 2004b)","plainTextFormattedCitation":"(De Rouw &amp; Rajot, 2004b)","previouslyFormattedCitation":"(De Rouw and Rajot 2004b)"},"properties":{"noteIndex":0},"schema":"https://github.com/citation-style-language/schema/raw/master/csl-citation.json"}</w:instrText>
      </w:r>
      <w:r w:rsidR="0059704C"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(De Rouw &amp; Rajot, 2004b)</w:t>
      </w:r>
      <w:r w:rsidR="0059704C"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57316A" w:rsidRPr="00C5457C">
        <w:rPr>
          <w:rFonts w:ascii="Times New Roman" w:hAnsi="Times New Roman" w:cs="Times New Roman"/>
          <w:sz w:val="24"/>
          <w:szCs w:val="24"/>
        </w:rPr>
        <w:t xml:space="preserve">Les </w:t>
      </w:r>
      <w:r w:rsidR="0037179E" w:rsidRPr="00C5457C">
        <w:rPr>
          <w:rFonts w:ascii="Times New Roman" w:hAnsi="Times New Roman" w:cs="Times New Roman"/>
          <w:sz w:val="24"/>
          <w:szCs w:val="24"/>
        </w:rPr>
        <w:t>paysans</w:t>
      </w:r>
      <w:r w:rsidR="0057316A" w:rsidRPr="00C5457C">
        <w:rPr>
          <w:rFonts w:ascii="Times New Roman" w:hAnsi="Times New Roman" w:cs="Times New Roman"/>
          <w:sz w:val="24"/>
          <w:szCs w:val="24"/>
        </w:rPr>
        <w:t xml:space="preserve"> ne cherchent généralement pas à appliquer le fumier de manière homogène, surtout dans les cas où le fumier est rare. Ils l'appliquent dans des zones sélectionnées où la fertilité est faible, les applications changent chaque année </w:t>
      </w:r>
      <w:r w:rsidR="0057316A"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{"citationItems":[{"id":"ITEM-1","itemData":{"DOI":"10.1017/S0014479702000212","ISBN":"0014479702","ISSN":"00144797","abstract":"The last 50 years have seen a rapid expansion of cultivated area in semi-arid areas of West Africa. This has precipitated a change from traditional fallowing to more pro-active soil fertility management techniques. Smallholder farmers employ a range of technologies to enhance soil fertility and manure is a cornerstone of many of the soil fertility management strategies they use. This paper reviews manure management by smallholder farmers. It considers factors that affect the quality of the manure used, including methods for keeping livestock and storing manure. The paper reviews the strategies, such as night parking and crop-livestock integration, which farmers employ to ensure that manure reaches their fields. The nutrient balances of two farming systems are presented as evidence for the importance of manure as a nutrient source. Rangeland-to-cropland nutrient transfers are contrasted with nutrient recycling through crop-livestock integration. The paper concludes that within the constraints in which smallholder farmers operate in semi-arid West Africa, manure will remain an important component of soil fertility management strategies for the foreseeable future. Integrated nutrient management strategies that take into consideration the circumstances of farmers, and the resources available to them, are the best way forward. Appropriate interventions need to focus on improving manure management to ensure that the material which farmers so laboriously prepare and transport is of the best possible quality.","author":[{"dropping-particle":"","family":"Harris","given":"F.","non-dropping-particle":"","parse-names":false,"suffix":""}],"container-title":"Experimental Agriculture","id":"ITEM-1","issue":"2","issued":{"date-parts":[["2002"]]},"page":"131-148","title":"Management of manure in farming systems in semi-arid West Africa","type":"article-journal","volume":"38"},"uris":["http://www.mendeley.com/documents/?uuid=fe353c70-330a-4dc2-b714-80ef2d3b88cb"]},{"id":"ITEM-2","itemData":{"DOI":"10.1016/S0167-8809(00)00264-4","ISSN":"01678809","abstract":"In ago-pastoral systems of the semi-arid West African Sahel, targeted applications of ruminant manure to the cropland is a widespread practice to maintain soil productivity. However, studies exploring the decomposition and mineralization processes of manure under farmers' conditions are scarce. The present research in south-west Niger was undertaken to examine the role of micro-organisms and meso-fauna on in situ release rates of nitrogen (N), phosphorus (P) and potassium (K) from cattle and sheep-goat manure collected from village corrals during the rainy season. The results show that (1) macro-organisms played a dominant role in the initial phase of manure decomposition; (2) manure decomposition was faster on crusted than on sandy soils; (3) throughout the study N and P release rates closely followed the dry matter decomposition; (4) during the first 6 weeks after application the K concentration in the manure declined much faster than N or P. At the applied dry matter rate of 18.8 Mg ha-1, the quantities of N, P and K released from the manure during the rainy season were up to 10-fold larger than the annual nutrient uptake of pearl millet (Pennisetum glaucum L.), the dominant crop in the traditional agro-pastoral systems. The results indicate considerable nutrient losses with the scarce but heavy rainfalls which could be alleviated by smaller rates of manure application. Those, however, would require a more labour intensive system of corralling or manure distribution. © 2001 Elsevier Science B.V.","author":[{"dropping-particle":"","family":"Esse","given":"P. C.","non-dropping-particle":"","parse-names":false,"suffix":""},{"dropping-particle":"","family":"Buerkert","given":"A.","non-dropping-particle":"","parse-names":false,"suffix":""},{"dropping-particle":"","family":"Hiernaux","given":"P.","non-dropping-particle":"","parse-names":false,"suffix":""},{"dropping-particle":"","family":"Assa","given":"A.","non-dropping-particle":"","parse-names":false,"suffix":""}],"container-title":"Agriculture, Ecosystems and Environment","id":"ITEM-2","issue":"1-2","issued":{"date-parts":[["2001"]]},"page":"55-63","title":"Decomposition of and nutrient release from ruminant manure on acid sandy soils in the Sahelian zone of Niger, West Africa","type":"article-journal","volume":"83"},"uris":["http://www.mendeley.com/documents/?uuid=412dee95-abe4-40d5-9d37-c9411decb91d"]}],"mendeley":{"formattedCitation":"(Esse et al., 2001; Harris, 2002)","plainTextFormattedCitation":"(Esse et al., 2001; Harris, 2002)","previouslyFormattedCitation":"(Esse et al. 2001; Harris 2002)"},"properties":{"noteIndex":0},"schema":"https://github.com/citation-style-language/schema/raw/master/csl-citation.json"}</w:instrText>
      </w:r>
      <w:r w:rsidR="0057316A"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(Esse et al., 2001; Harris, 2002)</w:t>
      </w:r>
      <w:r w:rsidR="0057316A" w:rsidRPr="00C5457C">
        <w:rPr>
          <w:rFonts w:ascii="Times New Roman" w:hAnsi="Times New Roman" w:cs="Times New Roman"/>
          <w:sz w:val="24"/>
          <w:szCs w:val="24"/>
        </w:rPr>
        <w:fldChar w:fldCharType="end"/>
      </w:r>
      <w:r w:rsidR="0057316A" w:rsidRPr="00C5457C">
        <w:rPr>
          <w:rFonts w:ascii="Times New Roman" w:hAnsi="Times New Roman" w:cs="Times New Roman"/>
          <w:sz w:val="24"/>
          <w:szCs w:val="24"/>
        </w:rPr>
        <w:t xml:space="preserve">. </w:t>
      </w:r>
      <w:r w:rsidR="0059704C" w:rsidRPr="00C5457C">
        <w:rPr>
          <w:rFonts w:ascii="Times New Roman" w:hAnsi="Times New Roman" w:cs="Times New Roman"/>
          <w:sz w:val="24"/>
          <w:szCs w:val="24"/>
        </w:rPr>
        <w:t xml:space="preserve">Dans les champs où le parcage est utilisé, l'apport en fumier de zébu </w:t>
      </w:r>
      <w:r w:rsidR="0059704C" w:rsidRPr="00C5457C">
        <w:rPr>
          <w:rFonts w:ascii="Times New Roman" w:hAnsi="Times New Roman" w:cs="Times New Roman"/>
          <w:sz w:val="24"/>
          <w:szCs w:val="24"/>
        </w:rPr>
        <w:lastRenderedPageBreak/>
        <w:t xml:space="preserve">est estimé à 1100 kg MS ha-1 par année et à 100 kg MS ha-1 sur les champs non fumés recevant du fumier par passage de troupeaux </w:t>
      </w:r>
      <w:r w:rsidR="0059704C"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{"citationItems":[{"id":"ITEM-1","itemData":{"author":[{"dropping-particle":"","family":"Dutordoir","given":"Caroline Dandois","non-dropping-particle":"","parse-names":false,"suffix":""}],"id":"ITEM-1","issue":"11","issued":{"date-parts":[["2006"]]},"number-of-pages":"2016","publisher":"UNIVERSITE CATHOLIQUE DE LOUVAIN","title":"Impact de pratiques de gestion de la fertilité sur les rendements en mil dans le Fakara (Niger). Travail de fin d’études présenté en vue de l’obtention du grade de bio-ingénieur.","type":"thesis","volume":"18"},"uris":["http://www.mendeley.com/documents/?uuid=dd1e045d-848d-4ede-9aff-a382103a3ef9"]}],"mendeley":{"formattedCitation":"(Dutordoir, 2006)","plainTextFormattedCitation":"(Dutordoir, 2006)","previouslyFormattedCitation":"(Dutordoir 2006)"},"properties":{"noteIndex":0},"schema":"https://github.com/citation-style-language/schema/raw/master/csl-citation.json"}</w:instrText>
      </w:r>
      <w:r w:rsidR="0059704C"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(Dutordoir, 2006)</w:t>
      </w:r>
      <w:r w:rsidR="0059704C" w:rsidRPr="00C5457C">
        <w:rPr>
          <w:rFonts w:ascii="Times New Roman" w:hAnsi="Times New Roman" w:cs="Times New Roman"/>
          <w:sz w:val="24"/>
          <w:szCs w:val="24"/>
        </w:rPr>
        <w:fldChar w:fldCharType="end"/>
      </w:r>
      <w:r w:rsidR="0059704C" w:rsidRPr="00C5457C">
        <w:rPr>
          <w:rFonts w:ascii="Times New Roman" w:hAnsi="Times New Roman" w:cs="Times New Roman"/>
          <w:sz w:val="24"/>
          <w:szCs w:val="24"/>
        </w:rPr>
        <w:t xml:space="preserve">. </w:t>
      </w:r>
    </w:p>
    <w:p w14:paraId="4FEE75E9" w14:textId="296E681B" w:rsidR="00C83830" w:rsidRPr="00C5457C" w:rsidRDefault="0059704C"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Le fumier augmente les rendements en grains lorsqu'il est utilisé en quantités suffisantes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{"citationItems":[{"id":"ITEM-1","itemData":{"DOI":"10.1016/j.agee.2003.12.019","ISBN":"8562141437","ISSN":"01678809","abstract":"Pearl millet production in the sandy soils of the Sahel is maintained by fallows and manures are the principal added source of fertility. Due to rapid population growth fallow periods are reduced, yields and nutrient availability decline and manure seems to be the only reasonable alternative for fallowing. This on-farm study (Banizoumbou, semi-arid Niger) investigates crop response to low and very low nutrient availability as well as within-season shortages and within field variations. Two sources of data were combined: a 3-year field experiment with dung application (5 Mg ha-1) and weeding frequency (no, two and four weedings); and a comparison of farming systems, n=32,field×years (i) permanent cultivation with manure; (ii) cultivation after long fallows &gt;15 years; (iii) cultivation after short fallows 3-5 years. The permanent cultivation of soils in the study area is achieved with extremely low levels of manure input 0.5-1 Mg ha-1 per year, adding about 10 kg N, 1.2 kg P and 5 kg K to the soil. Dung inputs allow grain yield (350 kg ha-1) and nutrient supply (ECEC 0.81 mmolc kg -1, total N 151 mg kg-1, 0-20 cm depth) to remain stable under prolonged cropping (10-17 years), while field without manure need fallowing for long periods (&gt;15 years) to restore fertility. The trend from long to short fallow periods accords with decline in grain yield from 300 kg ha-1 yields down to 125 kg ha-1 and of a ECEC reduction from 1.10 to 0.72 mmolc kg-1. The positive effect of dung application on crop growth is restricted to the first half of the season resulting in extra panicles and 50% extra crop residues. Other yield components remained unaffected and grain yield is but slightly improved because the initial good conditions do not continue. Very small variations in fertility - ECEC, NPK - induced by dung application, excessive weeding or due to soil surface conditions, had yet an impact on pearl millet growth and grain yield. The field experiment showed that nutrient levels and grain yield decline with excessive weeding but less so if dung is applied. Manuring is an alternative for fallowing rather than replacing it because additional constrains crop up with prolonged cultivation: the population of coprophage insects was reduced so some dung stayed unconsumed, and extremely sandy soils developed because wind erosion had carried off the most fertile particles from these rather bare soils making manure input no longer effective. © 2004 Elsevier B.V. All rights reserved.","author":[{"dropping-particle":"","family":"Rouw","given":"Anneke","non-dropping-particle":"De","parse-names":false,"suffix":""},{"dropping-particle":"","family":"Rajot","given":"Jean Louis","non-dropping-particle":"","parse-names":false,"suffix":""}],"container-title":"Agriculture, Ecosystems and Environment","id":"ITEM-1","issue":"2","issued":{"date-parts":[["2004"]]},"page":"249-262","title":"Nutrient availability and pearl millet production in Sahelian farming systems based on manuring or fallowing","type":"article-journal","volume":"104"},"uris":["http://www.mendeley.com/documents/?uuid=8f99e554-e0e9-424f-962b-9571ef95f70c"]}],"mendeley":{"formattedCitation":"(De Rouw &amp; Rajot, 2004a)","plainTextFormattedCitation":"(De Rouw &amp; Rajot, 2004a)","previouslyFormattedCitation":"(De Rouw and Rajot 2004a)"},"properties":{"noteIndex":0},"schema":"https://github.com/citation-style-language/schema/raw/master/csl-citation.json"}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(De Rouw &amp; Rajot, 2004a)</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2227F3"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{"citationItems":[{"id":"ITEM-1","itemData":{"DOI":"10.1016/S0167-8809(02)00035-X","ISSN":"01678809","abstract":"Soils used for rainfed cereal production in Niger are sandy, deficient in major nutrients (N and P), and also low in organic matter content. Scarce rainfall with an unpredictable distribution in space and time makes crop and nutrient management difficult. Observations were made in 1996 and 1997 on management by a Fulani tribal household, based on manure application through corralling and on use of fallow. Field corralling of cattle left between 1.5 and 17 Mg ha-1 of manure on limited areas of the fields. Millet grain yields were increased from 500 kg ha-1 in areas manured 6 or more years ago to 1100 kg ha-1 in recently manured areas. Drought during the growing season of 1997 limited the effects of manure application on grain and straw yields. Soil carbon and nitrogen levels were higher at depths below 0.20 m in sites where manure was applied 4-5 years ago (M4), while pH and P were higher in 0-0.10 m of the soil profile in practices where manure was applied the same year (M0). Nutrient management in 1997 could have been improved by reducing the locally very high manure rates in order to fertilize a two or three times larger area and consequently improve yields over a larger area and reduce risks of nutrient leaching and crop damage from droughts. © 2002 Elsevier Science B.V. All rights reserved.","author":[{"dropping-particle":"","family":"Gandah","given":"M.","non-dropping-particle":"","parse-names":false,"suffix":""},{"dropping-particle":"","family":"Bouma","given":"J.","non-dropping-particle":"","parse-names":false,"suffix":""},{"dropping-particle":"","family":"Brouwer","given":"J.","non-dropping-particle":"","parse-names":false,"suffix":""},{"dropping-particle":"","family":"Hiernaux","given":"P.","non-dropping-particle":"","parse-names":false,"suffix":""},{"dropping-particle":"","family":"Duivenbooden","given":"N.","non-dropping-particle":"Van","parse-names":false,"suffix":""}],"container-title":"Agriculture, Ecosystems and Environment","id":"ITEM-1","issue":"3","issued":{"date-parts":[["2003"]]},"page":"311-319","title":"Strategies to optimize allocation of limited nutrients to sandy soils of the Sahel: A case study from Niger, west Africa","type":"article-journal","volume":"94"},"uris":["http://www.mendeley.com/documents/?uuid=405c0dde-dacf-4f0e-8e9e-50b8ec355788"]}],"mendeley":{"formattedCitation":"(Gandah et al., 2003)","manualFormatting":"Gandah et al., (2003)","plainTextFormattedCitation":"(Gandah et al., 2003)","previouslyFormattedCitation":"(Gandah et al. 2003)"},"properties":{"noteIndex":0},"schema":"https://github.com/citation-style-language/schema/raw/master/csl-citation.json"}</w:instrText>
      </w:r>
      <w:r w:rsidR="002227F3" w:rsidRPr="00C5457C">
        <w:rPr>
          <w:rFonts w:ascii="Times New Roman" w:hAnsi="Times New Roman" w:cs="Times New Roman"/>
          <w:sz w:val="24"/>
          <w:szCs w:val="24"/>
        </w:rPr>
        <w:fldChar w:fldCharType="separate"/>
      </w:r>
      <w:r w:rsidR="002227F3" w:rsidRPr="00C5457C">
        <w:rPr>
          <w:rFonts w:ascii="Times New Roman" w:hAnsi="Times New Roman" w:cs="Times New Roman"/>
          <w:noProof/>
          <w:sz w:val="24"/>
          <w:szCs w:val="24"/>
        </w:rPr>
        <w:t>Gandah et al., (2003)</w:t>
      </w:r>
      <w:r w:rsidR="002227F3" w:rsidRPr="00C5457C">
        <w:rPr>
          <w:rFonts w:ascii="Times New Roman" w:hAnsi="Times New Roman" w:cs="Times New Roman"/>
          <w:sz w:val="24"/>
          <w:szCs w:val="24"/>
        </w:rPr>
        <w:fldChar w:fldCharType="end"/>
      </w:r>
      <w:r w:rsidR="007116EE" w:rsidRPr="00C5457C">
        <w:rPr>
          <w:rFonts w:ascii="Times New Roman" w:hAnsi="Times New Roman" w:cs="Times New Roman"/>
          <w:sz w:val="24"/>
          <w:szCs w:val="24"/>
        </w:rPr>
        <w:t xml:space="preserve"> </w:t>
      </w:r>
      <w:r w:rsidR="002227F3" w:rsidRPr="00C5457C">
        <w:rPr>
          <w:rFonts w:ascii="Times New Roman" w:hAnsi="Times New Roman" w:cs="Times New Roman"/>
          <w:sz w:val="24"/>
          <w:szCs w:val="24"/>
        </w:rPr>
        <w:t>démontrent que les taux d'application de fumier de 1500 à 17000 kg MS ha-1 sur des zones de champ plus petites permettent d'augmenter les rendements de grain de 500 kg ha-1 sur les champs fumés plus de 6 ans auparavant et de 1100 kg ha-1 sur les zones de parcage récent.</w:t>
      </w:r>
      <w:r w:rsidR="00AB2FFF" w:rsidRPr="00C5457C">
        <w:rPr>
          <w:rFonts w:ascii="Times New Roman" w:hAnsi="Times New Roman" w:cs="Times New Roman"/>
          <w:sz w:val="24"/>
          <w:szCs w:val="24"/>
        </w:rPr>
        <w:t xml:space="preserve"> </w:t>
      </w:r>
      <w:r w:rsidR="007116EE" w:rsidRPr="00C5457C">
        <w:rPr>
          <w:rFonts w:ascii="Times New Roman" w:hAnsi="Times New Roman" w:cs="Times New Roman"/>
          <w:sz w:val="24"/>
          <w:szCs w:val="24"/>
        </w:rPr>
        <w:t xml:space="preserve">Selon </w:t>
      </w:r>
      <w:proofErr w:type="spellStart"/>
      <w:r w:rsidR="00EE5590" w:rsidRPr="00C5457C">
        <w:rPr>
          <w:rFonts w:ascii="Times New Roman" w:hAnsi="Times New Roman" w:cs="Times New Roman"/>
          <w:sz w:val="24"/>
          <w:szCs w:val="24"/>
        </w:rPr>
        <w:t>McIntire</w:t>
      </w:r>
      <w:proofErr w:type="spellEnd"/>
      <w:r w:rsidR="00EE5590" w:rsidRPr="00C5457C">
        <w:rPr>
          <w:rFonts w:ascii="Times New Roman" w:hAnsi="Times New Roman" w:cs="Times New Roman"/>
          <w:sz w:val="24"/>
          <w:szCs w:val="24"/>
        </w:rPr>
        <w:t xml:space="preserve"> et al. (1992), a</w:t>
      </w:r>
      <w:r w:rsidR="00395A02" w:rsidRPr="00C5457C">
        <w:rPr>
          <w:rFonts w:ascii="Times New Roman" w:hAnsi="Times New Roman" w:cs="Times New Roman"/>
          <w:sz w:val="24"/>
          <w:szCs w:val="24"/>
        </w:rPr>
        <w:t>vec u</w:t>
      </w:r>
      <w:r w:rsidR="00AB2FFF" w:rsidRPr="00C5457C">
        <w:rPr>
          <w:rFonts w:ascii="Times New Roman" w:hAnsi="Times New Roman" w:cs="Times New Roman"/>
          <w:sz w:val="24"/>
          <w:szCs w:val="24"/>
        </w:rPr>
        <w:t>ne tonne de fumier de MS</w:t>
      </w:r>
      <w:r w:rsidR="00395A02" w:rsidRPr="00C5457C">
        <w:rPr>
          <w:rFonts w:ascii="Times New Roman" w:hAnsi="Times New Roman" w:cs="Times New Roman"/>
          <w:sz w:val="24"/>
          <w:szCs w:val="24"/>
        </w:rPr>
        <w:t xml:space="preserve">, le rendement en grain de mil </w:t>
      </w:r>
      <w:r w:rsidR="007116EE" w:rsidRPr="00C5457C">
        <w:rPr>
          <w:rFonts w:ascii="Times New Roman" w:hAnsi="Times New Roman" w:cs="Times New Roman"/>
          <w:sz w:val="24"/>
          <w:szCs w:val="24"/>
        </w:rPr>
        <w:t>augmente</w:t>
      </w:r>
      <w:r w:rsidR="00395A02" w:rsidRPr="00C5457C">
        <w:rPr>
          <w:rFonts w:ascii="Times New Roman" w:hAnsi="Times New Roman" w:cs="Times New Roman"/>
          <w:sz w:val="24"/>
          <w:szCs w:val="24"/>
        </w:rPr>
        <w:t xml:space="preserve"> de 15 à 86 Kg </w:t>
      </w:r>
      <w:r w:rsidR="00395A02"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{"citationItems":[{"id":"ITEM-1","itemData":{"DOI":"10.1016/S0167-8809(00)00264-4","ISSN":"01678809","abstract":"In ago-pastoral systems of the semi-arid West African Sahel, targeted applications of ruminant manure to the cropland is a widespread practice to maintain soil productivity. However, studies exploring the decomposition and mineralization processes of manure under farmers' conditions are scarce. The present research in south-west Niger was undertaken to examine the role of micro-organisms and meso-fauna on in situ release rates of nitrogen (N), phosphorus (P) and potassium (K) from cattle and sheep-goat manure collected from village corrals during the rainy season. The results show that (1) macro-organisms played a dominant role in the initial phase of manure decomposition; (2) manure decomposition was faster on crusted than on sandy soils; (3) throughout the study N and P release rates closely followed the dry matter decomposition; (4) during the first 6 weeks after application the K concentration in the manure declined much faster than N or P. At the applied dry matter rate of 18.8 Mg ha-1, the quantities of N, P and K released from the manure during the rainy season were up to 10-fold larger than the annual nutrient uptake of pearl millet (Pennisetum glaucum L.), the dominant crop in the traditional agro-pastoral systems. The results indicate considerable nutrient losses with the scarce but heavy rainfalls which could be alleviated by smaller rates of manure application. Those, however, would require a more labour intensive system of corralling or manure distribution. © 2001 Elsevier Science B.V.","author":[{"dropping-particle":"","family":"Esse","given":"P. C.","non-dropping-particle":"","parse-names":false,"suffix":""},{"dropping-particle":"","family":"Buerkert","given":"A.","non-dropping-particle":"","parse-names":false,"suffix":""},{"dropping-particle":"","family":"Hiernaux","given":"P.","non-dropping-particle":"","parse-names":false,"suffix":""},{"dropping-particle":"","family":"Assa","given":"A.","non-dropping-particle":"","parse-names":false,"suffix":""}],"container-title":"Agriculture, Ecosystems and Environment","id":"ITEM-1","issue":"1-2","issued":{"date-parts":[["2001"]]},"page":"55-63","title":"Decomposition of and nutrient release from ruminant manure on acid sandy soils in the Sahelian zone of Niger, West Africa","type":"article-journal","volume":"83"},"uris":["http://www.mendeley.com/documents/?uuid=412dee95-abe4-40d5-9d37-c9411decb91d"]}],"mendeley":{"formattedCitation":"(Esse et al., 2001)","plainTextFormattedCitation":"(Esse et al., 2001)","previouslyFormattedCitation":"(Esse et al. 2001)"},"properties":{"noteIndex":0},"schema":"https://github.com/citation-style-language/schema/raw/master/csl-citation.json"}</w:instrText>
      </w:r>
      <w:r w:rsidR="00395A02"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(Esse et al., 2001)</w:t>
      </w:r>
      <w:r w:rsidR="00395A02" w:rsidRPr="00C5457C">
        <w:rPr>
          <w:rFonts w:ascii="Times New Roman" w:hAnsi="Times New Roman" w:cs="Times New Roman"/>
          <w:sz w:val="24"/>
          <w:szCs w:val="24"/>
        </w:rPr>
        <w:fldChar w:fldCharType="end"/>
      </w:r>
      <w:r w:rsidR="00EE5590" w:rsidRPr="00C5457C">
        <w:rPr>
          <w:rFonts w:ascii="Times New Roman" w:hAnsi="Times New Roman" w:cs="Times New Roman"/>
          <w:sz w:val="24"/>
          <w:szCs w:val="24"/>
        </w:rPr>
        <w:t xml:space="preserve">, et de 30 kg </w:t>
      </w:r>
      <w:r w:rsidR="007116EE" w:rsidRPr="00C5457C">
        <w:rPr>
          <w:rFonts w:ascii="Times New Roman" w:hAnsi="Times New Roman" w:cs="Times New Roman"/>
          <w:sz w:val="24"/>
          <w:szCs w:val="24"/>
        </w:rPr>
        <w:t>selon</w:t>
      </w:r>
      <w:r w:rsidR="00EE5590" w:rsidRPr="00C5457C">
        <w:rPr>
          <w:rFonts w:ascii="Times New Roman" w:hAnsi="Times New Roman" w:cs="Times New Roman"/>
          <w:sz w:val="24"/>
          <w:szCs w:val="24"/>
        </w:rPr>
        <w:t xml:space="preserve"> </w:t>
      </w:r>
      <w:r w:rsidR="00D04283" w:rsidRPr="00C5457C">
        <w:rPr>
          <w:rFonts w:ascii="Times New Roman" w:hAnsi="Times New Roman" w:cs="Times New Roman"/>
          <w:sz w:val="24"/>
          <w:szCs w:val="24"/>
        </w:rPr>
        <w:t>(</w:t>
      </w:r>
      <w:proofErr w:type="spellStart"/>
      <w:r w:rsidR="00EE5590" w:rsidRPr="00C5457C">
        <w:rPr>
          <w:rFonts w:ascii="Times New Roman" w:hAnsi="Times New Roman" w:cs="Times New Roman"/>
          <w:sz w:val="24"/>
          <w:szCs w:val="24"/>
        </w:rPr>
        <w:t>Agyemang</w:t>
      </w:r>
      <w:proofErr w:type="spellEnd"/>
      <w:r w:rsidR="00EE5590" w:rsidRPr="00C5457C">
        <w:rPr>
          <w:rFonts w:ascii="Times New Roman" w:hAnsi="Times New Roman" w:cs="Times New Roman"/>
          <w:sz w:val="24"/>
          <w:szCs w:val="24"/>
        </w:rPr>
        <w:t xml:space="preserve"> et al. (1993</w:t>
      </w:r>
      <w:r w:rsidR="00D04283" w:rsidRPr="00C5457C">
        <w:rPr>
          <w:rFonts w:ascii="Times New Roman" w:hAnsi="Times New Roman" w:cs="Times New Roman"/>
          <w:sz w:val="24"/>
          <w:szCs w:val="24"/>
        </w:rPr>
        <w:t>) ;</w:t>
      </w:r>
      <w:r w:rsidR="00EE5590" w:rsidRPr="00C5457C">
        <w:rPr>
          <w:rFonts w:ascii="Times New Roman" w:hAnsi="Times New Roman" w:cs="Times New Roman"/>
          <w:sz w:val="24"/>
          <w:szCs w:val="24"/>
        </w:rPr>
        <w:t xml:space="preserve"> </w:t>
      </w:r>
      <w:r w:rsidR="00EE5590"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{"citationItems":[{"id":"ITEM-1","itemData":{"DOI":"10.1017/S0014479702000212","ISBN":"0014479702","ISSN":"00144797","abstract":"The last 50 years have seen a rapid expansion of cultivated area in semi-arid areas of West Africa. This has precipitated a change from traditional fallowing to more pro-active soil fertility management techniques. Smallholder farmers employ a range of technologies to enhance soil fertility and manure is a cornerstone of many of the soil fertility management strategies they use. This paper reviews manure management by smallholder farmers. It considers factors that affect the quality of the manure used, including methods for keeping livestock and storing manure. The paper reviews the strategies, such as night parking and crop-livestock integration, which farmers employ to ensure that manure reaches their fields. The nutrient balances of two farming systems are presented as evidence for the importance of manure as a nutrient source. Rangeland-to-cropland nutrient transfers are contrasted with nutrient recycling through crop-livestock integration. The paper concludes that within the constraints in which smallholder farmers operate in semi-arid West Africa, manure will remain an important component of soil fertility management strategies for the foreseeable future. Integrated nutrient management strategies that take into consideration the circumstances of farmers, and the resources available to them, are the best way forward. Appropriate interventions need to focus on improving manure management to ensure that the material which farmers so laboriously prepare and transport is of the best possible quality.","author":[{"dropping-particle":"","family":"Harris","given":"F.","non-dropping-particle":"","parse-names":false,"suffix":""}],"container-title":"Experimental Agriculture","id":"ITEM-1","issue":"2","issued":{"date-parts":[["2002"]]},"page":"131-148","title":"Management of manure in farming systems in semi-arid West Africa","type":"article-journal","volume":"38"},"uris":["http://www.mendeley.com/documents/?uuid=fe353c70-330a-4dc2-b714-80ef2d3b88cb"]}],"mendeley":{"formattedCitation":"(Harris, 2002)","manualFormatting":"Harris, 2002)","plainTextFormattedCitation":"(Harris, 2002)","previouslyFormattedCitation":"(Harris 2002)"},"properties":{"noteIndex":0},"schema":"https://github.com/citation-style-language/schema/raw/master/csl-citation.json"}</w:instrText>
      </w:r>
      <w:r w:rsidR="00EE5590" w:rsidRPr="00C5457C">
        <w:rPr>
          <w:rFonts w:ascii="Times New Roman" w:hAnsi="Times New Roman" w:cs="Times New Roman"/>
          <w:sz w:val="24"/>
          <w:szCs w:val="24"/>
        </w:rPr>
        <w:fldChar w:fldCharType="separate"/>
      </w:r>
      <w:r w:rsidR="00212A21" w:rsidRPr="00C5457C">
        <w:rPr>
          <w:rFonts w:ascii="Times New Roman" w:hAnsi="Times New Roman" w:cs="Times New Roman"/>
          <w:noProof/>
          <w:sz w:val="24"/>
          <w:szCs w:val="24"/>
        </w:rPr>
        <w:t>Harris, 2002)</w:t>
      </w:r>
      <w:r w:rsidR="00EE5590" w:rsidRPr="00C5457C">
        <w:rPr>
          <w:rFonts w:ascii="Times New Roman" w:hAnsi="Times New Roman" w:cs="Times New Roman"/>
          <w:sz w:val="24"/>
          <w:szCs w:val="24"/>
        </w:rPr>
        <w:fldChar w:fldCharType="end"/>
      </w:r>
      <w:r w:rsidR="00EE5590" w:rsidRPr="00C5457C">
        <w:rPr>
          <w:rFonts w:ascii="Times New Roman" w:hAnsi="Times New Roman" w:cs="Times New Roman"/>
          <w:sz w:val="24"/>
          <w:szCs w:val="24"/>
        </w:rPr>
        <w:t xml:space="preserve">. </w:t>
      </w:r>
      <w:r w:rsidR="00C46284" w:rsidRPr="00C5457C">
        <w:rPr>
          <w:rFonts w:ascii="Times New Roman" w:hAnsi="Times New Roman" w:cs="Times New Roman"/>
          <w:sz w:val="24"/>
          <w:szCs w:val="24"/>
        </w:rPr>
        <w:t xml:space="preserve">Il </w:t>
      </w:r>
      <w:r w:rsidR="009C669E" w:rsidRPr="00C5457C">
        <w:rPr>
          <w:rFonts w:ascii="Times New Roman" w:hAnsi="Times New Roman" w:cs="Times New Roman"/>
          <w:sz w:val="24"/>
          <w:szCs w:val="24"/>
        </w:rPr>
        <w:t>a</w:t>
      </w:r>
      <w:r w:rsidR="00C46284" w:rsidRPr="00C5457C">
        <w:rPr>
          <w:rFonts w:ascii="Times New Roman" w:hAnsi="Times New Roman" w:cs="Times New Roman"/>
          <w:sz w:val="24"/>
          <w:szCs w:val="24"/>
        </w:rPr>
        <w:t xml:space="preserve"> été obtenu</w:t>
      </w:r>
      <w:r w:rsidR="002C6CBD" w:rsidRPr="00C5457C">
        <w:rPr>
          <w:rFonts w:ascii="Times New Roman" w:hAnsi="Times New Roman" w:cs="Times New Roman"/>
          <w:sz w:val="24"/>
          <w:szCs w:val="24"/>
        </w:rPr>
        <w:t>s</w:t>
      </w:r>
      <w:r w:rsidR="00C46284" w:rsidRPr="00C5457C">
        <w:rPr>
          <w:rFonts w:ascii="Times New Roman" w:hAnsi="Times New Roman" w:cs="Times New Roman"/>
          <w:sz w:val="24"/>
          <w:szCs w:val="24"/>
        </w:rPr>
        <w:t xml:space="preserve"> </w:t>
      </w:r>
      <w:r w:rsidR="00787EC0" w:rsidRPr="00C5457C">
        <w:rPr>
          <w:rFonts w:ascii="Times New Roman" w:hAnsi="Times New Roman" w:cs="Times New Roman"/>
          <w:sz w:val="24"/>
          <w:szCs w:val="24"/>
        </w:rPr>
        <w:t xml:space="preserve">par </w:t>
      </w:r>
      <w:r w:rsidR="00556A93"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{"citationItems":[{"id":"ITEM-1","itemData":{"DOI":"10.4314/ijbcs.v8i4.24","ISSN":"1991-8631","abstract":"Peu de données existent sur la contribution en azote des légumineuses, et leurs impacts en présence des fumures sur la nutrition azotée des céréales. Ainsi, pour évaluer les effets du niébé et des fumures organo-minérales sur la nutrition azotée et les rendements du mil subséquent, une expérimentation a été conduite de 2008 à 2009 à Sadoré au Niger. Dans un dispositif en split-plot, trois doses de résidus, de fumier et d’engrais minéraux ont été appliquées dans une rotation niébé-mil. La méthode isotopique de 15N a été utilisée pour déterminer le coefficient réel d’utilisation d’engrais azoté (CRU). En présence de résidus, le CRU a varié de 16 à 23%. Les doses du fumier ont entraîné sa variation de 16 à 22%. Le CRU du mil subséquent était de 30% contre 22% pour le mil en monoculture. Le mil subséquent a prélevé du sol 54 kg N ha-1 contre 38 kg N ha-1 pour le mil en continu. Les doses des fumures et leur combinaison dans les systèmes de culture, ont augmenté les rendements du mil de 17 à 272%. La nutrition azotée et la productivité des systèmes peuvent donc être améliorées en combinant les fumures organo-minérales et les rotations avec légumineuses.","author":[{"dropping-particle":"","family":"Zeinabou","given":"H","non-dropping-particle":"","parse-names":false,"suffix":""},{"dropping-particle":"","family":"Mahamane","given":"S","non-dropping-particle":"","parse-names":false,"suffix":""},{"dropping-particle":"","family":"Bismarck","given":"NH","non-dropping-particle":"","parse-names":false,"suffix":""},{"dropping-particle":"","family":"Bado","given":"BV","non-dropping-particle":"","parse-names":false,"suffix":""},{"dropping-particle":"","family":"Lompo","given":"F","non-dropping-particle":"","parse-names":false,"suffix":""},{"dropping-particle":"","family":"Bationo","given":"A","non-dropping-particle":"","parse-names":false,"suffix":""}],"container-title":"International Journal of Biological and Chemical Sciences","id":"ITEM-1","issue":"4","issued":{"date-parts":[["2015"]]},"page":"1620","title":"Effet de la combinaison des fumures organo-minérales et de la rotation niébé-mil sur la nutrition azotée et les rendements du mil au sahel","type":"article-journal","volume":"8"},"uris":["http://www.mendeley.com/documents/?uuid=8c9b131c-87c7-4aeb-893e-e9a209f436da"]}],"mendeley":{"formattedCitation":"(Zeinabou et al., 2015)","manualFormatting":"Zeinabou et al., (2015)","plainTextFormattedCitation":"(Zeinabou et al., 2015)","previouslyFormattedCitation":"(Zeinabou et al. 2015)"},"properties":{"noteIndex":0},"schema":"https://github.com/citation-style-language/schema/raw/master/csl-citation.json"}</w:instrText>
      </w:r>
      <w:r w:rsidR="00556A93" w:rsidRPr="00C5457C">
        <w:rPr>
          <w:rFonts w:ascii="Times New Roman" w:hAnsi="Times New Roman" w:cs="Times New Roman"/>
          <w:sz w:val="24"/>
          <w:szCs w:val="24"/>
        </w:rPr>
        <w:fldChar w:fldCharType="separate"/>
      </w:r>
      <w:r w:rsidR="00556A93" w:rsidRPr="00C5457C">
        <w:rPr>
          <w:rFonts w:ascii="Times New Roman" w:hAnsi="Times New Roman" w:cs="Times New Roman"/>
          <w:noProof/>
          <w:sz w:val="24"/>
          <w:szCs w:val="24"/>
        </w:rPr>
        <w:t>Zeinabou et al., (2015)</w:t>
      </w:r>
      <w:r w:rsidR="00556A93" w:rsidRPr="00C5457C">
        <w:rPr>
          <w:rFonts w:ascii="Times New Roman" w:hAnsi="Times New Roman" w:cs="Times New Roman"/>
          <w:sz w:val="24"/>
          <w:szCs w:val="24"/>
        </w:rPr>
        <w:fldChar w:fldCharType="end"/>
      </w:r>
      <w:r w:rsidR="00556A93" w:rsidRPr="00C5457C">
        <w:rPr>
          <w:rFonts w:ascii="Times New Roman" w:hAnsi="Times New Roman" w:cs="Times New Roman"/>
          <w:sz w:val="24"/>
          <w:szCs w:val="24"/>
        </w:rPr>
        <w:t xml:space="preserve"> une augmentation du rendement grain du mil de 11 à 25% pour le fumier et 100 et 112% pour le fumier + engrais. </w:t>
      </w:r>
      <w:proofErr w:type="spellStart"/>
      <w:r w:rsidR="002C6CBD" w:rsidRPr="00C5457C">
        <w:rPr>
          <w:rFonts w:ascii="Times New Roman" w:hAnsi="Times New Roman" w:cs="Times New Roman"/>
          <w:sz w:val="24"/>
          <w:szCs w:val="24"/>
        </w:rPr>
        <w:t>Hiernaux</w:t>
      </w:r>
      <w:proofErr w:type="spellEnd"/>
      <w:r w:rsidR="00BF3E38" w:rsidRPr="00C5457C">
        <w:rPr>
          <w:rFonts w:ascii="Times New Roman" w:hAnsi="Times New Roman" w:cs="Times New Roman"/>
          <w:sz w:val="24"/>
          <w:szCs w:val="24"/>
        </w:rPr>
        <w:t> &amp;</w:t>
      </w:r>
      <w:r w:rsidR="002C6CBD" w:rsidRPr="00C5457C">
        <w:rPr>
          <w:rFonts w:ascii="Times New Roman" w:hAnsi="Times New Roman" w:cs="Times New Roman"/>
          <w:sz w:val="24"/>
          <w:szCs w:val="24"/>
        </w:rPr>
        <w:t xml:space="preserve"> </w:t>
      </w:r>
      <w:proofErr w:type="spellStart"/>
      <w:r w:rsidR="002C6CBD" w:rsidRPr="00C5457C">
        <w:rPr>
          <w:rFonts w:ascii="Times New Roman" w:hAnsi="Times New Roman" w:cs="Times New Roman"/>
          <w:sz w:val="24"/>
          <w:szCs w:val="24"/>
        </w:rPr>
        <w:t>Ayantunde</w:t>
      </w:r>
      <w:proofErr w:type="spellEnd"/>
      <w:r w:rsidR="00BF3E38" w:rsidRPr="00C5457C">
        <w:rPr>
          <w:rFonts w:ascii="Times New Roman" w:hAnsi="Times New Roman" w:cs="Times New Roman"/>
          <w:sz w:val="24"/>
          <w:szCs w:val="24"/>
        </w:rPr>
        <w:t>,</w:t>
      </w:r>
      <w:r w:rsidR="002C6CBD" w:rsidRPr="00C5457C">
        <w:rPr>
          <w:rFonts w:ascii="Times New Roman" w:hAnsi="Times New Roman" w:cs="Times New Roman"/>
          <w:sz w:val="24"/>
          <w:szCs w:val="24"/>
        </w:rPr>
        <w:t xml:space="preserve"> (2004) ont obt</w:t>
      </w:r>
      <w:r w:rsidR="00BF3E38" w:rsidRPr="00C5457C">
        <w:rPr>
          <w:rFonts w:ascii="Times New Roman" w:hAnsi="Times New Roman" w:cs="Times New Roman"/>
          <w:sz w:val="24"/>
          <w:szCs w:val="24"/>
        </w:rPr>
        <w:t>e</w:t>
      </w:r>
      <w:r w:rsidR="002C6CBD" w:rsidRPr="00C5457C">
        <w:rPr>
          <w:rFonts w:ascii="Times New Roman" w:hAnsi="Times New Roman" w:cs="Times New Roman"/>
          <w:sz w:val="24"/>
          <w:szCs w:val="24"/>
        </w:rPr>
        <w:t>nus une augmentation des rendement de 350 Kg ha</w:t>
      </w:r>
      <w:r w:rsidR="002C6CBD" w:rsidRPr="00C5457C">
        <w:rPr>
          <w:rFonts w:ascii="Times New Roman" w:hAnsi="Times New Roman" w:cs="Times New Roman"/>
          <w:sz w:val="24"/>
          <w:szCs w:val="24"/>
          <w:vertAlign w:val="superscript"/>
        </w:rPr>
        <w:t>-1</w:t>
      </w:r>
      <w:r w:rsidR="002C6CBD" w:rsidRPr="00C5457C">
        <w:rPr>
          <w:rFonts w:ascii="Times New Roman" w:hAnsi="Times New Roman" w:cs="Times New Roman"/>
          <w:sz w:val="24"/>
          <w:szCs w:val="24"/>
        </w:rPr>
        <w:t xml:space="preserve"> grâce à  l’application localisée de P (2 g DAP par poquet) combinée à l’application de 6000 kg MS fumier ha</w:t>
      </w:r>
      <w:r w:rsidR="00C624A2" w:rsidRPr="00C5457C">
        <w:rPr>
          <w:rFonts w:ascii="Times New Roman" w:hAnsi="Times New Roman" w:cs="Times New Roman"/>
          <w:sz w:val="24"/>
          <w:szCs w:val="24"/>
          <w:vertAlign w:val="superscript"/>
        </w:rPr>
        <w:t>-1</w:t>
      </w:r>
      <w:r w:rsidR="002C6CBD" w:rsidRPr="00C5457C">
        <w:rPr>
          <w:rFonts w:ascii="Times New Roman" w:hAnsi="Times New Roman" w:cs="Times New Roman"/>
          <w:sz w:val="24"/>
          <w:szCs w:val="24"/>
        </w:rPr>
        <w:t xml:space="preserve"> </w:t>
      </w:r>
      <w:r w:rsidR="002C6CBD"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{"citationItems":[{"id":"ITEM-1","itemData":{"author":[{"dropping-particle":"","family":"Dutordoir","given":"Caroline Dandois","non-dropping-particle":"","parse-names":false,"suffix":""}],"id":"ITEM-1","issue":"11","issued":{"date-parts":[["2006"]]},"number-of-pages":"2016","publisher":"UNIVERSITE CATHOLIQUE DE LOUVAIN","title":"Impact de pratiques de gestion de la fertilité sur les rendements en mil dans le Fakara (Niger). Travail de fin d’études présenté en vue de l’obtention du grade de bio-ingénieur.","type":"thesis","volume":"18"},"uris":["http://www.mendeley.com/documents/?uuid=dd1e045d-848d-4ede-9aff-a382103a3ef9"]}],"mendeley":{"formattedCitation":"(Dutordoir, 2006)","plainTextFormattedCitation":"(Dutordoir, 2006)","previouslyFormattedCitation":"(Dutordoir 2006)"},"properties":{"noteIndex":0},"schema":"https://github.com/citation-style-language/schema/raw/master/csl-citation.json"}</w:instrText>
      </w:r>
      <w:r w:rsidR="002C6CBD"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(Dutordoir, 2006)</w:t>
      </w:r>
      <w:r w:rsidR="002C6CBD" w:rsidRPr="00C5457C">
        <w:rPr>
          <w:rFonts w:ascii="Times New Roman" w:hAnsi="Times New Roman" w:cs="Times New Roman"/>
          <w:sz w:val="24"/>
          <w:szCs w:val="24"/>
        </w:rPr>
        <w:fldChar w:fldCharType="end"/>
      </w:r>
      <w:r w:rsidR="002C6CBD" w:rsidRPr="00C5457C">
        <w:rPr>
          <w:rFonts w:ascii="Times New Roman" w:hAnsi="Times New Roman" w:cs="Times New Roman"/>
          <w:sz w:val="24"/>
          <w:szCs w:val="24"/>
        </w:rPr>
        <w:t>.</w:t>
      </w:r>
      <w:r w:rsidR="002033D2" w:rsidRPr="00C5457C">
        <w:rPr>
          <w:rFonts w:ascii="Times New Roman" w:hAnsi="Times New Roman" w:cs="Times New Roman"/>
          <w:sz w:val="24"/>
          <w:szCs w:val="24"/>
        </w:rPr>
        <w:t xml:space="preserve"> Le fumier stimule le tallage, ce qui augmente la production de feuilles et de tiges. Ce surplus de biomasse dans les champs fertilisés</w:t>
      </w:r>
      <w:r w:rsidR="00401D7B" w:rsidRPr="00C5457C">
        <w:rPr>
          <w:rFonts w:ascii="Times New Roman" w:hAnsi="Times New Roman" w:cs="Times New Roman"/>
          <w:sz w:val="24"/>
          <w:szCs w:val="24"/>
        </w:rPr>
        <w:t xml:space="preserve"> </w:t>
      </w:r>
      <w:r w:rsidR="002033D2" w:rsidRPr="00C5457C">
        <w:rPr>
          <w:rFonts w:ascii="Times New Roman" w:hAnsi="Times New Roman" w:cs="Times New Roman"/>
          <w:sz w:val="24"/>
          <w:szCs w:val="24"/>
        </w:rPr>
        <w:t xml:space="preserve">entraîné une augmentation de </w:t>
      </w:r>
      <w:r w:rsidR="00401D7B" w:rsidRPr="00C5457C">
        <w:rPr>
          <w:rFonts w:ascii="Times New Roman" w:hAnsi="Times New Roman" w:cs="Times New Roman"/>
          <w:sz w:val="24"/>
          <w:szCs w:val="24"/>
        </w:rPr>
        <w:t>50%</w:t>
      </w:r>
      <w:r w:rsidR="002033D2" w:rsidRPr="00C5457C">
        <w:rPr>
          <w:rFonts w:ascii="Times New Roman" w:hAnsi="Times New Roman" w:cs="Times New Roman"/>
          <w:sz w:val="24"/>
          <w:szCs w:val="24"/>
        </w:rPr>
        <w:t xml:space="preserve"> des résidus de culture </w:t>
      </w:r>
      <w:r w:rsidR="002033D2"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{"citationItems":[{"id":"ITEM-1","itemData":{"DOI":"10.1016/j.agee.2003.12.019","ISBN":"8562141437","ISSN":"01678809","abstract":"Pearl millet production in the sandy soils of the Sahel is maintained by fallows and manures are the principal added source of fertility. Due to rapid population growth fallow periods are reduced, yields and nutrient availability decline and manure seems to be the only reasonable alternative for fallowing. This on-farm study (Banizoumbou, semi-arid Niger) investigates crop response to low and very low nutrient availability as well as within-season shortages and within field variations. Two sources of data were combined: a 3-year field experiment with dung application (5 Mg ha-1) and weeding frequency (no, two and four weedings); and a comparison of farming systems, n=32,field×years (i) permanent cultivation with manure; (ii) cultivation after long fallows &gt;15 years; (iii) cultivation after short fallows 3-5 years. The permanent cultivation of soils in the study area is achieved with extremely low levels of manure input 0.5-1 Mg ha-1 per year, adding about 10 kg N, 1.2 kg P and 5 kg K to the soil. Dung inputs allow grain yield (350 kg ha-1) and nutrient supply (ECEC 0.81 mmolc kg -1, total N 151 mg kg-1, 0-20 cm depth) to remain stable under prolonged cropping (10-17 years), while field without manure need fallowing for long periods (&gt;15 years) to restore fertility. The trend from long to short fallow periods accords with decline in grain yield from 300 kg ha-1 yields down to 125 kg ha-1 and of a ECEC reduction from 1.10 to 0.72 mmolc kg-1. The positive effect of dung application on crop growth is restricted to the first half of the season resulting in extra panicles and 50% extra crop residues. Other yield components remained unaffected and grain yield is but slightly improved because the initial good conditions do not continue. Very small variations in fertility - ECEC, NPK - induced by dung application, excessive weeding or due to soil surface conditions, had yet an impact on pearl millet growth and grain yield. The field experiment showed that nutrient levels and grain yield decline with excessive weeding but less so if dung is applied. Manuring is an alternative for fallowing rather than replacing it because additional constrains crop up with prolonged cultivation: the population of coprophage insects was reduced so some dung stayed unconsumed, and extremely sandy soils developed because wind erosion had carried off the most fertile particles from these rather bare soils making manure input no longer effective. © 2004 Elsevier B.V. All rights reserved.","author":[{"dropping-particle":"","family":"Rouw","given":"Anneke","non-dropping-particle":"De","parse-names":false,"suffix":""},{"dropping-particle":"","family":"Rajot","given":"Jean Louis","non-dropping-particle":"","parse-names":false,"suffix":""}],"container-title":"Agriculture, Ecosystems and Environment","id":"ITEM-1","issue":"2","issued":{"date-parts":[["2004"]]},"page":"249-262","title":"Nutrient availability and pearl millet production in Sahelian farming systems based on manuring or fallowing","type":"article-journal","volume":"104"},"uris":["http://www.mendeley.com/documents/?uuid=8f99e554-e0e9-424f-962b-9571ef95f70c"]}],"mendeley":{"formattedCitation":"(De Rouw &amp; Rajot, 2004a)","plainTextFormattedCitation":"(De Rouw &amp; Rajot, 2004a)","previouslyFormattedCitation":"(De Rouw and Rajot 2004a)"},"properties":{"noteIndex":0},"schema":"https://github.com/citation-style-language/schema/raw/master/csl-citation.json"}</w:instrText>
      </w:r>
      <w:r w:rsidR="002033D2"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(De Rouw &amp; Rajot, 2004a)</w:t>
      </w:r>
      <w:r w:rsidR="002033D2" w:rsidRPr="00C5457C">
        <w:rPr>
          <w:rFonts w:ascii="Times New Roman" w:hAnsi="Times New Roman" w:cs="Times New Roman"/>
          <w:sz w:val="24"/>
          <w:szCs w:val="24"/>
        </w:rPr>
        <w:fldChar w:fldCharType="end"/>
      </w:r>
      <w:r w:rsidR="002033D2" w:rsidRPr="00C5457C">
        <w:rPr>
          <w:rFonts w:ascii="Times New Roman" w:hAnsi="Times New Roman" w:cs="Times New Roman"/>
          <w:sz w:val="24"/>
          <w:szCs w:val="24"/>
        </w:rPr>
        <w:t>.</w:t>
      </w:r>
    </w:p>
    <w:p w14:paraId="494FB57B" w14:textId="63A6595C" w:rsidR="005636A9" w:rsidRPr="00C5457C" w:rsidRDefault="008D3459"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Le fumier et les excréments fournissaient 80 à 90 % de l’apport total en azote et 60 à 70 % de l’apport total en phosphore et en potassium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{"citationItems":[{"id":"ITEM-1","itemData":{"DOI":"10.1017/S0014479702000212","ISBN":"0014479702","ISSN":"00144797","abstract":"The last 50 years have seen a rapid expansion of cultivated area in semi-arid areas of West Africa. This has precipitated a change from traditional fallowing to more pro-active soil fertility management techniques. Smallholder farmers employ a range of technologies to enhance soil fertility and manure is a cornerstone of many of the soil fertility management strategies they use. This paper reviews manure management by smallholder farmers. It considers factors that affect the quality of the manure used, including methods for keeping livestock and storing manure. The paper reviews the strategies, such as night parking and crop-livestock integration, which farmers employ to ensure that manure reaches their fields. The nutrient balances of two farming systems are presented as evidence for the importance of manure as a nutrient source. Rangeland-to-cropland nutrient transfers are contrasted with nutrient recycling through crop-livestock integration. The paper concludes that within the constraints in which smallholder farmers operate in semi-arid West Africa, manure will remain an important component of soil fertility management strategies for the foreseeable future. Integrated nutrient management strategies that take into consideration the circumstances of farmers, and the resources available to them, are the best way forward. Appropriate interventions need to focus on improving manure management to ensure that the material which farmers so laboriously prepare and transport is of the best possible quality.","author":[{"dropping-particle":"","family":"Harris","given":"F.","non-dropping-particle":"","parse-names":false,"suffix":""}],"container-title":"Experimental Agriculture","id":"ITEM-1","issue":"2","issued":{"date-parts":[["2002"]]},"page":"131-148","title":"Management of manure in farming systems in semi-arid West Africa","type":"article-journal","volume":"38"},"uris":["http://www.mendeley.com/documents/?uuid=fe353c70-330a-4dc2-b714-80ef2d3b88cb"]}],"mendeley":{"formattedCitation":"(Harris, 2002)","plainTextFormattedCitation":"(Harris, 2002)","previouslyFormattedCitation":"(Harris 2002)"},"properties":{"noteIndex":0},"schema":"https://github.com/citation-style-language/schema/raw/master/csl-citation.json"}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(Harris, 2002)</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5636A9" w:rsidRPr="00C5457C">
        <w:rPr>
          <w:rFonts w:ascii="Times New Roman" w:hAnsi="Times New Roman" w:cs="Times New Roman"/>
          <w:sz w:val="24"/>
          <w:szCs w:val="24"/>
        </w:rPr>
        <w:t xml:space="preserve">Pour </w:t>
      </w:r>
      <w:r w:rsidR="005636A9"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{"citationItems":[{"id":"ITEM-1","itemData":{"DOI":"10.1016/S0167-8809(02)00035-X","ISSN":"01678809","abstract":"Soils used for rainfed cereal production in Niger are sandy, deficient in major nutrients (N and P), and also low in organic matter content. Scarce rainfall with an unpredictable distribution in space and time makes crop and nutrient management difficult. Observations were made in 1996 and 1997 on management by a Fulani tribal household, based on manure application through corralling and on use of fallow. Field corralling of cattle left between 1.5 and 17 Mg ha-1 of manure on limited areas of the fields. Millet grain yields were increased from 500 kg ha-1 in areas manured 6 or more years ago to 1100 kg ha-1 in recently manured areas. Drought during the growing season of 1997 limited the effects of manure application on grain and straw yields. Soil carbon and nitrogen levels were higher at depths below 0.20 m in sites where manure was applied 4-5 years ago (M4), while pH and P were higher in 0-0.10 m of the soil profile in practices where manure was applied the same year (M0). Nutrient management in 1997 could have been improved by reducing the locally very high manure rates in order to fertilize a two or three times larger area and consequently improve yields over a larger area and reduce risks of nutrient leaching and crop damage from droughts. © 2002 Elsevier Science B.V. All rights reserved.","author":[{"dropping-particle":"","family":"Gandah","given":"M.","non-dropping-particle":"","parse-names":false,"suffix":""},{"dropping-particle":"","family":"Bouma","given":"J.","non-dropping-particle":"","parse-names":false,"suffix":""},{"dropping-particle":"","family":"Brouwer","given":"J.","non-dropping-particle":"","parse-names":false,"suffix":""},{"dropping-particle":"","family":"Hiernaux","given":"P.","non-dropping-particle":"","parse-names":false,"suffix":""},{"dropping-particle":"","family":"Duivenbooden","given":"N.","non-dropping-particle":"Van","parse-names":false,"suffix":""}],"container-title":"Agriculture, Ecosystems and Environment","id":"ITEM-1","issue":"3","issued":{"date-parts":[["2003"]]},"page":"311-319","title":"Strategies to optimize allocation of limited nutrients to sandy soils of the Sahel: A case study from Niger, west Africa","type":"article-journal","volume":"94"},"uris":["http://www.mendeley.com/documents/?uuid=405c0dde-dacf-4f0e-8e9e-50b8ec355788"]}],"mendeley":{"formattedCitation":"(Gandah et al., 2003)","manualFormatting":"Gandah et al., (2003)","plainTextFormattedCitation":"(Gandah et al., 2003)","previouslyFormattedCitation":"(Gandah et al. 2003)"},"properties":{"noteIndex":0},"schema":"https://github.com/citation-style-language/schema/raw/master/csl-citation.json"}</w:instrText>
      </w:r>
      <w:r w:rsidR="005636A9" w:rsidRPr="00C5457C">
        <w:rPr>
          <w:rFonts w:ascii="Times New Roman" w:hAnsi="Times New Roman" w:cs="Times New Roman"/>
          <w:sz w:val="24"/>
          <w:szCs w:val="24"/>
        </w:rPr>
        <w:fldChar w:fldCharType="separate"/>
      </w:r>
      <w:r w:rsidR="005636A9" w:rsidRPr="00C5457C">
        <w:rPr>
          <w:rFonts w:ascii="Times New Roman" w:hAnsi="Times New Roman" w:cs="Times New Roman"/>
          <w:noProof/>
          <w:sz w:val="24"/>
          <w:szCs w:val="24"/>
        </w:rPr>
        <w:t>Gandah et al., (2003)</w:t>
      </w:r>
      <w:r w:rsidR="005636A9" w:rsidRPr="00C5457C">
        <w:rPr>
          <w:rFonts w:ascii="Times New Roman" w:hAnsi="Times New Roman" w:cs="Times New Roman"/>
          <w:sz w:val="24"/>
          <w:szCs w:val="24"/>
        </w:rPr>
        <w:fldChar w:fldCharType="end"/>
      </w:r>
      <w:r w:rsidR="005636A9" w:rsidRPr="00C5457C">
        <w:rPr>
          <w:rFonts w:ascii="Times New Roman" w:hAnsi="Times New Roman" w:cs="Times New Roman"/>
          <w:sz w:val="24"/>
          <w:szCs w:val="24"/>
        </w:rPr>
        <w:t xml:space="preserve"> 3-14 Mg</w:t>
      </w:r>
      <w:r w:rsidR="00552FC7" w:rsidRPr="00C5457C">
        <w:rPr>
          <w:rFonts w:ascii="Times New Roman" w:hAnsi="Times New Roman" w:cs="Times New Roman"/>
          <w:sz w:val="24"/>
          <w:szCs w:val="24"/>
        </w:rPr>
        <w:t xml:space="preserve"> </w:t>
      </w:r>
      <w:r w:rsidR="005636A9" w:rsidRPr="00C5457C">
        <w:rPr>
          <w:rFonts w:ascii="Times New Roman" w:hAnsi="Times New Roman" w:cs="Times New Roman"/>
          <w:sz w:val="24"/>
          <w:szCs w:val="24"/>
        </w:rPr>
        <w:t xml:space="preserve">ha-1 de fumier équivaut à 43-199 kg ha-1 de N et 4,8-22,4 kg ha-1 de P.  </w:t>
      </w:r>
      <w:r w:rsidR="006E02AC" w:rsidRPr="00C5457C">
        <w:rPr>
          <w:rFonts w:ascii="Times New Roman" w:hAnsi="Times New Roman" w:cs="Times New Roman"/>
          <w:sz w:val="24"/>
          <w:szCs w:val="24"/>
        </w:rPr>
        <w:t xml:space="preserve">Selon </w:t>
      </w:r>
      <w:r w:rsidR="006E02AC"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{"citationItems":[{"id":"ITEM-1","itemData":{"DOI":"10.1016/j.agee.2003.12.019","ISBN":"8562141437","ISSN":"01678809","abstract":"Pearl millet production in the sandy soils of the Sahel is maintained by fallows and manures are the principal added source of fertility. Due to rapid population growth fallow periods are reduced, yields and nutrient availability decline and manure seems to be the only reasonable alternative for fallowing. This on-farm study (Banizoumbou, semi-arid Niger) investigates crop response to low and very low nutrient availability as well as within-season shortages and within field variations. Two sources of data were combined: a 3-year field experiment with dung application (5 Mg ha-1) and weeding frequency (no, two and four weedings); and a comparison of farming systems, n=32,field×years (i) permanent cultivation with manure; (ii) cultivation after long fallows &gt;15 years; (iii) cultivation after short fallows 3-5 years. The permanent cultivation of soils in the study area is achieved with extremely low levels of manure input 0.5-1 Mg ha-1 per year, adding about 10 kg N, 1.2 kg P and 5 kg K to the soil. Dung inputs allow grain yield (350 kg ha-1) and nutrient supply (ECEC 0.81 mmolc kg -1, total N 151 mg kg-1, 0-20 cm depth) to remain stable under prolonged cropping (10-17 years), while field without manure need fallowing for long periods (&gt;15 years) to restore fertility. The trend from long to short fallow periods accords with decline in grain yield from 300 kg ha-1 yields down to 125 kg ha-1 and of a ECEC reduction from 1.10 to 0.72 mmolc kg-1. The positive effect of dung application on crop growth is restricted to the first half of the season resulting in extra panicles and 50% extra crop residues. Other yield components remained unaffected and grain yield is but slightly improved because the initial good conditions do not continue. Very small variations in fertility - ECEC, NPK - induced by dung application, excessive weeding or due to soil surface conditions, had yet an impact on pearl millet growth and grain yield. The field experiment showed that nutrient levels and grain yield decline with excessive weeding but less so if dung is applied. Manuring is an alternative for fallowing rather than replacing it because additional constrains crop up with prolonged cultivation: the population of coprophage insects was reduced so some dung stayed unconsumed, and extremely sandy soils developed because wind erosion had carried off the most fertile particles from these rather bare soils making manure input no longer effective. © 2004 Elsevier B.V. All rights reserved.","author":[{"dropping-particle":"","family":"Rouw","given":"Anneke","non-dropping-particle":"De","parse-names":false,"suffix":""},{"dropping-particle":"","family":"Rajot","given":"Jean Louis","non-dropping-particle":"","parse-names":false,"suffix":""}],"container-title":"Agriculture, Ecosystems and Environment","id":"ITEM-1","issue":"2","issued":{"date-parts":[["2004"]]},"page":"249-262","title":"Nutrient availability and pearl millet production in Sahelian farming systems based on manuring or fallowing","type":"article-journal","volume":"104"},"uris":["http://www.mendeley.com/documents/?uuid=8f99e554-e0e9-424f-962b-9571ef95f70c"]}],"mendeley":{"formattedCitation":"(De Rouw &amp; Rajot, 2004a)","manualFormatting":"De Rouw &amp; Rajot, (2004a)","plainTextFormattedCitation":"(De Rouw &amp; Rajot, 2004a)","previouslyFormattedCitation":"(De Rouw and Rajot 2004a)"},"properties":{"noteIndex":0},"schema":"https://github.com/citation-style-language/schema/raw/master/csl-citation.json"}</w:instrText>
      </w:r>
      <w:r w:rsidR="006E02AC" w:rsidRPr="00C5457C">
        <w:rPr>
          <w:rFonts w:ascii="Times New Roman" w:hAnsi="Times New Roman" w:cs="Times New Roman"/>
          <w:sz w:val="24"/>
          <w:szCs w:val="24"/>
        </w:rPr>
        <w:fldChar w:fldCharType="separate"/>
      </w:r>
      <w:r w:rsidR="00556A93" w:rsidRPr="00C5457C">
        <w:rPr>
          <w:rFonts w:ascii="Times New Roman" w:hAnsi="Times New Roman" w:cs="Times New Roman"/>
          <w:noProof/>
          <w:sz w:val="24"/>
          <w:szCs w:val="24"/>
        </w:rPr>
        <w:t xml:space="preserve">De Rouw &amp; Rajot, </w:t>
      </w:r>
      <w:r w:rsidR="002033D2" w:rsidRPr="00C5457C">
        <w:rPr>
          <w:rFonts w:ascii="Times New Roman" w:hAnsi="Times New Roman" w:cs="Times New Roman"/>
          <w:noProof/>
          <w:sz w:val="24"/>
          <w:szCs w:val="24"/>
        </w:rPr>
        <w:t>(</w:t>
      </w:r>
      <w:r w:rsidR="00556A93" w:rsidRPr="00C5457C">
        <w:rPr>
          <w:rFonts w:ascii="Times New Roman" w:hAnsi="Times New Roman" w:cs="Times New Roman"/>
          <w:noProof/>
          <w:sz w:val="24"/>
          <w:szCs w:val="24"/>
        </w:rPr>
        <w:t>2004a)</w:t>
      </w:r>
      <w:r w:rsidR="006E02AC" w:rsidRPr="00C5457C">
        <w:rPr>
          <w:rFonts w:ascii="Times New Roman" w:hAnsi="Times New Roman" w:cs="Times New Roman"/>
          <w:sz w:val="24"/>
          <w:szCs w:val="24"/>
        </w:rPr>
        <w:fldChar w:fldCharType="end"/>
      </w:r>
      <w:r w:rsidR="006E02AC" w:rsidRPr="00C5457C">
        <w:rPr>
          <w:rFonts w:ascii="Times New Roman" w:hAnsi="Times New Roman" w:cs="Times New Roman"/>
          <w:sz w:val="24"/>
          <w:szCs w:val="24"/>
        </w:rPr>
        <w:t xml:space="preserve">, l'application de fumier </w:t>
      </w:r>
      <w:r w:rsidR="00356862" w:rsidRPr="00C5457C">
        <w:rPr>
          <w:rFonts w:ascii="Times New Roman" w:hAnsi="Times New Roman" w:cs="Times New Roman"/>
          <w:sz w:val="24"/>
          <w:szCs w:val="24"/>
        </w:rPr>
        <w:t>de</w:t>
      </w:r>
      <w:r w:rsidR="006E02AC" w:rsidRPr="00C5457C">
        <w:rPr>
          <w:rFonts w:ascii="Times New Roman" w:hAnsi="Times New Roman" w:cs="Times New Roman"/>
          <w:sz w:val="24"/>
          <w:szCs w:val="24"/>
        </w:rPr>
        <w:t xml:space="preserve"> 500 à 1000 kg MS ha-1 correspond à 10 kg N, 1,2 kg P et 5 kg K ajoutés au sol.</w:t>
      </w:r>
      <w:r w:rsidR="00944036" w:rsidRPr="00C5457C">
        <w:rPr>
          <w:rFonts w:ascii="Times New Roman" w:hAnsi="Times New Roman" w:cs="Times New Roman"/>
          <w:sz w:val="24"/>
          <w:szCs w:val="24"/>
        </w:rPr>
        <w:t xml:space="preserve">. </w:t>
      </w:r>
      <w:r w:rsidR="00726159" w:rsidRPr="00C5457C">
        <w:rPr>
          <w:rFonts w:ascii="Times New Roman" w:hAnsi="Times New Roman" w:cs="Times New Roman"/>
          <w:sz w:val="24"/>
          <w:szCs w:val="24"/>
        </w:rPr>
        <w:t xml:space="preserve">Selon </w:t>
      </w:r>
      <w:r w:rsidR="00726159"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{"citationItems":[{"id":"ITEM-1","itemData":{"DOI":"10.1016/S0167-8809(99)00113-9","ISSN":"01678809","abstract":"In most small-scale farms in sub-Saharan Africa, net negative balances of nutrients result when nutrients are removed from the farm by harvested crops, because farmers cannot afford inorganic fertilizers. A key resource that could be useful in reversing this trend is manure from livestock. The N, P, K, Ca, Mg, Fe, Mn, Cu and Zn contents of manures collected from six experimental stations and twenty small-scale farms in the Ethiopian highlands were analysed. The manures contained, on average, 21.3 g K, 18.3 g N, 16.4 g Ca, 5.6 g Mg, 4.5 g P, 10776 mg Fe, 777 mg Mn, 92 mg Zn and 24 mg Cu per kg. Manures from experimental stations contained significantly more N, P, K, Mg, Cu and Zn than the manures from smallholder farms, probably due to differences in feed availability and quality. Fresh manures and stored (dry) manures were not significantly different in nutrient concentrations although stored manures had slightly higher nutrient concentrations, probably as a concentration effect after loss of carbon. Manures collected from farms in Deneba area had significantly greater contents of P, K, Mg, and Cu than manures collected in Ginchi area, but, due to scarcity of fuel wood, farmers in Deneba use manures for fuel for domestic cooking and heating instead of applying it to the soil. Afforestation programmes, or other programmes that would ease the energy problem for domestic use, may be necessary if manures are to be applied to soils. Whether the amount of manure in the livestock-dense Ethiopian highlands is sufficient to support crop production is unknown. Research in other parts of Africa indicates that, although adequate manure may be applied to some fields, insufficient manure is available to support crop production at a wider scale. (C) 2000 Elsevier Science B.V.","author":[{"dropping-particle":"","family":"Lupwayi","given":"N. Z.","non-dropping-particle":"","parse-names":false,"suffix":""},{"dropping-particle":"","family":"Girma","given":"M.","non-dropping-particle":"","parse-names":false,"suffix":""},{"dropping-particle":"","family":"Haque","given":"I.","non-dropping-particle":"","parse-names":false,"suffix":""}],"container-title":"Agriculture, Ecosystems and Environment","id":"ITEM-1","issue":"1","issued":{"date-parts":[["2000"]]},"page":"57-63","title":"Plant nutrient contents of cattle manures from small-scale farms and experimental stations in the Ethiopian highlands","type":"article-journal","volume":"78"},"uris":["http://www.mendeley.com/documents/?uuid=d20e1b04-977b-4797-a720-41c43713375d"]}],"mendeley":{"formattedCitation":"(Lupwayi et al., 2000)","manualFormatting":"Lupwayi et al., (2000)","plainTextFormattedCitation":"(Lupwayi et al., 2000)","previouslyFormattedCitation":"(Lupwayi, Girma, and Haque 2000)"},"properties":{"noteIndex":0},"schema":"https://github.com/citation-style-language/schema/raw/master/csl-citation.json"}</w:instrText>
      </w:r>
      <w:r w:rsidR="00726159" w:rsidRPr="00C5457C">
        <w:rPr>
          <w:rFonts w:ascii="Times New Roman" w:hAnsi="Times New Roman" w:cs="Times New Roman"/>
          <w:sz w:val="24"/>
          <w:szCs w:val="24"/>
        </w:rPr>
        <w:fldChar w:fldCharType="separate"/>
      </w:r>
      <w:r w:rsidR="00726159" w:rsidRPr="00C5457C">
        <w:rPr>
          <w:rFonts w:ascii="Times New Roman" w:hAnsi="Times New Roman" w:cs="Times New Roman"/>
          <w:noProof/>
          <w:sz w:val="24"/>
          <w:szCs w:val="24"/>
        </w:rPr>
        <w:t>Lupwayi et al., (2000)</w:t>
      </w:r>
      <w:r w:rsidR="00726159" w:rsidRPr="00C5457C">
        <w:rPr>
          <w:rFonts w:ascii="Times New Roman" w:hAnsi="Times New Roman" w:cs="Times New Roman"/>
          <w:sz w:val="24"/>
          <w:szCs w:val="24"/>
        </w:rPr>
        <w:fldChar w:fldCharType="end"/>
      </w:r>
      <w:r w:rsidR="00726159" w:rsidRPr="00C5457C">
        <w:rPr>
          <w:rFonts w:ascii="Times New Roman" w:hAnsi="Times New Roman" w:cs="Times New Roman"/>
          <w:sz w:val="24"/>
          <w:szCs w:val="24"/>
        </w:rPr>
        <w:t>, ont constaté l'application de 3000 kg MS ha-1 de fumier de bovins a changé les bilans nutritifs de N, P et K de négatifs à fortement positifs.</w:t>
      </w:r>
    </w:p>
    <w:p w14:paraId="0D99B8A3" w14:textId="29F759F0" w:rsidR="006924CB" w:rsidRPr="00C5457C" w:rsidRDefault="006924CB" w:rsidP="00C5457C">
      <w:pPr>
        <w:pStyle w:val="Titre3"/>
        <w:spacing w:line="360" w:lineRule="auto"/>
        <w:jc w:val="both"/>
        <w:rPr>
          <w:rFonts w:ascii="Times New Roman" w:hAnsi="Times New Roman" w:cs="Times New Roman"/>
        </w:rPr>
      </w:pPr>
      <w:r w:rsidRPr="00C5457C">
        <w:rPr>
          <w:rFonts w:ascii="Times New Roman" w:hAnsi="Times New Roman" w:cs="Times New Roman"/>
        </w:rPr>
        <w:t>Utilisation équilibrée et efficace des engrais (microdose)</w:t>
      </w:r>
    </w:p>
    <w:p w14:paraId="12CD3269" w14:textId="5CCA1258" w:rsidR="00AA00CB" w:rsidRPr="00C5457C" w:rsidRDefault="00BF1B01"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Selon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{"citationItems":[{"id":"ITEM-1","itemData":{"DOI":"10.1016/S0167-8809(98)00129-7","ISSN":"01678809","abstract":"West Africa is poorly endowed when it comes to soil fertility. Unlike for example the Rift Valley area, west African soils never enjoyed volcanic rejuvenation. At low agricultural intensity, this does not matter as nutrients cycle through the soil and the natural vegetation and losses are few. However, the past decades have shown high population increases, the breakdown of traditional shifting cultivation systems, and a rapid decline of land productivity and soil fertility in particular. The present review paper shows how much is known about the severity of this process and the technologies at hand that can stop it. The information provided shows that on the technical side much is known now, but research output still is poorly integrated into development efforts.","author":[{"dropping-particle":"","family":"Bationo","given":"A.","non-dropping-particle":"","parse-names":false,"suffix":""},{"dropping-particle":"","family":"Lompo","given":"F.","non-dropping-particle":"","parse-names":false,"suffix":""},{"dropping-particle":"","family":"Koala","given":"S.","non-dropping-particle":"","parse-names":false,"suffix":""}],"container-title":"Agriculture, Ecosystems and Environment","id":"ITEM-1","issue":"1-3","issued":{"date-parts":[["1998"]]},"page":"19-35","title":"Research on nutrient flows and balances in West Africa: State-of-the-art","type":"article-journal","volume":"71"},"uris":["http://www.mendeley.com/documents/?uuid=daccadc0-5d72-4e94-bed2-a404348b9b83"]}],"mendeley":{"formattedCitation":"(Bationo et al., 1998)","manualFormatting":"Bationo et al., (1998)","plainTextFormattedCitation":"(Bationo et al., 1998)","previouslyFormattedCitation":"(Bationo, Lompo, and Koala 1998)"},"properties":{"noteIndex":0},"schema":"https://github.com/citation-style-language/schema/raw/master/csl-citation.json"}</w:instrText>
      </w:r>
      <w:r w:rsidRPr="00C5457C">
        <w:rPr>
          <w:rFonts w:ascii="Times New Roman" w:hAnsi="Times New Roman" w:cs="Times New Roman"/>
          <w:sz w:val="24"/>
          <w:szCs w:val="24"/>
        </w:rPr>
        <w:fldChar w:fldCharType="separate"/>
      </w:r>
      <w:r w:rsidRPr="00C5457C">
        <w:rPr>
          <w:rFonts w:ascii="Times New Roman" w:hAnsi="Times New Roman" w:cs="Times New Roman"/>
          <w:noProof/>
          <w:sz w:val="24"/>
          <w:szCs w:val="24"/>
        </w:rPr>
        <w:t>Bationo et al., (1998)</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l'Afrique sub-Saharienne a le plus faible taux de consommation d'engrais au monde. L'utilisation d'engrais minéraux est limitée à moins de 5 kg ha-1 an-1 dans la zone soudano-sahélienne et à seulement 0,8 kg ha-1 an-1 au Niger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{"citationItems":[{"id":"ITEM-1","itemData":{"DOI":"10.1016/S0378-4290(01)00166-6","ISSN":"03784290","abstract":"Comparable data are lacking from the range of environments found in sub-Saharan West Africa to draw more general conclusions about the relative merits of locally available rockphosphate (RockP) in alleviating phosphorus (P) constraints to crop growth. To fill this gap, a multi-factorial field experiment was conducted over 4 years at eight locations in Niger, Burkina Faso and Togo. These ranged in annual rainfall from 510 to 1300 mm. Crops grown were pearl millet (Pennisetum glaucum L.), sorghum (Sorghum bicolor (L.) Moench) and maize (Zea mays L.) either continuously or in rotation with cowpea (Vigna unguiculata Walp.) and groundnut (Arachis hypogaea L.). Crops were subjected to six P fertiliser treatments comprising RockP and soluble P at different rates and combined with 0 and 60 kg N ha-1. For legumes, time trend analyses showed Pinduced total dry matter (TDM) increases between 28 and 72% only with groundnut. Similarly, rotation-induced raises in cereal TDM compared to cereal monoculture were only observed with groundnut. For cereals, at the same rate of application, RockP was comparable to single superphosphate (SSP) only at two millet sites with topsoil pH-KCl &lt; 4.2 and annual average rainfall &gt; 600 mm. Across the eight sites NPK placement at 0.4 g P per hill raised average cereal yields between 26 and 220%. This was confirmed in 119 on-farm trials revealing P placement as a promising strategy to overcome P deficiency as the regionally most growth limiting nutrient constraint to cereals. © 2001 Elsevier Science B.V. All rights reserved.","author":[{"dropping-particle":"","family":"Buerkert","given":"Andreas","non-dropping-particle":"","parse-names":false,"suffix":""},{"dropping-particle":"","family":"Bationo","given":"André","non-dropping-particle":"","parse-names":false,"suffix":""},{"dropping-particle":"","family":"Piepho","given":"Hans Peter","non-dropping-particle":"","parse-names":false,"suffix":""}],"container-title":"Field Crops Research","id":"ITEM-1","issue":"1","issued":{"date-parts":[["2001"]]},"page":"1-15","title":"Efficient phosphorus application strategies for increased crop production in sub-Saharan West Africa","type":"article-journal","volume":"72"},"uris":["http://www.mendeley.com/documents/?uuid=af17375b-9f71-41b5-878b-d13fe6d74397"]}],"mendeley":{"formattedCitation":"(Buerkert et al., 2001)","plainTextFormattedCitation":"(Buerkert et al., 2001)","previouslyFormattedCitation":"(Buerkert, Bationo, and Piepho 2001)"},"properties":{"noteIndex":0},"schema":"https://github.com/citation-style-language/schema/raw/master/csl-citation.json"}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(Buerkert et al., 2001)</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FF0815" w:rsidRPr="00C5457C">
        <w:rPr>
          <w:rFonts w:ascii="Times New Roman" w:hAnsi="Times New Roman" w:cs="Times New Roman"/>
          <w:sz w:val="24"/>
          <w:szCs w:val="24"/>
        </w:rPr>
        <w:t>Dans ce contexte, la technique d’application localisée d’engrais au poquet (micro- doses de 3 à 5 kg P ha-1) est particulièrement prometteuse au niveau de l’efficience de l’utilisation de l’engrais par la plante et au niveau de la diminution des coûts d’investissement par les agriculteurs</w:t>
      </w:r>
      <w:r w:rsidRPr="00C5457C">
        <w:rPr>
          <w:rFonts w:ascii="Times New Roman" w:hAnsi="Times New Roman" w:cs="Times New Roman"/>
          <w:sz w:val="24"/>
          <w:szCs w:val="24"/>
        </w:rPr>
        <w:t xml:space="preserve">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{"citationItems":[{"id":"ITEM-1","itemData":{"author":[{"dropping-particle":"","family":"Dutordoir","given":"Caroline Dandois","non-dropping-particle":"","parse-names":false,"suffix":""}],"id":"ITEM-1","issue":"11","issued":{"date-parts":[["2006"]]},"number-of-pages":"2016","publisher":"UNIVERSITE CATHOLIQUE DE LOUVAIN","title":"Impact de pratiques de gestion de la fertilité sur les rendements en mil dans le Fakara (Niger). Travail de fin d’études présenté en vue de l’obtention du grade de bio-ingénieur.","type":"thesis","volume":"18"},"uris":["http://www.mendeley.com/documents/?uuid=dd1e045d-848d-4ede-9aff-a382103a3ef9"]}],"mendeley":{"formattedCitation":"(Dutordoir, 2006)","plainTextFormattedCitation":"(Dutordoir, 2006)","previouslyFormattedCitation":"(Dutordoir 2006)"},"properties":{"noteIndex":0},"schema":"https://github.com/citation-style-language/schema/raw/master/csl-citation.json"}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(Dutordoir, 2006)</w:t>
      </w:r>
      <w:r w:rsidRPr="00C5457C">
        <w:rPr>
          <w:rFonts w:ascii="Times New Roman" w:hAnsi="Times New Roman" w:cs="Times New Roman"/>
          <w:sz w:val="24"/>
          <w:szCs w:val="24"/>
        </w:rPr>
        <w:fldChar w:fldCharType="end"/>
      </w:r>
      <w:r w:rsidR="00FF0815" w:rsidRPr="00C5457C">
        <w:rPr>
          <w:rFonts w:ascii="Times New Roman" w:hAnsi="Times New Roman" w:cs="Times New Roman"/>
          <w:sz w:val="24"/>
          <w:szCs w:val="24"/>
        </w:rPr>
        <w:t xml:space="preserve">. </w:t>
      </w:r>
      <w:r w:rsidR="00AA00CB" w:rsidRPr="00C5457C">
        <w:rPr>
          <w:rFonts w:ascii="Times New Roman" w:hAnsi="Times New Roman" w:cs="Times New Roman"/>
          <w:sz w:val="24"/>
          <w:szCs w:val="24"/>
        </w:rPr>
        <w:t>Elle permet un apport direct de nutriments à la zone racinaire, ce qui stimule la croissance précoce des racines, la croissance et la floraison, tout en favorisant un prélèvement plus important des nutriments qui étaient déjà présents dans le sol (</w:t>
      </w:r>
      <w:proofErr w:type="spellStart"/>
      <w:r w:rsidR="00AA00CB" w:rsidRPr="00C5457C">
        <w:rPr>
          <w:rFonts w:ascii="Times New Roman" w:hAnsi="Times New Roman" w:cs="Times New Roman"/>
          <w:sz w:val="24"/>
          <w:szCs w:val="24"/>
        </w:rPr>
        <w:t>Buerkert</w:t>
      </w:r>
      <w:proofErr w:type="spellEnd"/>
      <w:r w:rsidR="00AA00CB" w:rsidRPr="00C5457C">
        <w:rPr>
          <w:rFonts w:ascii="Times New Roman" w:hAnsi="Times New Roman" w:cs="Times New Roman"/>
          <w:sz w:val="24"/>
          <w:szCs w:val="24"/>
        </w:rPr>
        <w:t>, 1995).</w:t>
      </w:r>
    </w:p>
    <w:p w14:paraId="48BF31AD" w14:textId="081FD8E0" w:rsidR="00E413EF" w:rsidRPr="00C5457C" w:rsidRDefault="005719FB"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lastRenderedPageBreak/>
        <w:t xml:space="preserve">De nombreuses études ont montré que l'utilisation appropriée d'engrais minéraux augmente les rendements </w:t>
      </w:r>
      <w:r w:rsidR="00BF1B01"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{"citationItems":[{"id":"ITEM-1","itemData":{"DOI":"10.1016/S0378-4290(01)00166-6","ISSN":"03784290","abstract":"Comparable data are lacking from the range of environments found in sub-Saharan West Africa to draw more general conclusions about the relative merits of locally available rockphosphate (RockP) in alleviating phosphorus (P) constraints to crop growth. To fill this gap, a multi-factorial field experiment was conducted over 4 years at eight locations in Niger, Burkina Faso and Togo. These ranged in annual rainfall from 510 to 1300 mm. Crops grown were pearl millet (Pennisetum glaucum L.), sorghum (Sorghum bicolor (L.) Moench) and maize (Zea mays L.) either continuously or in rotation with cowpea (Vigna unguiculata Walp.) and groundnut (Arachis hypogaea L.). Crops were subjected to six P fertiliser treatments comprising RockP and soluble P at different rates and combined with 0 and 60 kg N ha-1. For legumes, time trend analyses showed Pinduced total dry matter (TDM) increases between 28 and 72% only with groundnut. Similarly, rotation-induced raises in cereal TDM compared to cereal monoculture were only observed with groundnut. For cereals, at the same rate of application, RockP was comparable to single superphosphate (SSP) only at two millet sites with topsoil pH-KCl &lt; 4.2 and annual average rainfall &gt; 600 mm. Across the eight sites NPK placement at 0.4 g P per hill raised average cereal yields between 26 and 220%. This was confirmed in 119 on-farm trials revealing P placement as a promising strategy to overcome P deficiency as the regionally most growth limiting nutrient constraint to cereals. © 2001 Elsevier Science B.V. All rights reserved.","author":[{"dropping-particle":"","family":"Buerkert","given":"Andreas","non-dropping-particle":"","parse-names":false,"suffix":""},{"dropping-particle":"","family":"Bationo","given":"André","non-dropping-particle":"","parse-names":false,"suffix":""},{"dropping-particle":"","family":"Piepho","given":"Hans Peter","non-dropping-particle":"","parse-names":false,"suffix":""}],"container-title":"Field Crops Research","id":"ITEM-1","issue":"1","issued":{"date-parts":[["2001"]]},"page":"1-15","title":"Efficient phosphorus application strategies for increased crop production in sub-Saharan West Africa","type":"article-journal","volume":"72"},"uris":["http://www.mendeley.com/documents/?uuid=af17375b-9f71-41b5-878b-d13fe6d74397"]},{"id":"ITEM-2","itemData":{"DOI":"10.1016/S0167-8809(98)00129-7","ISSN":"01678809","abstract":"West Africa is poorly endowed when it comes to soil fertility. Unlike for example the Rift Valley area, west African soils never enjoyed volcanic rejuvenation. At low agricultural intensity, this does not matter as nutrients cycle through the soil and the natural vegetation and losses are few. However, the past decades have shown high population increases, the breakdown of traditional shifting cultivation systems, and a rapid decline of land productivity and soil fertility in particular. The present review paper shows how much is known about the severity of this process and the technologies at hand that can stop it. The information provided shows that on the technical side much is known now, but research output still is poorly integrated into development efforts.","author":[{"dropping-particle":"","family":"Bationo","given":"A.","non-dropping-particle":"","parse-names":false,"suffix":""},{"dropping-particle":"","family":"Lompo","given":"F.","non-dropping-particle":"","parse-names":false,"suffix":""},{"dropping-particle":"","family":"Koala","given":"S.","non-dropping-particle":"","parse-names":false,"suffix":""}],"container-title":"Agriculture, Ecosystems and Environment","id":"ITEM-2","issue":"1-3","issued":{"date-parts":[["1998"]]},"page":"19-35","title":"Research on nutrient flows and balances in West Africa: State-of-the-art","type":"article-journal","volume":"71"},"uris":["http://www.mendeley.com/documents/?uuid=daccadc0-5d72-4e94-bed2-a404348b9b83"]}],"mendeley":{"formattedCitation":"(Bationo et al., 1998; Buerkert et al., 2001)","plainTextFormattedCitation":"(Bationo et al., 1998; Buerkert et al., 2001)","previouslyFormattedCitation":"(Bationo et al. 1998; Buerkert et al. 2001)"},"properties":{"noteIndex":0},"schema":"https://github.com/citation-style-language/schema/raw/master/csl-citation.json"}</w:instrText>
      </w:r>
      <w:r w:rsidR="00BF1B01"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(Bationo et al., 1998; Buerkert et al., 2001)</w:t>
      </w:r>
      <w:r w:rsidR="00BF1B01"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7B5756" w:rsidRPr="00C5457C">
        <w:rPr>
          <w:rFonts w:ascii="Times New Roman" w:hAnsi="Times New Roman" w:cs="Times New Roman"/>
          <w:sz w:val="24"/>
          <w:szCs w:val="24"/>
        </w:rPr>
        <w:t xml:space="preserve">En 2015, </w:t>
      </w:r>
      <w:r w:rsidR="007B5756"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{"citationItems":[{"id":"ITEM-1","itemData":{"DOI":"10.1016/j.fcr.2015.04.022","ISSN":"03784290","abstract":"Inadequate nutrient supply and insufficient rainfall are the most important limiting factors for crop production in the Sahelian agro-ecological zones. Targeted technology application may help to improve the efficient use of limited nutrient and water resources. The objective of this study was to determine the optimal combination of fertilizer micro-dosing and manure application rates for improved millet yield and enhanced water use efficiency in low input millet-based cropping system. A two-year field experiment was conducted at a research station in Niger using a randomized complete block design with three replications. The treatments consisted of the factorial combination of: (i) two fertilizer micro-dosing options (20kgha-1 of diammonium phosphate (DAP) and 60kgha-1 of NPK corresponding to 2ghill-1 of DAP and 6ghill-1 of NPK, respectively), (ii) cattle manure at four application rates (0kgha-1, 1000kgha-1, 2000kgha-1, 3000kgha-1) and (iii) two methods of manure application (broadcasting and hill placement). Millet grain yields under fertilizer micro-dosing combined with manure was increased on average by 59%, 83% and 113% for 1000kgha-1, 2000kgha-1 and 3000kgha-1, respectively compared with fertilizer micro-dosing alone. Combined applications of manure and fertilizer micro-dosing increased water use efficiency significantly. Hill placement of manure increased total dry matter on average by 23% and water use efficiency by 35% relative to manure broadcasting. The total root length density was increased by 66% and 42% in hill placement of manure at 25cm and 50cm, respectively, from the hill centre compared with manure broadcast. These results indicate that millet production with the fertilizer micro-dosing technology can be improved further by hill-placement of manure. The combination of 2000kgha-1 of manure and 20kgDAPha-1 hill-placed were most promising for increasing millet yield and the efficient use of limited nutrients and water in Sahelian millet based systems. There is need for testing this technology further together with farmers to valuate its effectiveness.","author":[{"dropping-particle":"","family":"Ibrahim","given":"Ali","non-dropping-particle":"","parse-names":false,"suffix":""},{"dropping-particle":"","family":"Abaidoo","given":"Robert Clement","non-dropping-particle":"","parse-names":false,"suffix":""},{"dropping-particle":"","family":"Fatondji","given":"Dougbedji","non-dropping-particle":"","parse-names":false,"suffix":""},{"dropping-particle":"","family":"Opoku","given":"Andrews","non-dropping-particle":"","parse-names":false,"suffix":""}],"container-title":"Field Crops Research","id":"ITEM-1","issued":{"date-parts":[["2015"]]},"page":"29-36","title":"Hill placement of manure and fertilizer micro-dosing improves yield and water use efficiency in the Sahelian low input millet-based cropping system","type":"article-journal","volume":"180"},"uris":["http://www.mendeley.com/documents/?uuid=770f2806-e6bb-4b77-b7e1-fc7fd3f0b6b2"]}],"mendeley":{"formattedCitation":"(Ibrahim et al., 2015)","manualFormatting":"Ibrahim et al., ","plainTextFormattedCitation":"(Ibrahim et al., 2015)","previouslyFormattedCitation":"(Ibrahim et al. 2015)"},"properties":{"noteIndex":0},"schema":"https://github.com/citation-style-language/schema/raw/master/csl-citation.json"}</w:instrText>
      </w:r>
      <w:r w:rsidR="007B5756" w:rsidRPr="00C5457C">
        <w:rPr>
          <w:rFonts w:ascii="Times New Roman" w:hAnsi="Times New Roman" w:cs="Times New Roman"/>
          <w:sz w:val="24"/>
          <w:szCs w:val="24"/>
        </w:rPr>
        <w:fldChar w:fldCharType="separate"/>
      </w:r>
      <w:r w:rsidR="007B5756" w:rsidRPr="00C5457C">
        <w:rPr>
          <w:rFonts w:ascii="Times New Roman" w:hAnsi="Times New Roman" w:cs="Times New Roman"/>
          <w:noProof/>
          <w:sz w:val="24"/>
          <w:szCs w:val="24"/>
        </w:rPr>
        <w:t xml:space="preserve">Ibrahim et al., </w:t>
      </w:r>
      <w:r w:rsidR="007B5756" w:rsidRPr="00C5457C">
        <w:rPr>
          <w:rFonts w:ascii="Times New Roman" w:hAnsi="Times New Roman" w:cs="Times New Roman"/>
          <w:sz w:val="24"/>
          <w:szCs w:val="24"/>
        </w:rPr>
        <w:fldChar w:fldCharType="end"/>
      </w:r>
      <w:r w:rsidR="007B5756" w:rsidRPr="00C5457C">
        <w:rPr>
          <w:rFonts w:ascii="Times New Roman" w:hAnsi="Times New Roman" w:cs="Times New Roman"/>
          <w:sz w:val="24"/>
          <w:szCs w:val="24"/>
        </w:rPr>
        <w:t xml:space="preserve"> ont découvert que les traitements de microdosage d'engrais (2 grammes de DAP par hectare et 6 grammes de NPK par hectare) ont permis d'atteindre 86 % et 79 % des rendements en grains enregistrés lors de l'épandage de 200 kilogrammes de NPK par hectare, respectivement.</w:t>
      </w:r>
      <w:r w:rsidR="00DF2C2C" w:rsidRPr="00C5457C">
        <w:rPr>
          <w:rFonts w:ascii="Times New Roman" w:hAnsi="Times New Roman" w:cs="Times New Roman"/>
          <w:sz w:val="24"/>
          <w:szCs w:val="24"/>
        </w:rPr>
        <w:t xml:space="preserve"> </w:t>
      </w:r>
      <w:r w:rsidR="00FD1231" w:rsidRPr="00C5457C">
        <w:rPr>
          <w:rFonts w:ascii="Times New Roman" w:hAnsi="Times New Roman" w:cs="Times New Roman"/>
          <w:sz w:val="24"/>
          <w:szCs w:val="24"/>
        </w:rPr>
        <w:t xml:space="preserve">En 2008, dans une étude menée à la station de recherche de l'ICRISAT à </w:t>
      </w:r>
      <w:proofErr w:type="spellStart"/>
      <w:r w:rsidR="00FD1231" w:rsidRPr="00C5457C">
        <w:rPr>
          <w:rFonts w:ascii="Times New Roman" w:hAnsi="Times New Roman" w:cs="Times New Roman"/>
          <w:sz w:val="24"/>
          <w:szCs w:val="24"/>
        </w:rPr>
        <w:t>Sadoré</w:t>
      </w:r>
      <w:proofErr w:type="spellEnd"/>
      <w:r w:rsidR="00FD1231" w:rsidRPr="00C5457C">
        <w:rPr>
          <w:rFonts w:ascii="Times New Roman" w:hAnsi="Times New Roman" w:cs="Times New Roman"/>
          <w:sz w:val="24"/>
          <w:szCs w:val="24"/>
        </w:rPr>
        <w:t xml:space="preserve"> au Niger, les chercheurs ont </w:t>
      </w:r>
      <w:r w:rsidR="00B6747C" w:rsidRPr="00C5457C">
        <w:rPr>
          <w:rFonts w:ascii="Times New Roman" w:hAnsi="Times New Roman" w:cs="Times New Roman"/>
          <w:sz w:val="24"/>
          <w:szCs w:val="24"/>
        </w:rPr>
        <w:t>obtenus</w:t>
      </w:r>
      <w:r w:rsidR="00FD1231" w:rsidRPr="00C5457C">
        <w:rPr>
          <w:rFonts w:ascii="Times New Roman" w:hAnsi="Times New Roman" w:cs="Times New Roman"/>
          <w:sz w:val="24"/>
          <w:szCs w:val="24"/>
        </w:rPr>
        <w:t xml:space="preserve"> un rendement en grain moyen de 732 kg ha-1 pour les parcelles de contrôle et de 989 kg ha-1 pour les parcelles de NPK. Alors qu'en 2016, 146 kg. ha-1 </w:t>
      </w:r>
      <w:r w:rsidR="00B6747C" w:rsidRPr="00C5457C">
        <w:rPr>
          <w:rFonts w:ascii="Times New Roman" w:hAnsi="Times New Roman" w:cs="Times New Roman"/>
          <w:sz w:val="24"/>
          <w:szCs w:val="24"/>
        </w:rPr>
        <w:t xml:space="preserve">ont été </w:t>
      </w:r>
      <w:r w:rsidR="00FD1231" w:rsidRPr="00C5457C">
        <w:rPr>
          <w:rFonts w:ascii="Times New Roman" w:hAnsi="Times New Roman" w:cs="Times New Roman"/>
          <w:sz w:val="24"/>
          <w:szCs w:val="24"/>
        </w:rPr>
        <w:t xml:space="preserve">produits pour les parcelles témoins et 218 kg. ha-1 pour les parcelles à </w:t>
      </w:r>
      <w:r w:rsidR="002033B9" w:rsidRPr="00C5457C">
        <w:rPr>
          <w:rFonts w:ascii="Times New Roman" w:hAnsi="Times New Roman" w:cs="Times New Roman"/>
          <w:sz w:val="24"/>
          <w:szCs w:val="24"/>
        </w:rPr>
        <w:t>microdosage</w:t>
      </w:r>
      <w:r w:rsidR="00FD1231" w:rsidRPr="00C5457C">
        <w:rPr>
          <w:rFonts w:ascii="Times New Roman" w:hAnsi="Times New Roman" w:cs="Times New Roman"/>
          <w:sz w:val="24"/>
          <w:szCs w:val="24"/>
        </w:rPr>
        <w:t xml:space="preserve"> (Sani et al., 2020).  </w:t>
      </w:r>
    </w:p>
    <w:p w14:paraId="0D04F6CA" w14:textId="0473A8A1" w:rsidR="0057316A" w:rsidRPr="00C5457C" w:rsidRDefault="00BF4FFB"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En comparaison avec l'application à la volée, Davis et al. (1994) ont constaté une augmentation de 30 % du rendement du grain avec 22,5 kg de P ha-1 et une augmentation de 80 % avec 45 kg de P ha-1 placés par poquet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{"citationItems":[{"id":"ITEM-1","itemData":{"author":[{"dropping-particle":"","family":"Dutordoir","given":"Caroline Dandois","non-dropping-particle":"","parse-names":false,"suffix":""}],"id":"ITEM-1","issue":"11","issued":{"date-parts":[["2006"]]},"number-of-pages":"2016","publisher":"UNIVERSITE CATHOLIQUE DE LOUVAIN","title":"Impact de pratiques de gestion de la fertilité sur les rendements en mil dans le Fakara (Niger). Travail de fin d’études présenté en vue de l’obtention du grade de bio-ingénieur.","type":"thesis","volume":"18"},"uris":["http://www.mendeley.com/documents/?uuid=dd1e045d-848d-4ede-9aff-a382103a3ef9"]}],"mendeley":{"formattedCitation":"(Dutordoir, 2006)","plainTextFormattedCitation":"(Dutordoir, 2006)","previouslyFormattedCitation":"(Dutordoir 2006)"},"properties":{"noteIndex":0},"schema":"https://github.com/citation-style-language/schema/raw/master/csl-citation.json"}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(Dutordoir, 2006)</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Selon </w:t>
      </w:r>
      <w:r w:rsidR="00E7680A"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{"citationItems":[{"id":"ITEM-1","itemData":{"DOI":"10.1023/A:1013355822946","ISSN":"13851314","abstract":"Judged by their negative nutrient balances, low soil cover and low productivity, the predominant agro-pastoral farming systems in the Sudano-Sahelian zone of West Africa are highly unsustainable for crop production intensification. With kaolinite as the main clay type, the cation exchange capacity of the soils in this region, often less than 1 cmolc kg-1 soil, depends heavily on the organic carbon (Corg) content. However, due to low carbon sequestration and to the microbe, termite and temperature-induced rapid turnover rates of organic material in the present land-use systems, Corg contents of the topsoil are very low, ranging between 1 and 8 g kg-1 in most soils. For sustainable food production, the availability of phosphorus (P) and nitrogen (N) has to be increased considerably in combination with an improvement in soil physical properties. Therefore, the adoption of innovative management options that help to stop or even reverse the decline in Corg typically observed after cultivating bush or rangeland is of utmost importance. To maintain food production for a rapidly growing population, targeted applications of mineral fertilisers and the effective recycling of organic amendments as crop residues and manure are essential. Any increase in soil cover has large effects in reducing topsoil erosion by wind and water and favours the accumulation of wind-blown dust high in bases which in turn improves P availability. In the future decision support systems, based on GIS, modelling and simulation should be used to combine (i) available fertiliser response data from on-station and on-farm research, (ii) results on soil productivity restoration with the application of mineral and organic amendments and (iii) our present understanding of the cause-effect relationships governing the prevailing soil degradation processes. This will help to predict the effectiveness of regionally differentiated soil fertility management approaches to maintain or even increase soil Corg levels.","author":[{"dropping-particle":"","family":"Bationo","given":"A.","non-dropping-particle":"","parse-names":false,"suffix":""},{"dropping-particle":"","family":"Buerkert","given":"A.","non-dropping-particle":"","parse-names":false,"suffix":""}],"container-title":"Nutrient Cycling in Agroecosystems","id":"ITEM-1","issue":"1-2","issued":{"date-parts":[["2001"]]},"page":"131-142","title":"Soil organic carbon management for sustainable land use in Sudano-Sahelian West Africa","type":"paper-conference","volume":"61"},"uris":["http://www.mendeley.com/documents/?uuid=878040ae-02a4-4218-abbc-8479e5089160"]}],"mendeley":{"formattedCitation":"(Bationo &amp; Buerkert, 2001)","manualFormatting":"Bationo &amp; Buerkert (2001)","plainTextFormattedCitation":"(Bationo &amp; Buerkert, 2001)","previouslyFormattedCitation":"(Bationo and Buerkert 2001)"},"properties":{"noteIndex":0},"schema":"https://github.com/citation-style-language/schema/raw/master/csl-citation.json"}</w:instrText>
      </w:r>
      <w:r w:rsidR="00E7680A" w:rsidRPr="00C5457C">
        <w:rPr>
          <w:rFonts w:ascii="Times New Roman" w:hAnsi="Times New Roman" w:cs="Times New Roman"/>
          <w:sz w:val="24"/>
          <w:szCs w:val="24"/>
        </w:rPr>
        <w:fldChar w:fldCharType="separate"/>
      </w:r>
      <w:r w:rsidR="00E7680A" w:rsidRPr="00C5457C">
        <w:rPr>
          <w:rFonts w:ascii="Times New Roman" w:hAnsi="Times New Roman" w:cs="Times New Roman"/>
          <w:noProof/>
          <w:sz w:val="24"/>
          <w:szCs w:val="24"/>
        </w:rPr>
        <w:t>Bationo &amp; Buerkert (2001)</w:t>
      </w:r>
      <w:r w:rsidR="00E7680A"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l'application à la volée de 4 kg de P ha-1 (sous forme de NPK 15-15-15) permet de doubler l'efficacité de l'utilisation de P par </w:t>
      </w:r>
      <w:r w:rsidR="00C4545E" w:rsidRPr="00C5457C">
        <w:rPr>
          <w:rFonts w:ascii="Times New Roman" w:hAnsi="Times New Roman" w:cs="Times New Roman"/>
          <w:sz w:val="24"/>
          <w:szCs w:val="24"/>
        </w:rPr>
        <w:t xml:space="preserve">le </w:t>
      </w:r>
      <w:r w:rsidRPr="00C5457C">
        <w:rPr>
          <w:rFonts w:ascii="Times New Roman" w:hAnsi="Times New Roman" w:cs="Times New Roman"/>
          <w:sz w:val="24"/>
          <w:szCs w:val="24"/>
        </w:rPr>
        <w:t xml:space="preserve">mil et de réduire de 70 % le coût d'investissement supporté par l'agriculteur. </w:t>
      </w:r>
      <w:proofErr w:type="spellStart"/>
      <w:r w:rsidR="00C4545E" w:rsidRPr="00C5457C">
        <w:rPr>
          <w:rFonts w:ascii="Times New Roman" w:hAnsi="Times New Roman" w:cs="Times New Roman"/>
          <w:sz w:val="24"/>
          <w:szCs w:val="24"/>
        </w:rPr>
        <w:t>Muehlig-Versen</w:t>
      </w:r>
      <w:proofErr w:type="spellEnd"/>
      <w:r w:rsidR="00C4545E" w:rsidRPr="00C5457C">
        <w:rPr>
          <w:rFonts w:ascii="Times New Roman" w:hAnsi="Times New Roman" w:cs="Times New Roman"/>
          <w:sz w:val="24"/>
          <w:szCs w:val="24"/>
        </w:rPr>
        <w:t xml:space="preserve"> et al.</w:t>
      </w:r>
      <w:r w:rsidR="00F225C1" w:rsidRPr="00C5457C">
        <w:rPr>
          <w:rFonts w:ascii="Times New Roman" w:hAnsi="Times New Roman" w:cs="Times New Roman"/>
          <w:sz w:val="24"/>
          <w:szCs w:val="24"/>
        </w:rPr>
        <w:t>,</w:t>
      </w:r>
      <w:r w:rsidR="00C4545E" w:rsidRPr="00C5457C">
        <w:rPr>
          <w:rFonts w:ascii="Times New Roman" w:hAnsi="Times New Roman" w:cs="Times New Roman"/>
          <w:sz w:val="24"/>
          <w:szCs w:val="24"/>
        </w:rPr>
        <w:t xml:space="preserve"> (1997), ont obtenus avec l'application localisée de P (5 kg P ha-1) une augmentation du poids en matière sèche des plantules au moment du démariage et permet d'atteindre des rendements valant 60 à 70 % de ceux obtenus avec l'épandage de P à volée (13 kg P ha-1).</w:t>
      </w:r>
      <w:r w:rsidR="003628A0" w:rsidRPr="00C5457C">
        <w:rPr>
          <w:rFonts w:ascii="Times New Roman" w:hAnsi="Times New Roman" w:cs="Times New Roman"/>
          <w:sz w:val="24"/>
          <w:szCs w:val="24"/>
        </w:rPr>
        <w:t xml:space="preserve"> </w:t>
      </w:r>
      <w:r w:rsidR="002033B9" w:rsidRPr="00C5457C">
        <w:rPr>
          <w:rFonts w:ascii="Times New Roman" w:hAnsi="Times New Roman" w:cs="Times New Roman"/>
          <w:sz w:val="24"/>
          <w:szCs w:val="24"/>
        </w:rPr>
        <w:t>De plus, l'application localisée de P permet d'améliorer le prélèvement de K et de N par la plantule (qui augmente de 2 à 3 fois), suggérant que N ne limite pas la croissance initiale du mil</w:t>
      </w:r>
      <w:r w:rsidR="003628A0" w:rsidRPr="00C5457C">
        <w:rPr>
          <w:rFonts w:ascii="Times New Roman" w:hAnsi="Times New Roman" w:cs="Times New Roman"/>
          <w:sz w:val="24"/>
          <w:szCs w:val="24"/>
        </w:rPr>
        <w:t xml:space="preserve"> </w:t>
      </w:r>
      <w:r w:rsidR="002033B9"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{"citationItems":[{"id":"ITEM-1","itemData":{"DOI":"10.1017/S0014479703001261","ISSN":"00144797","abstract":"Phosphorus (P) deficiency is a major constraint to pearl millet (Pennisetum glaucum L.) growth on acid sandy soils of the West African Sahel. To develop cost-effective fertilization strategies for cash poor farmers, experiments with pearl millet were conducted in southwestern Niger. Treatments comprised single superphosphate hill-placed at rates of 1, 3, 5 or 7 kg P ha-1 factorially combined with broadcast P at a rate of 13 kg ha-1. Nitrogen was applied as calcium ammonium nitrate at rates of 30 and 45 kg ha-1. At low soil moisture, placement of single superphosphate in immediate proximity to the seed reduced seedling emergence. Despite these negative effects on germination, P placement resulted in much faster growth of millet seedlings than did broadcast P. With P application, potassium nutrition of millet was improved and seedling nitrogen uptake increased two- to three-fold, indicating that nitrogen was not limiting early millet growth. Averaged over the 1995 and 1996 cropping seasons, placed applications of 3, 5 and 7 kg P ha-1 led to 72%, 81% and 88% respectively, of the grain yield produced by broadcasting 13 kg P ha-1. Nitrogen application did not show major effects on grain yield unless P requirements were met. A simple economic analysis revealed that the profitability of P application, defined as additional income per unit of fertilizer, was highest for P placement at 3 and 5 kg ha-1.","author":[{"dropping-particle":"","family":"Muehlig-Versen","given":"B.","non-dropping-particle":"","parse-names":false,"suffix":""},{"dropping-particle":"","family":"Buerkert","given":"Andreas","non-dropping-particle":"","parse-names":false,"suffix":""},{"dropping-particle":"","family":"Bationo","given":"A.","non-dropping-particle":"","parse-names":false,"suffix":""},{"dropping-particle":"","family":"Roemheld","given":"V.","non-dropping-particle":"","parse-names":false,"suffix":""}],"container-title":"Experimental Agriculture","id":"ITEM-1","issue":"3","issued":{"date-parts":[["2003"]]},"page":"307-325","title":"Phosphorus placement on acid arenosols of the West African Sahel","type":"article-journal","volume":"39"},"uris":["http://www.mendeley.com/documents/?uuid=443a8dbb-cffb-4426-a3f0-da293a981f92"]}],"mendeley":{"formattedCitation":"(Muehlig-Versen et al., 2003)","plainTextFormattedCitation":"(Muehlig-Versen et al., 2003)","previouslyFormattedCitation":"(Muehlig-Versen et al. 2003)"},"properties":{"noteIndex":0},"schema":"https://github.com/citation-style-language/schema/raw/master/csl-citation.json"}</w:instrText>
      </w:r>
      <w:r w:rsidR="002033B9"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(Muehlig-Versen et al., 2003)</w:t>
      </w:r>
      <w:r w:rsidR="002033B9" w:rsidRPr="00C5457C">
        <w:rPr>
          <w:rFonts w:ascii="Times New Roman" w:hAnsi="Times New Roman" w:cs="Times New Roman"/>
          <w:sz w:val="24"/>
          <w:szCs w:val="24"/>
        </w:rPr>
        <w:fldChar w:fldCharType="end"/>
      </w:r>
      <w:r w:rsidR="003628A0" w:rsidRPr="00C5457C">
        <w:rPr>
          <w:rFonts w:ascii="Times New Roman" w:hAnsi="Times New Roman" w:cs="Times New Roman"/>
          <w:sz w:val="24"/>
          <w:szCs w:val="24"/>
        </w:rPr>
        <w:t xml:space="preserve">. </w:t>
      </w:r>
      <w:r w:rsidR="002033B9" w:rsidRPr="00C5457C">
        <w:rPr>
          <w:rFonts w:ascii="Times New Roman" w:hAnsi="Times New Roman" w:cs="Times New Roman"/>
          <w:sz w:val="24"/>
          <w:szCs w:val="24"/>
        </w:rPr>
        <w:t xml:space="preserve">L'application de 4 kg de P </w:t>
      </w:r>
      <w:r w:rsidR="00FE7A88" w:rsidRPr="00C5457C">
        <w:rPr>
          <w:rFonts w:ascii="Times New Roman" w:hAnsi="Times New Roman" w:cs="Times New Roman"/>
          <w:sz w:val="24"/>
          <w:szCs w:val="24"/>
        </w:rPr>
        <w:t>ha</w:t>
      </w:r>
      <w:r w:rsidR="00FE7A88" w:rsidRPr="00C5457C">
        <w:rPr>
          <w:rFonts w:ascii="Times New Roman" w:hAnsi="Times New Roman" w:cs="Times New Roman"/>
          <w:sz w:val="24"/>
          <w:szCs w:val="24"/>
          <w:vertAlign w:val="superscript"/>
        </w:rPr>
        <w:t>-1</w:t>
      </w:r>
      <w:r w:rsidR="002033B9" w:rsidRPr="00C5457C">
        <w:rPr>
          <w:rFonts w:ascii="Times New Roman" w:hAnsi="Times New Roman" w:cs="Times New Roman"/>
          <w:sz w:val="24"/>
          <w:szCs w:val="24"/>
        </w:rPr>
        <w:t xml:space="preserve">, c'est-à-dire de 0,4 g de P par poquet à une densité de semis de 10 000 poquets ha-1, entraîne des augmentations de 50 à 220 % de la matière sèche totale </w:t>
      </w:r>
      <w:r w:rsidR="002033B9"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{"citationItems":[{"id":"ITEM-1","itemData":{"author":[{"dropping-particle":"","family":"Dutordoir","given":"Caroline Dandois","non-dropping-particle":"","parse-names":false,"suffix":""}],"id":"ITEM-1","issue":"11","issued":{"date-parts":[["2006"]]},"number-of-pages":"2016","publisher":"UNIVERSITE CATHOLIQUE DE LOUVAIN","title":"Impact de pratiques de gestion de la fertilité sur les rendements en mil dans le Fakara (Niger). Travail de fin d’études présenté en vue de l’obtention du grade de bio-ingénieur.","type":"thesis","volume":"18"},"uris":["http://www.mendeley.com/documents/?uuid=dd1e045d-848d-4ede-9aff-a382103a3ef9"]}],"mendeley":{"formattedCitation":"(Dutordoir, 2006)","plainTextFormattedCitation":"(Dutordoir, 2006)","previouslyFormattedCitation":"(Dutordoir 2006)"},"properties":{"noteIndex":0},"schema":"https://github.com/citation-style-language/schema/raw/master/csl-citation.json"}</w:instrText>
      </w:r>
      <w:r w:rsidR="002033B9"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(Dutordoir, 2006)</w:t>
      </w:r>
      <w:r w:rsidR="002033B9" w:rsidRPr="00C5457C">
        <w:rPr>
          <w:rFonts w:ascii="Times New Roman" w:hAnsi="Times New Roman" w:cs="Times New Roman"/>
          <w:sz w:val="24"/>
          <w:szCs w:val="24"/>
        </w:rPr>
        <w:fldChar w:fldCharType="end"/>
      </w:r>
      <w:r w:rsidR="002033B9" w:rsidRPr="00C5457C">
        <w:rPr>
          <w:rFonts w:ascii="Times New Roman" w:hAnsi="Times New Roman" w:cs="Times New Roman"/>
          <w:sz w:val="24"/>
          <w:szCs w:val="24"/>
        </w:rPr>
        <w:t xml:space="preserve">. </w:t>
      </w:r>
      <w:r w:rsidR="002033B9"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{"citationItems":[{"id":"ITEM-1","itemData":{"DOI":"10.1016/S0378-4290(01)00166-6","ISSN":"03784290","abstract":"Comparable data are lacking from the range of environments found in sub-Saharan West Africa to draw more general conclusions about the relative merits of locally available rockphosphate (RockP) in alleviating phosphorus (P) constraints to crop growth. To fill this gap, a multi-factorial field experiment was conducted over 4 years at eight locations in Niger, Burkina Faso and Togo. These ranged in annual rainfall from 510 to 1300 mm. Crops grown were pearl millet (Pennisetum glaucum L.), sorghum (Sorghum bicolor (L.) Moench) and maize (Zea mays L.) either continuously or in rotation with cowpea (Vigna unguiculata Walp.) and groundnut (Arachis hypogaea L.). Crops were subjected to six P fertiliser treatments comprising RockP and soluble P at different rates and combined with 0 and 60 kg N ha-1. For legumes, time trend analyses showed Pinduced total dry matter (TDM) increases between 28 and 72% only with groundnut. Similarly, rotation-induced raises in cereal TDM compared to cereal monoculture were only observed with groundnut. For cereals, at the same rate of application, RockP was comparable to single superphosphate (SSP) only at two millet sites with topsoil pH-KCl &lt; 4.2 and annual average rainfall &gt; 600 mm. Across the eight sites NPK placement at 0.4 g P per hill raised average cereal yields between 26 and 220%. This was confirmed in 119 on-farm trials revealing P placement as a promising strategy to overcome P deficiency as the regionally most growth limiting nutrient constraint to cereals. © 2001 Elsevier Science B.V. All rights reserved.","author":[{"dropping-particle":"","family":"Buerkert","given":"Andreas","non-dropping-particle":"","parse-names":false,"suffix":""},{"dropping-particle":"","family":"Bationo","given":"André","non-dropping-particle":"","parse-names":false,"suffix":""},{"dropping-particle":"","family":"Piepho","given":"Hans Peter","non-dropping-particle":"","parse-names":false,"suffix":""}],"container-title":"Field Crops Research","id":"ITEM-1","issue":"1","issued":{"date-parts":[["2001"]]},"page":"1-15","title":"Efficient phosphorus application strategies for increased crop production in sub-Saharan West Africa","type":"article-journal","volume":"72"},"uris":["http://www.mendeley.com/documents/?uuid=af17375b-9f71-41b5-878b-d13fe6d74397"]}],"mendeley":{"formattedCitation":"(Buerkert et al., 2001)","manualFormatting":"Buerkert et al., (2001)","plainTextFormattedCitation":"(Buerkert et al., 2001)","previouslyFormattedCitation":"(Buerkert et al. 2001)"},"properties":{"noteIndex":0},"schema":"https://github.com/citation-style-language/schema/raw/master/csl-citation.json"}</w:instrText>
      </w:r>
      <w:r w:rsidR="002033B9" w:rsidRPr="00C5457C">
        <w:rPr>
          <w:rFonts w:ascii="Times New Roman" w:hAnsi="Times New Roman" w:cs="Times New Roman"/>
          <w:sz w:val="24"/>
          <w:szCs w:val="24"/>
        </w:rPr>
        <w:fldChar w:fldCharType="separate"/>
      </w:r>
      <w:r w:rsidR="002033B9" w:rsidRPr="00C5457C">
        <w:rPr>
          <w:rFonts w:ascii="Times New Roman" w:hAnsi="Times New Roman" w:cs="Times New Roman"/>
          <w:noProof/>
          <w:sz w:val="24"/>
          <w:szCs w:val="24"/>
        </w:rPr>
        <w:t xml:space="preserve">Buerkert et al., </w:t>
      </w:r>
      <w:r w:rsidR="000B2D0D" w:rsidRPr="00C5457C">
        <w:rPr>
          <w:rFonts w:ascii="Times New Roman" w:hAnsi="Times New Roman" w:cs="Times New Roman"/>
          <w:noProof/>
          <w:sz w:val="24"/>
          <w:szCs w:val="24"/>
        </w:rPr>
        <w:t>(</w:t>
      </w:r>
      <w:r w:rsidR="002033B9" w:rsidRPr="00C5457C">
        <w:rPr>
          <w:rFonts w:ascii="Times New Roman" w:hAnsi="Times New Roman" w:cs="Times New Roman"/>
          <w:noProof/>
          <w:sz w:val="24"/>
          <w:szCs w:val="24"/>
        </w:rPr>
        <w:t>2001)</w:t>
      </w:r>
      <w:r w:rsidR="002033B9" w:rsidRPr="00C5457C">
        <w:rPr>
          <w:rFonts w:ascii="Times New Roman" w:hAnsi="Times New Roman" w:cs="Times New Roman"/>
          <w:sz w:val="24"/>
          <w:szCs w:val="24"/>
        </w:rPr>
        <w:fldChar w:fldCharType="end"/>
      </w:r>
      <w:r w:rsidR="002033B9" w:rsidRPr="00C5457C">
        <w:rPr>
          <w:rFonts w:ascii="Times New Roman" w:hAnsi="Times New Roman" w:cs="Times New Roman"/>
          <w:sz w:val="24"/>
          <w:szCs w:val="24"/>
        </w:rPr>
        <w:t xml:space="preserve"> </w:t>
      </w:r>
      <w:r w:rsidR="000B2D0D" w:rsidRPr="00C5457C">
        <w:rPr>
          <w:rFonts w:ascii="Times New Roman" w:hAnsi="Times New Roman" w:cs="Times New Roman"/>
          <w:sz w:val="24"/>
          <w:szCs w:val="24"/>
        </w:rPr>
        <w:t xml:space="preserve">ont </w:t>
      </w:r>
      <w:r w:rsidR="002033B9" w:rsidRPr="00C5457C">
        <w:rPr>
          <w:rFonts w:ascii="Times New Roman" w:hAnsi="Times New Roman" w:cs="Times New Roman"/>
          <w:sz w:val="24"/>
          <w:szCs w:val="24"/>
        </w:rPr>
        <w:t>montr</w:t>
      </w:r>
      <w:r w:rsidR="000B2D0D" w:rsidRPr="00C5457C">
        <w:rPr>
          <w:rFonts w:ascii="Times New Roman" w:hAnsi="Times New Roman" w:cs="Times New Roman"/>
          <w:sz w:val="24"/>
          <w:szCs w:val="24"/>
        </w:rPr>
        <w:t>é</w:t>
      </w:r>
      <w:r w:rsidR="002033B9" w:rsidRPr="00C5457C">
        <w:rPr>
          <w:rFonts w:ascii="Times New Roman" w:hAnsi="Times New Roman" w:cs="Times New Roman"/>
          <w:sz w:val="24"/>
          <w:szCs w:val="24"/>
        </w:rPr>
        <w:t xml:space="preserve"> que les augmentations de rendements du DAP (phosphate </w:t>
      </w:r>
      <w:proofErr w:type="spellStart"/>
      <w:r w:rsidR="002033B9" w:rsidRPr="00C5457C">
        <w:rPr>
          <w:rFonts w:ascii="Times New Roman" w:hAnsi="Times New Roman" w:cs="Times New Roman"/>
          <w:sz w:val="24"/>
          <w:szCs w:val="24"/>
        </w:rPr>
        <w:t>diammonique</w:t>
      </w:r>
      <w:proofErr w:type="spellEnd"/>
      <w:r w:rsidR="002033B9" w:rsidRPr="00C5457C">
        <w:rPr>
          <w:rFonts w:ascii="Times New Roman" w:hAnsi="Times New Roman" w:cs="Times New Roman"/>
          <w:sz w:val="24"/>
          <w:szCs w:val="24"/>
        </w:rPr>
        <w:t xml:space="preserve"> 18-46-0) et du NPK (15-15-15) sont similaires à un taux d'application égal (4 kg P ha</w:t>
      </w:r>
      <w:r w:rsidR="00370D01" w:rsidRPr="00C5457C">
        <w:rPr>
          <w:rFonts w:ascii="Times New Roman" w:hAnsi="Times New Roman" w:cs="Times New Roman"/>
          <w:sz w:val="24"/>
          <w:szCs w:val="24"/>
          <w:vertAlign w:val="superscript"/>
        </w:rPr>
        <w:t>-1</w:t>
      </w:r>
      <w:r w:rsidR="002033B9" w:rsidRPr="00C5457C">
        <w:rPr>
          <w:rFonts w:ascii="Times New Roman" w:hAnsi="Times New Roman" w:cs="Times New Roman"/>
          <w:sz w:val="24"/>
          <w:szCs w:val="24"/>
        </w:rPr>
        <w:t>).</w:t>
      </w:r>
    </w:p>
    <w:p w14:paraId="5170DA1C" w14:textId="69B7B130" w:rsidR="00922C84" w:rsidRPr="00C5457C" w:rsidRDefault="00922C84" w:rsidP="00C5457C">
      <w:pPr>
        <w:pStyle w:val="Titre3"/>
        <w:spacing w:line="360" w:lineRule="auto"/>
        <w:jc w:val="both"/>
        <w:rPr>
          <w:rFonts w:ascii="Times New Roman" w:hAnsi="Times New Roman" w:cs="Times New Roman"/>
        </w:rPr>
      </w:pPr>
      <w:r w:rsidRPr="00C5457C">
        <w:rPr>
          <w:rFonts w:ascii="Times New Roman" w:hAnsi="Times New Roman" w:cs="Times New Roman"/>
        </w:rPr>
        <w:t>Autres pratiques</w:t>
      </w:r>
    </w:p>
    <w:p w14:paraId="1D544CCF" w14:textId="2E7D7150" w:rsidR="0089216C" w:rsidRPr="00C5457C" w:rsidRDefault="0089216C" w:rsidP="00C5457C">
      <w:pPr>
        <w:pStyle w:val="Titre4"/>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Choix variétal et densité de semis</w:t>
      </w:r>
    </w:p>
    <w:p w14:paraId="6C9A62AE" w14:textId="195226CF" w:rsidR="00E160C0" w:rsidRPr="00C5457C" w:rsidRDefault="004442FF"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Afin d’améliorer les méthodes de culture des céréales </w:t>
      </w:r>
      <w:r w:rsidR="001E1E82" w:rsidRPr="00C5457C">
        <w:rPr>
          <w:rFonts w:ascii="Times New Roman" w:hAnsi="Times New Roman" w:cs="Times New Roman"/>
          <w:sz w:val="24"/>
          <w:szCs w:val="24"/>
        </w:rPr>
        <w:t xml:space="preserve">et des </w:t>
      </w:r>
      <w:r w:rsidRPr="00C5457C">
        <w:rPr>
          <w:rFonts w:ascii="Times New Roman" w:hAnsi="Times New Roman" w:cs="Times New Roman"/>
          <w:sz w:val="24"/>
          <w:szCs w:val="24"/>
        </w:rPr>
        <w:t>légumineuses, la sélection de variétés et la densité de semis demeurent des étapes essentielles</w:t>
      </w:r>
      <w:r w:rsidR="001E1E82" w:rsidRPr="00C5457C">
        <w:rPr>
          <w:rFonts w:ascii="Times New Roman" w:hAnsi="Times New Roman" w:cs="Times New Roman"/>
          <w:sz w:val="24"/>
          <w:szCs w:val="24"/>
        </w:rPr>
        <w:t xml:space="preserve">, </w:t>
      </w:r>
      <w:r w:rsidRPr="00C5457C">
        <w:rPr>
          <w:rFonts w:ascii="Times New Roman" w:hAnsi="Times New Roman" w:cs="Times New Roman"/>
          <w:sz w:val="24"/>
          <w:szCs w:val="24"/>
        </w:rPr>
        <w:t>même si cela peut être influencé par divers facteurs tels que les tradition</w:t>
      </w:r>
      <w:r w:rsidR="00057044" w:rsidRPr="00C5457C">
        <w:rPr>
          <w:rFonts w:ascii="Times New Roman" w:hAnsi="Times New Roman" w:cs="Times New Roman"/>
          <w:sz w:val="24"/>
          <w:szCs w:val="24"/>
        </w:rPr>
        <w:t xml:space="preserve">s </w:t>
      </w:r>
      <w:r w:rsidR="00057044"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{"citationItems":[{"id":"ITEM-1","itemData":{"author":[{"dropping-particle":"","family":"Dutordoir","given":"Caroline Dandois","non-dropping-particle":"","parse-names":false,"suffix":""}],"id":"ITEM-1","issue":"11","issued":{"date-parts":[["2006"]]},"number-of-pages":"2016","publisher":"UNIVERSITE CATHOLIQUE DE LOUVAIN","title":"Impact de pratiques de gestion de la fertilité sur les rendements en mil dans le Fakara (Niger). Travail de fin d’études présenté en vue de l’obtention du grade de bio-ingénieur.","type":"thesis","volume":"18"},"uris":["http://www.mendeley.com/documents/?uuid=dd1e045d-848d-4ede-9aff-a382103a3ef9"]}],"mendeley":{"formattedCitation":"(Dutordoir, 2006)","plainTextFormattedCitation":"(Dutordoir, 2006)","previouslyFormattedCitation":"(Dutordoir 2006)"},"properties":{"noteIndex":0},"schema":"https://github.com/citation-style-language/schema/raw/master/csl-citation.json"}</w:instrText>
      </w:r>
      <w:r w:rsidR="00057044"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(Dutordoir, 2006)</w:t>
      </w:r>
      <w:r w:rsidR="00057044"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057044" w:rsidRPr="00C5457C">
        <w:rPr>
          <w:rFonts w:ascii="Times New Roman" w:hAnsi="Times New Roman" w:cs="Times New Roman"/>
          <w:sz w:val="24"/>
          <w:szCs w:val="24"/>
        </w:rPr>
        <w:t xml:space="preserve">En effet, </w:t>
      </w:r>
      <w:r w:rsidR="001E1E82" w:rsidRPr="00C5457C">
        <w:rPr>
          <w:rFonts w:ascii="Times New Roman" w:hAnsi="Times New Roman" w:cs="Times New Roman"/>
          <w:sz w:val="24"/>
          <w:szCs w:val="24"/>
        </w:rPr>
        <w:t xml:space="preserve">en fonction de l’environnement agro-pédo-climatique, la sélection choisis des variétés présentant des caractéristiques qui favorisent un meilleur contrôle des stress Biologiques et abiotiques </w:t>
      </w:r>
      <w:r w:rsidR="001E1E82"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{"citationItems":[{"id":"ITEM-1","itemData":{"abstract":"Diplôme : Master en bioingénieur : sciences agronomiques, à finalité spécialisée Année académique : 2022-2023 URI/URL : http://hdl.handle.net/2268.2/18039 Avertissement à l'attention des usagers : Tous les documents placés en accès ouvert sur le site le site MatheO sont protégés par le droit d'auteur. Conformément aux principes énoncés par la \"Budapest Open Access Initiative\"(BOAI, 2002), l'utilisateur du site peut lire, télécharger, copier, transmettre, imprimer, chercher ou faire un lien vers le texte intégral de ces documents, les disséquer pour les indexer, s'en servir de données pour un logiciel, ou s'en servir à toute autre fin légale (ou prévue par la réglementation relative au droit d'auteur). Toute utilisation du document à des fins commerciales est strictement interdite. Par ailleurs, l'utilisateur s'engage à respecter les droits moraux de l'auteur, principalement le droit à l'intégrité de l'oeuvre et le droit de paternité et ce dans toute utilisation que l'utilisateur entreprend. Ainsi, à titre d'exemple, lorsqu'il reproduira un document par extrait ou dans son intégralité, l'utilisateur citera de manière complète les sources telles que mentionnées ci-dessus. Toute utilisation non explicitement autorisée ci-avant (telle que par exemple, la modification du document ou son résumé) nécessite l'autorisation préalable et expresse des auteurs ou de leurs ayants droit.","author":[{"dropping-particle":"","family":"Dejonckheere","given":"Audrey","non-dropping-particle":"","parse-names":false,"suffix":""}],"id":"ITEM-1","issued":{"date-parts":[["2023"]]},"number-of-pages":"67","publisher":"Master en bioingénieur : sciences agronomiques, à finalité spécialisée; LIEGE université","title":"Etude de l'effet de la densité de semis et du choix variétal sur le développement végétal et les composantes de rendement du froment d'hiver (Triticum aestivum L.)","type":"thesis"},"uris":["http://www.mendeley.com/documents/?uuid=e05ee47e-3bb3-427d-8105-bca067a3c26d"]}],"mendeley":{"formattedCitation":"(Dejonckheere, 2023)","plainTextFormattedCitation":"(Dejonckheere, 2023)","previouslyFormattedCitation":"(Dejonckheere 2023)"},"properties":{"noteIndex":0},"schema":"https://github.com/citation-style-language/schema/raw/master/csl-citation.json"}</w:instrText>
      </w:r>
      <w:r w:rsidR="001E1E82"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(Dejonckheere, 2023)</w:t>
      </w:r>
      <w:r w:rsidR="001E1E82" w:rsidRPr="00C5457C">
        <w:rPr>
          <w:rFonts w:ascii="Times New Roman" w:hAnsi="Times New Roman" w:cs="Times New Roman"/>
          <w:sz w:val="24"/>
          <w:szCs w:val="24"/>
        </w:rPr>
        <w:fldChar w:fldCharType="end"/>
      </w:r>
      <w:r w:rsidR="001E1E82" w:rsidRPr="00C5457C">
        <w:rPr>
          <w:rFonts w:ascii="Times New Roman" w:hAnsi="Times New Roman" w:cs="Times New Roman"/>
          <w:sz w:val="24"/>
          <w:szCs w:val="24"/>
        </w:rPr>
        <w:t>. L</w:t>
      </w:r>
      <w:r w:rsidR="00057044" w:rsidRPr="00C5457C">
        <w:rPr>
          <w:rFonts w:ascii="Times New Roman" w:hAnsi="Times New Roman" w:cs="Times New Roman"/>
          <w:sz w:val="24"/>
          <w:szCs w:val="24"/>
        </w:rPr>
        <w:t xml:space="preserve">es variétés proposées par les chercheurs dont la priorité est l’augmentation des rendements ne soutiennent pas forcément le choix des agriculteurs qui </w:t>
      </w:r>
      <w:r w:rsidR="00057044" w:rsidRPr="00C5457C">
        <w:rPr>
          <w:rFonts w:ascii="Times New Roman" w:hAnsi="Times New Roman" w:cs="Times New Roman"/>
          <w:sz w:val="24"/>
          <w:szCs w:val="24"/>
        </w:rPr>
        <w:lastRenderedPageBreak/>
        <w:t>cherchent à réduire la fréquence d’échec de la culture, c’est-à-dire obtenir des rendements supérieurs à un rendement minimum</w:t>
      </w:r>
      <w:r w:rsidR="00D04AAC" w:rsidRPr="00C5457C">
        <w:rPr>
          <w:rFonts w:ascii="Times New Roman" w:hAnsi="Times New Roman" w:cs="Times New Roman"/>
          <w:sz w:val="24"/>
          <w:szCs w:val="24"/>
        </w:rPr>
        <w:t xml:space="preserve"> </w:t>
      </w:r>
      <w:r w:rsidR="00D04AAC"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{"citationItems":[{"id":"ITEM-1","itemData":{"DOI":"10.19044/esj.2016.v12n9p382","ISSN":"18577881","abstract":"In Niger, agricultural production is based mainly on the association and rotation grains / legumes with generally low yields. To improve these yields, seeding effects and cowpea genotypes in combination with millet were studied in 2014 and 2015 in the Sahel region of Niger. The experimental device is a split plot design with three replications. cowpea genotypes were large plots, and two seeding (1: 1 and 1: 2, millet and cowpea) in small plots. In addition, four parcels of pure millet grown in the past two years have been used as control. Analysis of variance revealed that for cowpea, biomass yield, seed, weight of hundred seeds and seed harvest index were significantly affected by the genotypes for two years. However, there is no significant effect on the density and cowpea genotypes on grain yields of millet. In 2014, the biomass yield millet density 2 was lower than the density of one. The density 2 increased yields of cowpea and millet slightly diminish those.","author":[{"dropping-particle":"","family":"Karim","given":"Toudou DaoudaAbdoul","non-dropping-particle":"","parse-names":false,"suffix":""},{"dropping-particle":"","family":"Sanoussi","given":"Atta","non-dropping-particle":"","parse-names":false,"suffix":""},{"dropping-particle":"","family":"Falalou","given":"Hamidou","non-dropping-particle":"","parse-names":false,"suffix":""},{"dropping-particle":"","family":"Maârouhi","given":"Inoussa Maman","non-dropping-particle":"","parse-names":false,"suffix":""},{"dropping-particle":"","family":"Yacoubou","given":"Bakasso","non-dropping-particle":"","parse-names":false,"suffix":""},{"dropping-particle":"","family":"Mahamane","given":"Saadou","non-dropping-particle":"","parse-names":false,"suffix":""}],"container-title":"European Scientific Journal, ESJ","id":"ITEM-1","issue":"9","issued":{"date-parts":[["2016"]]},"page":"382","title":"Amelioration Du Rendement Du Mil Par L’association Avec Le Niebe En Zone Sahelienne","type":"article-journal","volume":"12"},"uris":["http://www.mendeley.com/documents/?uuid=9fc35b65-6f73-4688-a8e5-19aef4a80ef7"]}],"mendeley":{"formattedCitation":"(Karim et al., 2016)","plainTextFormattedCitation":"(Karim et al., 2016)","previouslyFormattedCitation":"(Karim et al. 2016)"},"properties":{"noteIndex":0},"schema":"https://github.com/citation-style-language/schema/raw/master/csl-citation.json"}</w:instrText>
      </w:r>
      <w:r w:rsidR="00D04AAC"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(Karim et al., 2016)</w:t>
      </w:r>
      <w:r w:rsidR="00D04AAC" w:rsidRPr="00C5457C">
        <w:rPr>
          <w:rFonts w:ascii="Times New Roman" w:hAnsi="Times New Roman" w:cs="Times New Roman"/>
          <w:sz w:val="24"/>
          <w:szCs w:val="24"/>
        </w:rPr>
        <w:fldChar w:fldCharType="end"/>
      </w:r>
      <w:r w:rsidR="00057044" w:rsidRPr="00C5457C">
        <w:rPr>
          <w:rFonts w:ascii="Times New Roman" w:hAnsi="Times New Roman" w:cs="Times New Roman"/>
          <w:sz w:val="24"/>
          <w:szCs w:val="24"/>
        </w:rPr>
        <w:t>.</w:t>
      </w:r>
      <w:r w:rsidR="00417C6D" w:rsidRPr="00C5457C">
        <w:rPr>
          <w:rFonts w:ascii="Times New Roman" w:hAnsi="Times New Roman" w:cs="Times New Roman"/>
          <w:sz w:val="24"/>
          <w:szCs w:val="24"/>
        </w:rPr>
        <w:t xml:space="preserve"> </w:t>
      </w:r>
      <w:r w:rsidR="00C47DA2" w:rsidRPr="00C5457C">
        <w:rPr>
          <w:rFonts w:ascii="Times New Roman" w:hAnsi="Times New Roman" w:cs="Times New Roman"/>
          <w:sz w:val="24"/>
          <w:szCs w:val="24"/>
        </w:rPr>
        <w:t xml:space="preserve">Pourtant, </w:t>
      </w:r>
      <w:r w:rsidR="001E1E82" w:rsidRPr="00C5457C">
        <w:rPr>
          <w:rFonts w:ascii="Times New Roman" w:hAnsi="Times New Roman" w:cs="Times New Roman"/>
          <w:sz w:val="24"/>
          <w:szCs w:val="24"/>
        </w:rPr>
        <w:t xml:space="preserve">il </w:t>
      </w:r>
      <w:r w:rsidR="00C47DA2" w:rsidRPr="00C5457C">
        <w:rPr>
          <w:rFonts w:ascii="Times New Roman" w:hAnsi="Times New Roman" w:cs="Times New Roman"/>
          <w:sz w:val="24"/>
          <w:szCs w:val="24"/>
        </w:rPr>
        <w:t>existe des moyens d’augmenter le rendement des légumineuses et des céréales en utilisant des génotypes adaptés et des techniques de culture a</w:t>
      </w:r>
      <w:r w:rsidR="00B61FD1" w:rsidRPr="00C5457C">
        <w:rPr>
          <w:rFonts w:ascii="Times New Roman" w:hAnsi="Times New Roman" w:cs="Times New Roman"/>
          <w:sz w:val="24"/>
          <w:szCs w:val="24"/>
        </w:rPr>
        <w:t>ppropriée</w:t>
      </w:r>
      <w:r w:rsidR="00C47DA2" w:rsidRPr="00C5457C">
        <w:rPr>
          <w:rFonts w:ascii="Times New Roman" w:hAnsi="Times New Roman" w:cs="Times New Roman"/>
          <w:sz w:val="24"/>
          <w:szCs w:val="24"/>
        </w:rPr>
        <w:t xml:space="preserve">s et réalisable pour les agriculteurs </w:t>
      </w:r>
      <w:r w:rsidR="00C47DA2"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{"citationItems":[{"id":"ITEM-1","itemData":{"DOI":"10.4314/ijbcs.v5i1.68098","abstract":"In the south areas of Niamey, the capital of Niger, where there is a higher density of livestock because of the Niger River, cowpea is grown mainly for fodder. Unfortunately, there is a lack of dual-purpose cowpea varieties with high potential for fodder production. Therefore, an experiment was carried out in two sites (Ticko and Bogodjotou) located in the Southwest of Niamey during the rainy season of 2001 and 2002, in order to compare the production of nine cowpea varieties. The results indicated that in 2001, the fodder yield of all varieties were significantly (p","author":[{"dropping-particle":"","family":"Atta","given":"S","non-dropping-particle":"","parse-names":false,"suffix":""},{"dropping-particle":"","family":"Adamou","given":"MM","non-dropping-particle":"","parse-names":false,"suffix":""},{"dropping-particle":"","family":"Adamou","given":"M","non-dropping-particle":"","parse-names":false,"suffix":""},{"dropping-particle":"","family":"Achard","given":"F","non-dropping-particle":"","parse-names":false,"suffix":""},{"dropping-particle":"","family":"Saadou","given":"M","non-dropping-particle":"","parse-names":false,"suffix":""}],"container-title":"International Journal of Biological and Chemical Sciences","id":"ITEM-1","issue":"1","issued":{"date-parts":[["2011"]]},"page":"196-205","title":"Interannual variation in fodder production in cowpea varieties in Niger","type":"article-journal","volume":"5"},"uris":["http://www.mendeley.com/documents/?uuid=d77ae137-1eeb-4dfe-a9e4-86e1ea669e4c"]}],"mendeley":{"formattedCitation":"(Atta et al., 2011)","plainTextFormattedCitation":"(Atta et al., 2011)","previouslyFormattedCitation":"(Atta et al. 2011)"},"properties":{"noteIndex":0},"schema":"https://github.com/citation-style-language/schema/raw/master/csl-citation.json"}</w:instrText>
      </w:r>
      <w:r w:rsidR="00C47DA2"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(Atta et al., 2011)</w:t>
      </w:r>
      <w:r w:rsidR="00C47DA2" w:rsidRPr="00C5457C">
        <w:rPr>
          <w:rFonts w:ascii="Times New Roman" w:hAnsi="Times New Roman" w:cs="Times New Roman"/>
          <w:sz w:val="24"/>
          <w:szCs w:val="24"/>
        </w:rPr>
        <w:fldChar w:fldCharType="end"/>
      </w:r>
      <w:r w:rsidR="00C47DA2" w:rsidRPr="00C5457C">
        <w:rPr>
          <w:rFonts w:ascii="Times New Roman" w:hAnsi="Times New Roman" w:cs="Times New Roman"/>
          <w:sz w:val="24"/>
          <w:szCs w:val="24"/>
        </w:rPr>
        <w:t>.</w:t>
      </w:r>
      <w:r w:rsidR="00B61FD1" w:rsidRPr="00C5457C">
        <w:rPr>
          <w:rFonts w:ascii="Times New Roman" w:hAnsi="Times New Roman" w:cs="Times New Roman"/>
          <w:sz w:val="24"/>
          <w:szCs w:val="24"/>
        </w:rPr>
        <w:t xml:space="preserve"> Selon Shapiro et Sanders (1997), si un mélange de variétés à cycle court et long était disponible, les </w:t>
      </w:r>
      <w:r w:rsidR="001E1E82" w:rsidRPr="00C5457C">
        <w:rPr>
          <w:rFonts w:ascii="Times New Roman" w:hAnsi="Times New Roman" w:cs="Times New Roman"/>
          <w:sz w:val="24"/>
          <w:szCs w:val="24"/>
        </w:rPr>
        <w:t>paysans</w:t>
      </w:r>
      <w:r w:rsidR="00B61FD1" w:rsidRPr="00C5457C">
        <w:rPr>
          <w:rFonts w:ascii="Times New Roman" w:hAnsi="Times New Roman" w:cs="Times New Roman"/>
          <w:sz w:val="24"/>
          <w:szCs w:val="24"/>
        </w:rPr>
        <w:t xml:space="preserve"> pourraient ajuster la sélection de la variété à semer en fonction de la date de la première pluie </w:t>
      </w:r>
      <w:r w:rsidR="00B61FD1"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{"citationItems":[{"id":"ITEM-1","itemData":{"author":[{"dropping-particle":"","family":"Dutordoir","given":"Caroline Dandois","non-dropping-particle":"","parse-names":false,"suffix":""}],"id":"ITEM-1","issue":"11","issued":{"date-parts":[["2006"]]},"number-of-pages":"2016","publisher":"UNIVERSITE CATHOLIQUE DE LOUVAIN","title":"Impact de pratiques de gestion de la fertilité sur les rendements en mil dans le Fakara (Niger). Travail de fin d’études présenté en vue de l’obtention du grade de bio-ingénieur.","type":"thesis","volume":"18"},"uris":["http://www.mendeley.com/documents/?uuid=dd1e045d-848d-4ede-9aff-a382103a3ef9"]}],"mendeley":{"formattedCitation":"(Dutordoir, 2006)","plainTextFormattedCitation":"(Dutordoir, 2006)","previouslyFormattedCitation":"(Dutordoir 2006)"},"properties":{"noteIndex":0},"schema":"https://github.com/citation-style-language/schema/raw/master/csl-citation.json"}</w:instrText>
      </w:r>
      <w:r w:rsidR="00B61FD1"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(Dutordoir, 2006)</w:t>
      </w:r>
      <w:r w:rsidR="00B61FD1" w:rsidRPr="00C5457C">
        <w:rPr>
          <w:rFonts w:ascii="Times New Roman" w:hAnsi="Times New Roman" w:cs="Times New Roman"/>
          <w:sz w:val="24"/>
          <w:szCs w:val="24"/>
        </w:rPr>
        <w:fldChar w:fldCharType="end"/>
      </w:r>
      <w:r w:rsidR="00B61FD1" w:rsidRPr="00C5457C">
        <w:rPr>
          <w:rFonts w:ascii="Times New Roman" w:hAnsi="Times New Roman" w:cs="Times New Roman"/>
          <w:sz w:val="24"/>
          <w:szCs w:val="24"/>
        </w:rPr>
        <w:t xml:space="preserve">. </w:t>
      </w:r>
      <w:r w:rsidR="00A24ED2" w:rsidRPr="00C5457C">
        <w:rPr>
          <w:rFonts w:ascii="Times New Roman" w:hAnsi="Times New Roman" w:cs="Times New Roman"/>
          <w:sz w:val="24"/>
          <w:szCs w:val="24"/>
        </w:rPr>
        <w:t>La densité de</w:t>
      </w:r>
      <w:r w:rsidR="000A45AE" w:rsidRPr="00C5457C">
        <w:rPr>
          <w:rFonts w:ascii="Times New Roman" w:hAnsi="Times New Roman" w:cs="Times New Roman"/>
          <w:sz w:val="24"/>
          <w:szCs w:val="24"/>
        </w:rPr>
        <w:t xml:space="preserve"> </w:t>
      </w:r>
      <w:r w:rsidR="00E160C0" w:rsidRPr="00C5457C">
        <w:rPr>
          <w:rFonts w:ascii="Times New Roman" w:hAnsi="Times New Roman" w:cs="Times New Roman"/>
          <w:sz w:val="24"/>
          <w:szCs w:val="24"/>
        </w:rPr>
        <w:t>semis</w:t>
      </w:r>
      <w:r w:rsidR="00A24ED2" w:rsidRPr="00C5457C">
        <w:rPr>
          <w:rFonts w:ascii="Times New Roman" w:hAnsi="Times New Roman" w:cs="Times New Roman"/>
          <w:sz w:val="24"/>
          <w:szCs w:val="24"/>
        </w:rPr>
        <w:t xml:space="preserve"> est également influencée par le génotype, les rendements les plus élevés pour les génotypes à potentiel de tallage élevé sont observés à des densités de semis plus faibles. Au contraire, pour les génotypes à faible potentiel de tallage, les meilleurs rendements sont obtenus à des densités de semis plus élevées </w:t>
      </w:r>
      <w:r w:rsidR="00A24ED2"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{"citationItems":[{"id":"ITEM-1","itemData":{"abstract":"Diplôme : Master en bioingénieur : sciences agronomiques, à finalité spécialisée Année académique : 2022-2023 URI/URL : http://hdl.handle.net/2268.2/18039 Avertissement à l'attention des usagers : Tous les documents placés en accès ouvert sur le site le site MatheO sont protégés par le droit d'auteur. Conformément aux principes énoncés par la \"Budapest Open Access Initiative\"(BOAI, 2002), l'utilisateur du site peut lire, télécharger, copier, transmettre, imprimer, chercher ou faire un lien vers le texte intégral de ces documents, les disséquer pour les indexer, s'en servir de données pour un logiciel, ou s'en servir à toute autre fin légale (ou prévue par la réglementation relative au droit d'auteur). Toute utilisation du document à des fins commerciales est strictement interdite. Par ailleurs, l'utilisateur s'engage à respecter les droits moraux de l'auteur, principalement le droit à l'intégrité de l'oeuvre et le droit de paternité et ce dans toute utilisation que l'utilisateur entreprend. Ainsi, à titre d'exemple, lorsqu'il reproduira un document par extrait ou dans son intégralité, l'utilisateur citera de manière complète les sources telles que mentionnées ci-dessus. Toute utilisation non explicitement autorisée ci-avant (telle que par exemple, la modification du document ou son résumé) nécessite l'autorisation préalable et expresse des auteurs ou de leurs ayants droit.","author":[{"dropping-particle":"","family":"Dejonckheere","given":"Audrey","non-dropping-particle":"","parse-names":false,"suffix":""}],"id":"ITEM-1","issued":{"date-parts":[["2023"]]},"number-of-pages":"67","publisher":"Master en bioingénieur : sciences agronomiques, à finalité spécialisée; LIEGE université","title":"Etude de l'effet de la densité de semis et du choix variétal sur le développement végétal et les composantes de rendement du froment d'hiver (Triticum aestivum L.)","type":"thesis"},"uris":["http://www.mendeley.com/documents/?uuid=e05ee47e-3bb3-427d-8105-bca067a3c26d"]},{"id":"ITEM-2","itemData":{"DOI":"10.19044/esj.2016.v12n9p382","ISSN":"18577881","abstract":"In Niger, agricultural production is based mainly on the association and rotation grains / legumes with generally low yields. To improve these yields, seeding effects and cowpea genotypes in combination with millet were studied in 2014 and 2015 in the Sahel region of Niger. The experimental device is a split plot design with three replications. cowpea genotypes were large plots, and two seeding (1: 1 and 1: 2, millet and cowpea) in small plots. In addition, four parcels of pure millet grown in the past two years have been used as control. Analysis of variance revealed that for cowpea, biomass yield, seed, weight of hundred seeds and seed harvest index were significantly affected by the genotypes for two years. However, there is no significant effect on the density and cowpea genotypes on grain yields of millet. In 2014, the biomass yield millet density 2 was lower than the density of one. The density 2 increased yields of cowpea and millet slightly diminish those.","author":[{"dropping-particle":"","family":"Karim","given":"Toudou DaoudaAbdoul","non-dropping-particle":"","parse-names":false,"suffix":""},{"dropping-particle":"","family":"Sanoussi","given":"Atta","non-dropping-particle":"","parse-names":false,"suffix":""},{"dropping-particle":"","family":"Falalou","given":"Hamidou","non-dropping-particle":"","parse-names":false,"suffix":""},{"dropping-particle":"","family":"Maârouhi","given":"Inoussa Maman","non-dropping-particle":"","parse-names":false,"suffix":""},{"dropping-particle":"","family":"Yacoubou","given":"Bakasso","non-dropping-particle":"","parse-names":false,"suffix":""},{"dropping-particle":"","family":"Mahamane","given":"Saadou","non-dropping-particle":"","parse-names":false,"suffix":""}],"container-title":"European Scientific Journal, ESJ","id":"ITEM-2","issue":"9","issued":{"date-parts":[["2016"]]},"page":"382","title":"Amelioration Du Rendement Du Mil Par L’association Avec Le Niebe En Zone Sahelienne","type":"article-journal","volume":"12"},"uris":["http://www.mendeley.com/documents/?uuid=9fc35b65-6f73-4688-a8e5-19aef4a80ef7"]}],"mendeley":{"formattedCitation":"(Dejonckheere, 2023; Karim et al., 2016)","plainTextFormattedCitation":"(Dejonckheere, 2023; Karim et al., 2016)","previouslyFormattedCitation":"(Dejonckheere 2023; Karim et al. 2016)"},"properties":{"noteIndex":0},"schema":"https://github.com/citation-style-language/schema/raw/master/csl-citation.json"}</w:instrText>
      </w:r>
      <w:r w:rsidR="00A24ED2"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(Dejonckheere, 2023; Karim et al., 2016)</w:t>
      </w:r>
      <w:r w:rsidR="00A24ED2" w:rsidRPr="00C5457C">
        <w:rPr>
          <w:rFonts w:ascii="Times New Roman" w:hAnsi="Times New Roman" w:cs="Times New Roman"/>
          <w:sz w:val="24"/>
          <w:szCs w:val="24"/>
        </w:rPr>
        <w:fldChar w:fldCharType="end"/>
      </w:r>
      <w:r w:rsidR="00A24ED2" w:rsidRPr="00C5457C">
        <w:rPr>
          <w:rFonts w:ascii="Times New Roman" w:hAnsi="Times New Roman" w:cs="Times New Roman"/>
          <w:sz w:val="24"/>
          <w:szCs w:val="24"/>
        </w:rPr>
        <w:t xml:space="preserve">. </w:t>
      </w:r>
      <w:r w:rsidR="000A45AE" w:rsidRPr="00C5457C">
        <w:rPr>
          <w:rFonts w:ascii="Times New Roman" w:hAnsi="Times New Roman" w:cs="Times New Roman"/>
          <w:sz w:val="24"/>
          <w:szCs w:val="24"/>
        </w:rPr>
        <w:t xml:space="preserve">Le tallage est davantage stimulé par une densité de semis plus faible que par la fertilisation par N et P. Selon </w:t>
      </w:r>
      <w:r w:rsidR="000A45AE"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{"citationItems":[{"id":"ITEM-1","itemData":{"DOI":"10.1016/j.agsy.2003.09.002","ISSN":"0308521X","abstract":"Over 40 years of research on pearl millet farming in the semi-arid Sahel has not been extended to farmers successfully. The recommendations for proper planting density, inorganic fertiliser application, and short cycle varieties have not been followed by the farmers. The difference in priorities between researchers, who aim to improve yields in average years, and Sahelian farmers, who seek to reduce the frequency of crop failure, could explain the non-adoption of most innovations because the risks of yield losses were not reduced. Innovations and conventional techniques were tested in farmers' fields in Niger over 5 years in two experiments. The first experiment (3 years) compared four hill densities with and without nitrogen and phosphorus (NP) fertilisation. Soil water was monitored with neutron probes. Grain yield, biomass, and tillering were modified profoundly by rainfall distribution, and treatment effects were statistically significant in two out of three years. The conventional low density planting did not produce high yields as frequently as higher densities under favourable conditions; however there was less crop failure under harsh conditions with low density farming, although lower average grain yields were realised. Risks to crop yields were reduced mainly by the staggered development of main stem and tiller panicles. The tiller contribution to yields was reduced from about 60% in conventional wide spacing (5000 hills ha-1) to 20% in recommended spacing (10,000 hills ha-1). The second experiment (3 years) compared NP fertilisation versus no inorganic inputs in 11 fields of variable nutrient status under conventional low density planting. Grain yields improved with NP application in all fields because of the increase in panicle number. But contribution of the tillers to yields did not increase in the poorest soils because higher yields were obtained by reducing the number of sterile hills. This study allowed the grouping of farming practices according to their potential to improve yields or reduce risks. The practices that increased yields and reduced risks were: conventional low density planting with or without inorganic fertiliser, planting of late and early maturing varieties during the same season, and manuring. The practices that increased yields but did not reduce risks were: dense planting with inorganic fertilisation, mono-cropping of early maturing varieties, and incorporating inorganic fertiliser in very poor soils. Under the margi…","author":[{"dropping-particle":"","family":"Rouw","given":"Anneke","non-dropping-particle":"De","parse-names":false,"suffix":""}],"container-title":"Agricultural Systems","id":"ITEM-1","issue":"1","issued":{"date-parts":[["2004"]]},"page":"73-93","title":"Improving yields and reducing risks in pearl millet farming in the African Sahel","type":"article-journal","volume":"81"},"uris":["http://www.mendeley.com/documents/?uuid=82b6e661-e7fb-4c37-a32e-42d611c7d977"]}],"mendeley":{"formattedCitation":"(De Rouw, 2004)","manualFormatting":"De Rouw, (2004)","plainTextFormattedCitation":"(De Rouw, 2004)","previouslyFormattedCitation":"(De Rouw 2004)"},"properties":{"noteIndex":0},"schema":"https://github.com/citation-style-language/schema/raw/master/csl-citation.json"}</w:instrText>
      </w:r>
      <w:r w:rsidR="000A45AE" w:rsidRPr="00C5457C">
        <w:rPr>
          <w:rFonts w:ascii="Times New Roman" w:hAnsi="Times New Roman" w:cs="Times New Roman"/>
          <w:sz w:val="24"/>
          <w:szCs w:val="24"/>
        </w:rPr>
        <w:fldChar w:fldCharType="separate"/>
      </w:r>
      <w:r w:rsidR="000A45AE" w:rsidRPr="00C5457C">
        <w:rPr>
          <w:rFonts w:ascii="Times New Roman" w:hAnsi="Times New Roman" w:cs="Times New Roman"/>
          <w:noProof/>
          <w:sz w:val="24"/>
          <w:szCs w:val="24"/>
        </w:rPr>
        <w:t>De Rouw, (2004)</w:t>
      </w:r>
      <w:r w:rsidR="000A45AE" w:rsidRPr="00C5457C">
        <w:rPr>
          <w:rFonts w:ascii="Times New Roman" w:hAnsi="Times New Roman" w:cs="Times New Roman"/>
          <w:sz w:val="24"/>
          <w:szCs w:val="24"/>
        </w:rPr>
        <w:fldChar w:fldCharType="end"/>
      </w:r>
      <w:r w:rsidR="000A45AE" w:rsidRPr="00C5457C">
        <w:rPr>
          <w:rFonts w:ascii="Times New Roman" w:hAnsi="Times New Roman" w:cs="Times New Roman"/>
          <w:sz w:val="24"/>
          <w:szCs w:val="24"/>
        </w:rPr>
        <w:t xml:space="preserve">, la contribution des panicules des talles au rendement en grain augmente de </w:t>
      </w:r>
      <w:r w:rsidR="002F0B79" w:rsidRPr="00C5457C">
        <w:rPr>
          <w:rFonts w:ascii="Times New Roman" w:hAnsi="Times New Roman" w:cs="Times New Roman"/>
          <w:sz w:val="24"/>
          <w:szCs w:val="24"/>
        </w:rPr>
        <w:t>2</w:t>
      </w:r>
      <w:r w:rsidR="000A45AE" w:rsidRPr="00C5457C">
        <w:rPr>
          <w:rFonts w:ascii="Times New Roman" w:hAnsi="Times New Roman" w:cs="Times New Roman"/>
          <w:sz w:val="24"/>
          <w:szCs w:val="24"/>
        </w:rPr>
        <w:t xml:space="preserve">0 % à </w:t>
      </w:r>
      <w:r w:rsidR="002F0B79" w:rsidRPr="00C5457C">
        <w:rPr>
          <w:rFonts w:ascii="Times New Roman" w:hAnsi="Times New Roman" w:cs="Times New Roman"/>
          <w:sz w:val="24"/>
          <w:szCs w:val="24"/>
        </w:rPr>
        <w:t>6</w:t>
      </w:r>
      <w:r w:rsidR="000A45AE" w:rsidRPr="00C5457C">
        <w:rPr>
          <w:rFonts w:ascii="Times New Roman" w:hAnsi="Times New Roman" w:cs="Times New Roman"/>
          <w:sz w:val="24"/>
          <w:szCs w:val="24"/>
        </w:rPr>
        <w:t xml:space="preserve">0 % lorsque la densité augmente. </w:t>
      </w:r>
      <w:r w:rsidR="006A78FF" w:rsidRPr="00C5457C">
        <w:rPr>
          <w:rFonts w:ascii="Times New Roman" w:hAnsi="Times New Roman" w:cs="Times New Roman"/>
          <w:sz w:val="24"/>
          <w:szCs w:val="24"/>
        </w:rPr>
        <w:t>D’après</w:t>
      </w:r>
      <w:r w:rsidR="000A45AE" w:rsidRPr="00C5457C">
        <w:rPr>
          <w:rFonts w:ascii="Times New Roman" w:hAnsi="Times New Roman" w:cs="Times New Roman"/>
          <w:sz w:val="24"/>
          <w:szCs w:val="24"/>
        </w:rPr>
        <w:t xml:space="preserve"> une étude menée à </w:t>
      </w:r>
      <w:proofErr w:type="spellStart"/>
      <w:r w:rsidR="000A45AE" w:rsidRPr="00C5457C">
        <w:rPr>
          <w:rFonts w:ascii="Times New Roman" w:hAnsi="Times New Roman" w:cs="Times New Roman"/>
          <w:sz w:val="24"/>
          <w:szCs w:val="24"/>
        </w:rPr>
        <w:t>Banizoumbou</w:t>
      </w:r>
      <w:proofErr w:type="spellEnd"/>
      <w:r w:rsidR="000A45AE" w:rsidRPr="00C5457C">
        <w:rPr>
          <w:rFonts w:ascii="Times New Roman" w:hAnsi="Times New Roman" w:cs="Times New Roman"/>
          <w:sz w:val="24"/>
          <w:szCs w:val="24"/>
        </w:rPr>
        <w:t xml:space="preserve"> (Niger), il est démontré que la densité de semis traditionnelle (5</w:t>
      </w:r>
      <w:r w:rsidR="00613D90" w:rsidRPr="00C5457C">
        <w:rPr>
          <w:rFonts w:ascii="Times New Roman" w:hAnsi="Times New Roman" w:cs="Times New Roman"/>
          <w:sz w:val="24"/>
          <w:szCs w:val="24"/>
        </w:rPr>
        <w:t xml:space="preserve"> </w:t>
      </w:r>
      <w:r w:rsidR="000A45AE" w:rsidRPr="00C5457C">
        <w:rPr>
          <w:rFonts w:ascii="Times New Roman" w:hAnsi="Times New Roman" w:cs="Times New Roman"/>
          <w:sz w:val="24"/>
          <w:szCs w:val="24"/>
        </w:rPr>
        <w:t>000 poquets ha</w:t>
      </w:r>
      <w:r w:rsidR="000A45AE" w:rsidRPr="00C5457C">
        <w:rPr>
          <w:rFonts w:ascii="Times New Roman" w:hAnsi="Times New Roman" w:cs="Times New Roman"/>
          <w:sz w:val="24"/>
          <w:szCs w:val="24"/>
          <w:vertAlign w:val="superscript"/>
        </w:rPr>
        <w:t>-1</w:t>
      </w:r>
      <w:r w:rsidR="000A45AE" w:rsidRPr="00C5457C">
        <w:rPr>
          <w:rFonts w:ascii="Times New Roman" w:hAnsi="Times New Roman" w:cs="Times New Roman"/>
          <w:sz w:val="24"/>
          <w:szCs w:val="24"/>
        </w:rPr>
        <w:t>) offre des rendements élevés moins souvent que la densité recommandée (10</w:t>
      </w:r>
      <w:r w:rsidR="00613D90" w:rsidRPr="00C5457C">
        <w:rPr>
          <w:rFonts w:ascii="Times New Roman" w:hAnsi="Times New Roman" w:cs="Times New Roman"/>
          <w:sz w:val="24"/>
          <w:szCs w:val="24"/>
        </w:rPr>
        <w:t xml:space="preserve"> </w:t>
      </w:r>
      <w:r w:rsidR="000A45AE" w:rsidRPr="00C5457C">
        <w:rPr>
          <w:rFonts w:ascii="Times New Roman" w:hAnsi="Times New Roman" w:cs="Times New Roman"/>
          <w:sz w:val="24"/>
          <w:szCs w:val="24"/>
        </w:rPr>
        <w:t>000 poquets ha</w:t>
      </w:r>
      <w:r w:rsidR="000A45AE" w:rsidRPr="00C5457C">
        <w:rPr>
          <w:rFonts w:ascii="Times New Roman" w:hAnsi="Times New Roman" w:cs="Times New Roman"/>
          <w:sz w:val="24"/>
          <w:szCs w:val="24"/>
          <w:vertAlign w:val="superscript"/>
        </w:rPr>
        <w:t>-1</w:t>
      </w:r>
      <w:r w:rsidR="000A45AE" w:rsidRPr="00C5457C">
        <w:rPr>
          <w:rFonts w:ascii="Times New Roman" w:hAnsi="Times New Roman" w:cs="Times New Roman"/>
          <w:sz w:val="24"/>
          <w:szCs w:val="24"/>
        </w:rPr>
        <w:t xml:space="preserve">) dans des conditions favorables. Cependant, les années plus sèches présentent moins de risques de perte de rendement si la densité de semis est plus faible, même si les rendements en grain moyens sont plus faibles </w:t>
      </w:r>
      <w:r w:rsidR="000A45AE"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{"citationItems":[{"id":"ITEM-1","itemData":{"author":[{"dropping-particle":"","family":"Dutordoir","given":"Caroline Dandois","non-dropping-particle":"","parse-names":false,"suffix":""}],"id":"ITEM-1","issue":"11","issued":{"date-parts":[["2006"]]},"number-of-pages":"2016","publisher":"UNIVERSITE CATHOLIQUE DE LOUVAIN","title":"Impact de pratiques de gestion de la fertilité sur les rendements en mil dans le Fakara (Niger). Travail de fin d’études présenté en vue de l’obtention du grade de bio-ingénieur.","type":"thesis","volume":"18"},"uris":["http://www.mendeley.com/documents/?uuid=dd1e045d-848d-4ede-9aff-a382103a3ef9"]}],"mendeley":{"formattedCitation":"(Dutordoir, 2006)","plainTextFormattedCitation":"(Dutordoir, 2006)","previouslyFormattedCitation":"(Dutordoir 2006)"},"properties":{"noteIndex":0},"schema":"https://github.com/citation-style-language/schema/raw/master/csl-citation.json"}</w:instrText>
      </w:r>
      <w:r w:rsidR="000A45AE"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(Dutordoir, 2006)</w:t>
      </w:r>
      <w:r w:rsidR="000A45AE" w:rsidRPr="00C5457C">
        <w:rPr>
          <w:rFonts w:ascii="Times New Roman" w:hAnsi="Times New Roman" w:cs="Times New Roman"/>
          <w:sz w:val="24"/>
          <w:szCs w:val="24"/>
        </w:rPr>
        <w:fldChar w:fldCharType="end"/>
      </w:r>
      <w:r w:rsidR="000A45AE" w:rsidRPr="00C5457C">
        <w:rPr>
          <w:rFonts w:ascii="Times New Roman" w:hAnsi="Times New Roman" w:cs="Times New Roman"/>
          <w:sz w:val="24"/>
          <w:szCs w:val="24"/>
        </w:rPr>
        <w:t xml:space="preserve">. </w:t>
      </w:r>
      <w:r w:rsidR="00E160C0" w:rsidRPr="00C5457C">
        <w:rPr>
          <w:rFonts w:ascii="Times New Roman" w:hAnsi="Times New Roman" w:cs="Times New Roman"/>
          <w:sz w:val="24"/>
          <w:szCs w:val="24"/>
        </w:rPr>
        <w:t xml:space="preserve">D’après </w:t>
      </w:r>
      <w:r w:rsidR="00E160C0"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{"citationItems":[{"id":"ITEM-1","itemData":{"DOI":"10.1016/j.agsy.2003.09.002","ISSN":"0308521X","abstract":"Over 40 years of research on pearl millet farming in the semi-arid Sahel has not been extended to farmers successfully. The recommendations for proper planting density, inorganic fertiliser application, and short cycle varieties have not been followed by the farmers. The difference in priorities between researchers, who aim to improve yields in average years, and Sahelian farmers, who seek to reduce the frequency of crop failure, could explain the non-adoption of most innovations because the risks of yield losses were not reduced. Innovations and conventional techniques were tested in farmers' fields in Niger over 5 years in two experiments. The first experiment (3 years) compared four hill densities with and without nitrogen and phosphorus (NP) fertilisation. Soil water was monitored with neutron probes. Grain yield, biomass, and tillering were modified profoundly by rainfall distribution, and treatment effects were statistically significant in two out of three years. The conventional low density planting did not produce high yields as frequently as higher densities under favourable conditions; however there was less crop failure under harsh conditions with low density farming, although lower average grain yields were realised. Risks to crop yields were reduced mainly by the staggered development of main stem and tiller panicles. The tiller contribution to yields was reduced from about 60% in conventional wide spacing (5000 hills ha-1) to 20% in recommended spacing (10,000 hills ha-1). The second experiment (3 years) compared NP fertilisation versus no inorganic inputs in 11 fields of variable nutrient status under conventional low density planting. Grain yields improved with NP application in all fields because of the increase in panicle number. But contribution of the tillers to yields did not increase in the poorest soils because higher yields were obtained by reducing the number of sterile hills. This study allowed the grouping of farming practices according to their potential to improve yields or reduce risks. The practices that increased yields and reduced risks were: conventional low density planting with or without inorganic fertiliser, planting of late and early maturing varieties during the same season, and manuring. The practices that increased yields but did not reduce risks were: dense planting with inorganic fertilisation, mono-cropping of early maturing varieties, and incorporating inorganic fertiliser in very poor soils. Under the margi…","author":[{"dropping-particle":"","family":"Rouw","given":"Anneke","non-dropping-particle":"De","parse-names":false,"suffix":""}],"container-title":"Agricultural Systems","id":"ITEM-1","issue":"1","issued":{"date-parts":[["2004"]]},"page":"73-93","title":"Improving yields and reducing risks in pearl millet farming in the African Sahel","type":"article-journal","volume":"81"},"uris":["http://www.mendeley.com/documents/?uuid=82b6e661-e7fb-4c37-a32e-42d611c7d977"]}],"mendeley":{"formattedCitation":"(De Rouw, 2004)","manualFormatting":"De Rouw, (2004)","plainTextFormattedCitation":"(De Rouw, 2004)","previouslyFormattedCitation":"(De Rouw 2004)"},"properties":{"noteIndex":0},"schema":"https://github.com/citation-style-language/schema/raw/master/csl-citation.json"}</w:instrText>
      </w:r>
      <w:r w:rsidR="00E160C0" w:rsidRPr="00C5457C">
        <w:rPr>
          <w:rFonts w:ascii="Times New Roman" w:hAnsi="Times New Roman" w:cs="Times New Roman"/>
          <w:sz w:val="24"/>
          <w:szCs w:val="24"/>
        </w:rPr>
        <w:fldChar w:fldCharType="separate"/>
      </w:r>
      <w:r w:rsidR="00E160C0" w:rsidRPr="00C5457C">
        <w:rPr>
          <w:rFonts w:ascii="Times New Roman" w:hAnsi="Times New Roman" w:cs="Times New Roman"/>
          <w:noProof/>
          <w:sz w:val="24"/>
          <w:szCs w:val="24"/>
        </w:rPr>
        <w:t>De Rouw, (2004)</w:t>
      </w:r>
      <w:r w:rsidR="00E160C0" w:rsidRPr="00C5457C">
        <w:rPr>
          <w:rFonts w:ascii="Times New Roman" w:hAnsi="Times New Roman" w:cs="Times New Roman"/>
          <w:sz w:val="24"/>
          <w:szCs w:val="24"/>
        </w:rPr>
        <w:fldChar w:fldCharType="end"/>
      </w:r>
      <w:r w:rsidR="00E160C0" w:rsidRPr="00C5457C">
        <w:rPr>
          <w:rFonts w:ascii="Times New Roman" w:hAnsi="Times New Roman" w:cs="Times New Roman"/>
          <w:sz w:val="24"/>
          <w:szCs w:val="24"/>
        </w:rPr>
        <w:t>, il n'est pas nécessaire d'avoir une densité de semis élevée dans les conditions de culture de terres marginales comme au Sahel pour obtenir un rendement élevé. Une forte densité diminue le tallage et rend la culture plus exposée aux sécheresses et aux contraintes biotiques.</w:t>
      </w:r>
    </w:p>
    <w:p w14:paraId="1C8E46DE" w14:textId="5AC00602" w:rsidR="0065486E" w:rsidRPr="00C5457C" w:rsidRDefault="00A2109C" w:rsidP="00C5457C">
      <w:pPr>
        <w:pStyle w:val="Titre4"/>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Les b</w:t>
      </w:r>
      <w:r w:rsidR="0065486E" w:rsidRPr="00C5457C">
        <w:rPr>
          <w:rFonts w:ascii="Times New Roman" w:hAnsi="Times New Roman" w:cs="Times New Roman"/>
          <w:sz w:val="24"/>
          <w:szCs w:val="24"/>
        </w:rPr>
        <w:t>iopesticides</w:t>
      </w:r>
    </w:p>
    <w:p w14:paraId="1199EBCE" w14:textId="3513E799" w:rsidR="0098498C" w:rsidRPr="00C5457C" w:rsidRDefault="003B439C"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Les biopesticides sont des composés et des dérivés de produits naturels tels que les insectes, les nématodes, les micro-organismes, les plantes et les substances chimiques sémiotiques. L’efficacité de ces produits est élevée en petites quantités et leur utilisation encouragent la lutte durable contre les ravageurs, contribuant ainsi à une agriculture durable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{"citationItems":[{"id":"ITEM-1","itemData":{"DOI":"10.4236/jbm.2018.66002","ISSN":"2327-5081","abstract":"Biopesticides are derivatives of plants, microorganisms and insects. Substances from plants and animals have been used to manage diseases in crops, animals and humans. Reliance on nature to heal nature is a practise for many people around the world. Use of natural products was overtaken by synthetic chemicals due to their efficacy, reliability and quick knock down effect. However, synthetic pesticides have become a health hazards for humans and environment due to their toxicity and pollution. Biopesticides are potential alternatives to synthetic pesticides. Sources of biopesticides are readily available, easily biodegradable, exhibit various modes of action, are less expensive and have low toxicity to humans and non-target organisms. Neem, pyrethrum, cotton and tobacco are known sources of botanical pesticides and have already been commercialized. Other sources of botanical pesticides include garlic, euphorbia, citrus, pepper among others. Species of Trichoderma, Bacillus, Pseudomonas, Beauveria have been commercialized as microbial pesticides. Biopesticides are however faced with challenges of formulation, registration, commercialization, acceptance and adoption. This paper describes several aspects of biopesticide development, including but not limited to, their sources, production, formulation, commercialization, efficacy and role in sustainable agriculture.","author":[{"dropping-particle":"","family":"Lengai","given":"Geraldin M. W.","non-dropping-particle":"","parse-names":false,"suffix":""},{"dropping-particle":"","family":"Muthomi","given":"James W.","non-dropping-particle":"","parse-names":false,"suffix":""}],"container-title":"Journal of Biosciences and Medicines","id":"ITEM-1","issue":"06","issued":{"date-parts":[["2018"]]},"page":"7-41","title":"Biopesticides and Their Role in Sustainable Agricultural Production","type":"article-journal","volume":"06"},"uris":["http://www.mendeley.com/documents/?uuid=1c0640ee-e403-408e-a938-aadb5bd2b3c3"]}],"mendeley":{"formattedCitation":"(Lengai &amp; Muthomi, 2018)","plainTextFormattedCitation":"(Lengai &amp; Muthomi, 2018)","previouslyFormattedCitation":"(Lengai and Muthomi 2018)"},"properties":{"noteIndex":0},"schema":"https://github.com/citation-style-language/schema/raw/master/csl-citation.json"}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(Lengai &amp; Muthomi, 2018)</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w:t>
      </w:r>
      <w:r w:rsidR="000A41A7" w:rsidRPr="00C5457C">
        <w:rPr>
          <w:rFonts w:ascii="Times New Roman" w:hAnsi="Times New Roman" w:cs="Times New Roman"/>
          <w:sz w:val="24"/>
          <w:szCs w:val="24"/>
        </w:rPr>
        <w:t xml:space="preserve"> </w:t>
      </w:r>
      <w:r w:rsidR="00632D00" w:rsidRPr="00C5457C">
        <w:rPr>
          <w:rFonts w:ascii="Times New Roman" w:hAnsi="Times New Roman" w:cs="Times New Roman"/>
          <w:sz w:val="24"/>
          <w:szCs w:val="24"/>
        </w:rPr>
        <w:t xml:space="preserve">Une </w:t>
      </w:r>
      <w:r w:rsidR="00501AF6" w:rsidRPr="00C5457C">
        <w:rPr>
          <w:rFonts w:ascii="Times New Roman" w:hAnsi="Times New Roman" w:cs="Times New Roman"/>
          <w:sz w:val="24"/>
          <w:szCs w:val="24"/>
        </w:rPr>
        <w:t>étude</w:t>
      </w:r>
      <w:r w:rsidR="00632D00" w:rsidRPr="00C5457C">
        <w:rPr>
          <w:rFonts w:ascii="Times New Roman" w:hAnsi="Times New Roman" w:cs="Times New Roman"/>
          <w:sz w:val="24"/>
          <w:szCs w:val="24"/>
        </w:rPr>
        <w:t xml:space="preserve"> a </w:t>
      </w:r>
      <w:r w:rsidR="00501AF6" w:rsidRPr="00C5457C">
        <w:rPr>
          <w:rFonts w:ascii="Times New Roman" w:hAnsi="Times New Roman" w:cs="Times New Roman"/>
          <w:sz w:val="24"/>
          <w:szCs w:val="24"/>
        </w:rPr>
        <w:t>démontré</w:t>
      </w:r>
      <w:r w:rsidR="00632D00" w:rsidRPr="00C5457C">
        <w:rPr>
          <w:rFonts w:ascii="Times New Roman" w:hAnsi="Times New Roman" w:cs="Times New Roman"/>
          <w:sz w:val="24"/>
          <w:szCs w:val="24"/>
        </w:rPr>
        <w:t xml:space="preserve"> que l’utilisation topique d’</w:t>
      </w:r>
      <w:r w:rsidR="00632D00" w:rsidRPr="00C5457C">
        <w:rPr>
          <w:rFonts w:ascii="Times New Roman" w:hAnsi="Times New Roman" w:cs="Times New Roman"/>
          <w:i/>
          <w:iCs/>
          <w:sz w:val="24"/>
          <w:szCs w:val="24"/>
        </w:rPr>
        <w:t>Azadirachta</w:t>
      </w:r>
      <w:r w:rsidR="00632D00" w:rsidRPr="00C5457C">
        <w:rPr>
          <w:rFonts w:ascii="Times New Roman" w:hAnsi="Times New Roman" w:cs="Times New Roman"/>
          <w:sz w:val="24"/>
          <w:szCs w:val="24"/>
        </w:rPr>
        <w:t xml:space="preserve"> </w:t>
      </w:r>
      <w:proofErr w:type="spellStart"/>
      <w:r w:rsidR="00632D00" w:rsidRPr="00C5457C">
        <w:rPr>
          <w:rFonts w:ascii="Times New Roman" w:hAnsi="Times New Roman" w:cs="Times New Roman"/>
          <w:i/>
          <w:iCs/>
          <w:sz w:val="24"/>
          <w:szCs w:val="24"/>
        </w:rPr>
        <w:t>indica</w:t>
      </w:r>
      <w:proofErr w:type="spellEnd"/>
      <w:r w:rsidR="00632D00" w:rsidRPr="00C5457C">
        <w:rPr>
          <w:rFonts w:ascii="Times New Roman" w:hAnsi="Times New Roman" w:cs="Times New Roman"/>
          <w:i/>
          <w:iCs/>
          <w:sz w:val="24"/>
          <w:szCs w:val="24"/>
        </w:rPr>
        <w:t xml:space="preserve">, </w:t>
      </w:r>
      <w:proofErr w:type="spellStart"/>
      <w:r w:rsidR="00632D00" w:rsidRPr="00C5457C">
        <w:rPr>
          <w:rFonts w:ascii="Times New Roman" w:hAnsi="Times New Roman" w:cs="Times New Roman"/>
          <w:i/>
          <w:iCs/>
          <w:sz w:val="24"/>
          <w:szCs w:val="24"/>
        </w:rPr>
        <w:t>Mangifera</w:t>
      </w:r>
      <w:proofErr w:type="spellEnd"/>
      <w:r w:rsidR="00632D00" w:rsidRPr="00C5457C">
        <w:rPr>
          <w:rFonts w:ascii="Times New Roman" w:hAnsi="Times New Roman" w:cs="Times New Roman"/>
          <w:i/>
          <w:iCs/>
          <w:sz w:val="24"/>
          <w:szCs w:val="24"/>
        </w:rPr>
        <w:t xml:space="preserve"> </w:t>
      </w:r>
      <w:proofErr w:type="spellStart"/>
      <w:r w:rsidR="00632D00" w:rsidRPr="00C5457C">
        <w:rPr>
          <w:rFonts w:ascii="Times New Roman" w:hAnsi="Times New Roman" w:cs="Times New Roman"/>
          <w:i/>
          <w:iCs/>
          <w:sz w:val="24"/>
          <w:szCs w:val="24"/>
        </w:rPr>
        <w:t>indica</w:t>
      </w:r>
      <w:proofErr w:type="spellEnd"/>
      <w:r w:rsidR="00632D00" w:rsidRPr="00C5457C">
        <w:rPr>
          <w:rFonts w:ascii="Times New Roman" w:hAnsi="Times New Roman" w:cs="Times New Roman"/>
          <w:i/>
          <w:iCs/>
          <w:sz w:val="24"/>
          <w:szCs w:val="24"/>
        </w:rPr>
        <w:t xml:space="preserve">, </w:t>
      </w:r>
      <w:proofErr w:type="spellStart"/>
      <w:r w:rsidR="00632D00" w:rsidRPr="00C5457C">
        <w:rPr>
          <w:rFonts w:ascii="Times New Roman" w:hAnsi="Times New Roman" w:cs="Times New Roman"/>
          <w:i/>
          <w:iCs/>
          <w:sz w:val="24"/>
          <w:szCs w:val="24"/>
        </w:rPr>
        <w:t>Polyalthia</w:t>
      </w:r>
      <w:proofErr w:type="spellEnd"/>
      <w:r w:rsidR="00632D00" w:rsidRPr="00C5457C">
        <w:rPr>
          <w:rFonts w:ascii="Times New Roman" w:hAnsi="Times New Roman" w:cs="Times New Roman"/>
          <w:i/>
          <w:iCs/>
          <w:sz w:val="24"/>
          <w:szCs w:val="24"/>
        </w:rPr>
        <w:t xml:space="preserve"> </w:t>
      </w:r>
      <w:proofErr w:type="spellStart"/>
      <w:r w:rsidR="00632D00" w:rsidRPr="00C5457C">
        <w:rPr>
          <w:rFonts w:ascii="Times New Roman" w:hAnsi="Times New Roman" w:cs="Times New Roman"/>
          <w:i/>
          <w:iCs/>
          <w:sz w:val="24"/>
          <w:szCs w:val="24"/>
        </w:rPr>
        <w:t>longifolia</w:t>
      </w:r>
      <w:proofErr w:type="spellEnd"/>
      <w:r w:rsidR="00632D00" w:rsidRPr="00C5457C">
        <w:rPr>
          <w:rFonts w:ascii="Times New Roman" w:hAnsi="Times New Roman" w:cs="Times New Roman"/>
          <w:i/>
          <w:iCs/>
          <w:sz w:val="24"/>
          <w:szCs w:val="24"/>
        </w:rPr>
        <w:t xml:space="preserve">, </w:t>
      </w:r>
      <w:proofErr w:type="spellStart"/>
      <w:r w:rsidR="00632D00" w:rsidRPr="00C5457C">
        <w:rPr>
          <w:rFonts w:ascii="Times New Roman" w:hAnsi="Times New Roman" w:cs="Times New Roman"/>
          <w:i/>
          <w:iCs/>
          <w:sz w:val="24"/>
          <w:szCs w:val="24"/>
        </w:rPr>
        <w:t>Annona</w:t>
      </w:r>
      <w:proofErr w:type="spellEnd"/>
      <w:r w:rsidR="00632D00" w:rsidRPr="00C5457C">
        <w:rPr>
          <w:rFonts w:ascii="Times New Roman" w:hAnsi="Times New Roman" w:cs="Times New Roman"/>
          <w:i/>
          <w:iCs/>
          <w:sz w:val="24"/>
          <w:szCs w:val="24"/>
        </w:rPr>
        <w:t xml:space="preserve"> </w:t>
      </w:r>
      <w:proofErr w:type="spellStart"/>
      <w:r w:rsidR="00632D00" w:rsidRPr="00C5457C">
        <w:rPr>
          <w:rFonts w:ascii="Times New Roman" w:hAnsi="Times New Roman" w:cs="Times New Roman"/>
          <w:i/>
          <w:iCs/>
          <w:sz w:val="24"/>
          <w:szCs w:val="24"/>
        </w:rPr>
        <w:t>squamosa</w:t>
      </w:r>
      <w:proofErr w:type="spellEnd"/>
      <w:r w:rsidR="00632D00" w:rsidRPr="00C5457C">
        <w:rPr>
          <w:rFonts w:ascii="Times New Roman" w:hAnsi="Times New Roman" w:cs="Times New Roman"/>
          <w:i/>
          <w:iCs/>
          <w:sz w:val="24"/>
          <w:szCs w:val="24"/>
        </w:rPr>
        <w:t xml:space="preserve"> et Ficus </w:t>
      </w:r>
      <w:proofErr w:type="spellStart"/>
      <w:r w:rsidR="00632D00" w:rsidRPr="00C5457C">
        <w:rPr>
          <w:rFonts w:ascii="Times New Roman" w:hAnsi="Times New Roman" w:cs="Times New Roman"/>
          <w:i/>
          <w:iCs/>
          <w:sz w:val="24"/>
          <w:szCs w:val="24"/>
        </w:rPr>
        <w:t>benghalensis</w:t>
      </w:r>
      <w:proofErr w:type="spellEnd"/>
      <w:r w:rsidR="00632D00" w:rsidRPr="00C5457C">
        <w:rPr>
          <w:rFonts w:ascii="Times New Roman" w:hAnsi="Times New Roman" w:cs="Times New Roman"/>
          <w:sz w:val="24"/>
          <w:szCs w:val="24"/>
        </w:rPr>
        <w:t xml:space="preserve"> a entraîné une mortalité de 100% des punaises de lit (</w:t>
      </w:r>
      <w:r w:rsidR="00632D00" w:rsidRPr="00C5457C">
        <w:rPr>
          <w:rFonts w:ascii="Times New Roman" w:hAnsi="Times New Roman" w:cs="Times New Roman"/>
          <w:i/>
          <w:iCs/>
          <w:sz w:val="24"/>
          <w:szCs w:val="24"/>
        </w:rPr>
        <w:t xml:space="preserve">Cimex </w:t>
      </w:r>
      <w:proofErr w:type="spellStart"/>
      <w:r w:rsidR="00632D00" w:rsidRPr="00C5457C">
        <w:rPr>
          <w:rFonts w:ascii="Times New Roman" w:hAnsi="Times New Roman" w:cs="Times New Roman"/>
          <w:i/>
          <w:iCs/>
          <w:sz w:val="24"/>
          <w:szCs w:val="24"/>
        </w:rPr>
        <w:t>lectularius</w:t>
      </w:r>
      <w:proofErr w:type="spellEnd"/>
      <w:r w:rsidR="00632D00" w:rsidRPr="00C5457C">
        <w:rPr>
          <w:rFonts w:ascii="Times New Roman" w:hAnsi="Times New Roman" w:cs="Times New Roman"/>
          <w:sz w:val="24"/>
          <w:szCs w:val="24"/>
        </w:rPr>
        <w:t>) après 19 secondes de contact</w:t>
      </w:r>
      <w:r w:rsidR="00761C51" w:rsidRPr="00C5457C">
        <w:rPr>
          <w:rFonts w:ascii="Times New Roman" w:hAnsi="Times New Roman" w:cs="Times New Roman"/>
          <w:sz w:val="24"/>
          <w:szCs w:val="24"/>
        </w:rPr>
        <w:t xml:space="preserve"> </w:t>
      </w:r>
      <w:r w:rsidR="00501AF6"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{"citationItems":[{"id":"ITEM-1","itemData":{"abstract":"ABSTRACT Bed bug bites can cause itching and may also result in swelling or blister-like skin inflammations. The greatest risk posed by bed bugs is the irritation of bites or the psychological concerns resulting in lack of sleep and stress. Therefore, in the present study aqueous extracts of different plants were used for management of bed bug Cimex lectularius. Five different plants i.e. Azadiracta indica, Mangifera indica, Polyalthia longifolia, Annona squamosa, Ficus benghalensis were studied against the bed bug and observe the mortality. In present study, combination of five plants leaves extract shows 100% mortality within 19 seconds as compared to single plant leaf extract. The effect of each plant leaf extract requires maximum time for 100% mortality in seconds i.e. 180 sec., 320 sec., 150 sec., 240 sec., 140 sec. in A. indica, M. indica, P. longifolia, A. squamosa, F. bengalensis respectively.","author":[{"dropping-particle":"","family":"Parte","given":"S. G.","non-dropping-particle":"","parse-names":false,"suffix":""},{"dropping-particle":"","family":"Kharat","given":"A. S.","non-dropping-particle":"","parse-names":false,"suffix":""},{"dropping-particle":"","family":"Mohekar","given":"A. D.","non-dropping-particle":"","parse-names":false,"suffix":""},{"dropping-particle":"","family":"Chavan","given":"J. A.","non-dropping-particle":"","parse-names":false,"suffix":""},{"dropping-particle":"","family":"Jagtap","given":"A. A.","non-dropping-particle":"","parse-names":false,"suffix":""},{"dropping-particle":"","family":"Mohite","given":"A. K.","non-dropping-particle":"","parse-names":false,"suffix":""},{"dropping-particle":"","family":"Patil","given":"R. N.","non-dropping-particle":"","parse-names":false,"suffix":""}],"container-title":"International Journal of Pure and Applied Bioscience","id":"ITEM-1","issue":"2","issued":{"date-parts":[["2015"]]},"page":"506-508","title":"Efficacy of Plant Extracts For Management of Cimex lectularius (Bed Bugs)","type":"article-journal","volume":"3"},"uris":["http://www.mendeley.com/documents/?uuid=4fbb427a-5c3c-4686-97da-5d23b471ad12"]}],"mendeley":{"formattedCitation":"(Parte et al., 2015)","plainTextFormattedCitation":"(Parte et al., 2015)","previouslyFormattedCitation":"(Parte et al. 2015)"},"properties":{"noteIndex":0},"schema":"https://github.com/citation-style-language/schema/raw/master/csl-citation.json"}</w:instrText>
      </w:r>
      <w:r w:rsidR="00501AF6"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(Parte et al., 2015)</w:t>
      </w:r>
      <w:r w:rsidR="00501AF6" w:rsidRPr="00C5457C">
        <w:rPr>
          <w:rFonts w:ascii="Times New Roman" w:hAnsi="Times New Roman" w:cs="Times New Roman"/>
          <w:sz w:val="24"/>
          <w:szCs w:val="24"/>
        </w:rPr>
        <w:fldChar w:fldCharType="end"/>
      </w:r>
      <w:r w:rsidR="00632D00" w:rsidRPr="00C5457C">
        <w:rPr>
          <w:rFonts w:ascii="Times New Roman" w:hAnsi="Times New Roman" w:cs="Times New Roman"/>
          <w:sz w:val="24"/>
          <w:szCs w:val="24"/>
        </w:rPr>
        <w:t xml:space="preserve">. </w:t>
      </w:r>
      <w:r w:rsidR="000A41A7" w:rsidRPr="00C5457C">
        <w:rPr>
          <w:rFonts w:ascii="Times New Roman" w:hAnsi="Times New Roman" w:cs="Times New Roman"/>
          <w:sz w:val="24"/>
          <w:szCs w:val="24"/>
        </w:rPr>
        <w:t xml:space="preserve">D’après </w:t>
      </w:r>
      <w:r w:rsidR="000A41A7"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{"citationItems":[{"id":"ITEM-1","itemData":{"DOI":"10.35759/JAnmPlSci.v58-3.2","abstract":", Published online on 31/12/2023 in the Journal of Animal and Plant Sciences (J. Anim. Plant Sci.) ISSN 2071-7024 1 RESUME La production agricole dans la région de Diffa revêt une grande importance pour les exploitants, même si elle se heurte à un certain nombre de difficultés. Cette étude a été réalisée dans cinq communes de la région en vue d'analyser les principales contraintes de production agricoles afin de contribuer au redressement économique de la population de la zone et au renforcement de la résilience au changement climatique. Pour ce faire, des entretiens avec des personnes clés, focus groupe et enquête fine auprès d'un échantillon de 240 exploitations agricoles ont été effectués. Il a été répertorié trois types d'exploitations agricoles qui coexistent dans la zone d'étude. Il s'agit des exploitations pluviales dunaires qui concerne 90% des enquêtés et les cuvettes et bas-fonds où se pratique le maraichage par 85% des répondants. Sur les cultures pluviales trois contraintes ont été énumérées par les producteurs : les proportions des réponses sont 99% pour les insectes ravageurs 76,3 % pour la sècheresse et 55,7 % pour la pauvreté des sols. En culture maraichères, la pression des insectes ravageurs a été évoqué par 73, 9 % des répondants, l'insuffisance d'eau d'irrigation par 53,8 %) et le manque d'encadrement par 25,2% des producteurs. Quelques pratiques agricoles innovantes ont été introduites dans la zone. Il s'agit de la pratique de compostage, de zaï, des demi-lunes, des haies vives ou mortes et l'utilisation de biopesticide à base de feuilles de neem, de tabac et de piment. Cependant ces techniques n'ont pas été maitrisées par les producteurs. Il est rapporté des difficultés dans les dosages et l'utilisation des pesticides chimiques sans protection. Il a été révélé également l'utilisation excessive d'engrais chimiques surtout l'urée ce qui pourrait engendrer la contamination de la nappe phréatique peu profonde (5 à 12 mètres) au niveau des cuvettes. Pour le niveau de performance des exploitations, il a été noté un rendement moyen variant de 396Kg/ha pour le mil, 694Kg/ha pour le sorgho et 80 à 150 Kg/ha pour le niébé, le sésame et l'arachide. Toutefois il est possible d'améliorer les moyens d'existence de ces populations avec la promotion des technologies agro écologiques.","author":[{"dropping-particle":"","family":"Rabe","given":"Mahamane Moctar","non-dropping-particle":"","parse-names":false,"suffix":""},{"dropping-particle":"","family":"Bakoye","given":"Ousmane Nouhou","non-dropping-particle":"","parse-names":false,"suffix":""},{"dropping-particle":"","family":"Amadou","given":"Laouali","non-dropping-particle":"","parse-names":false,"suffix":""},{"dropping-particle":"","family":"Baoua","given":"Ibrahim","non-dropping-particle":"","parse-names":false,"suffix":""},{"dropping-particle":"","family":"Saidou","given":"Nassirou","non-dropping-particle":"","parse-names":false,"suffix":""},{"dropping-particle":"","family":"Koundy","given":"Issakou","non-dropping-particle":"","parse-names":false,"suffix":""}],"container-title":"Journal of Animal &amp; Plant Sciences (J.Anim.Plant Sci","id":"ITEM-1","issue":"3","issued":{"date-parts":[["2023"]]},"page":"10744-10758","title":"Étude des contraintes de production agricoles dans les champs dunaires, cuvette et bas fond de la région de Diffa au Sud-Est du Niger","type":"article-journal","volume":"58"},"uris":["http://www.mendeley.com/documents/?uuid=4a6f6837-8871-48b7-a4a8-c2fc54e2ab13"]}],"mendeley":{"formattedCitation":"(Rabe et al., 2023)","manualFormatting":"Rabe et al., (2023)","plainTextFormattedCitation":"(Rabe et al., 2023)","previouslyFormattedCitation":"(Rabe et al. 2023)"},"properties":{"noteIndex":0},"schema":"https://github.com/citation-style-language/schema/raw/master/csl-citation.json"}</w:instrText>
      </w:r>
      <w:r w:rsidR="000A41A7" w:rsidRPr="00C5457C">
        <w:rPr>
          <w:rFonts w:ascii="Times New Roman" w:hAnsi="Times New Roman" w:cs="Times New Roman"/>
          <w:sz w:val="24"/>
          <w:szCs w:val="24"/>
        </w:rPr>
        <w:fldChar w:fldCharType="separate"/>
      </w:r>
      <w:r w:rsidR="000A41A7" w:rsidRPr="00C5457C">
        <w:rPr>
          <w:rFonts w:ascii="Times New Roman" w:hAnsi="Times New Roman" w:cs="Times New Roman"/>
          <w:noProof/>
          <w:sz w:val="24"/>
          <w:szCs w:val="24"/>
        </w:rPr>
        <w:t>Rabe et al., (2023)</w:t>
      </w:r>
      <w:r w:rsidR="000A41A7" w:rsidRPr="00C5457C">
        <w:rPr>
          <w:rFonts w:ascii="Times New Roman" w:hAnsi="Times New Roman" w:cs="Times New Roman"/>
          <w:sz w:val="24"/>
          <w:szCs w:val="24"/>
        </w:rPr>
        <w:fldChar w:fldCharType="end"/>
      </w:r>
      <w:r w:rsidR="000A41A7" w:rsidRPr="00C5457C">
        <w:rPr>
          <w:rFonts w:ascii="Times New Roman" w:hAnsi="Times New Roman" w:cs="Times New Roman"/>
          <w:sz w:val="24"/>
          <w:szCs w:val="24"/>
        </w:rPr>
        <w:t>, Les insecticides à base de dérivés du Neem (</w:t>
      </w:r>
      <w:r w:rsidR="000A41A7" w:rsidRPr="00C5457C">
        <w:rPr>
          <w:rFonts w:ascii="Times New Roman" w:hAnsi="Times New Roman" w:cs="Times New Roman"/>
          <w:i/>
          <w:iCs/>
          <w:sz w:val="24"/>
          <w:szCs w:val="24"/>
        </w:rPr>
        <w:t xml:space="preserve">Azadirachta </w:t>
      </w:r>
      <w:proofErr w:type="spellStart"/>
      <w:r w:rsidR="000A41A7" w:rsidRPr="00C5457C">
        <w:rPr>
          <w:rFonts w:ascii="Times New Roman" w:hAnsi="Times New Roman" w:cs="Times New Roman"/>
          <w:i/>
          <w:iCs/>
          <w:sz w:val="24"/>
          <w:szCs w:val="24"/>
        </w:rPr>
        <w:t>indica</w:t>
      </w:r>
      <w:proofErr w:type="spellEnd"/>
      <w:r w:rsidR="000A41A7" w:rsidRPr="00C5457C">
        <w:rPr>
          <w:rFonts w:ascii="Times New Roman" w:hAnsi="Times New Roman" w:cs="Times New Roman"/>
          <w:sz w:val="24"/>
          <w:szCs w:val="24"/>
        </w:rPr>
        <w:t>) sont une solution prometteuse et durable pour combattre les ravageurs du niébé en Afrique sahélienne. Les résultats du traitement avec les extraits de graines de Neem ont été comparés à ceux du Diméthoate 50 EC (1L ha-1), avec des rendements respectifs de 1223 ± 528 kg</w:t>
      </w:r>
      <w:r w:rsidR="00B92D26" w:rsidRPr="00C5457C">
        <w:rPr>
          <w:rFonts w:ascii="Times New Roman" w:hAnsi="Times New Roman" w:cs="Times New Roman"/>
          <w:sz w:val="24"/>
          <w:szCs w:val="24"/>
        </w:rPr>
        <w:t xml:space="preserve"> </w:t>
      </w:r>
      <w:r w:rsidR="000A41A7" w:rsidRPr="00C5457C">
        <w:rPr>
          <w:rFonts w:ascii="Times New Roman" w:hAnsi="Times New Roman" w:cs="Times New Roman"/>
          <w:sz w:val="24"/>
          <w:szCs w:val="24"/>
        </w:rPr>
        <w:t>ha</w:t>
      </w:r>
      <w:r w:rsidR="00B92D26" w:rsidRPr="00C5457C">
        <w:rPr>
          <w:rFonts w:ascii="Times New Roman" w:hAnsi="Times New Roman" w:cs="Times New Roman"/>
          <w:sz w:val="24"/>
          <w:szCs w:val="24"/>
          <w:vertAlign w:val="superscript"/>
        </w:rPr>
        <w:t>-1</w:t>
      </w:r>
      <w:r w:rsidR="000A41A7" w:rsidRPr="00C5457C">
        <w:rPr>
          <w:rFonts w:ascii="Times New Roman" w:hAnsi="Times New Roman" w:cs="Times New Roman"/>
          <w:sz w:val="24"/>
          <w:szCs w:val="24"/>
        </w:rPr>
        <w:t xml:space="preserve"> et </w:t>
      </w:r>
      <w:r w:rsidR="000A41A7" w:rsidRPr="00C5457C">
        <w:rPr>
          <w:rFonts w:ascii="Times New Roman" w:hAnsi="Times New Roman" w:cs="Times New Roman"/>
          <w:sz w:val="24"/>
          <w:szCs w:val="24"/>
        </w:rPr>
        <w:lastRenderedPageBreak/>
        <w:t>1259 ± 489 kg</w:t>
      </w:r>
      <w:r w:rsidR="00B92D26" w:rsidRPr="00C5457C">
        <w:rPr>
          <w:rFonts w:ascii="Times New Roman" w:hAnsi="Times New Roman" w:cs="Times New Roman"/>
          <w:sz w:val="24"/>
          <w:szCs w:val="24"/>
        </w:rPr>
        <w:t xml:space="preserve"> </w:t>
      </w:r>
      <w:r w:rsidR="000A41A7" w:rsidRPr="00C5457C">
        <w:rPr>
          <w:rFonts w:ascii="Times New Roman" w:hAnsi="Times New Roman" w:cs="Times New Roman"/>
          <w:sz w:val="24"/>
          <w:szCs w:val="24"/>
        </w:rPr>
        <w:t>ha</w:t>
      </w:r>
      <w:r w:rsidR="00B92D26" w:rsidRPr="00C5457C">
        <w:rPr>
          <w:rFonts w:ascii="Times New Roman" w:hAnsi="Times New Roman" w:cs="Times New Roman"/>
          <w:sz w:val="24"/>
          <w:szCs w:val="24"/>
          <w:vertAlign w:val="superscript"/>
        </w:rPr>
        <w:t>-1</w:t>
      </w:r>
      <w:r w:rsidR="000A41A7" w:rsidRPr="00C5457C">
        <w:rPr>
          <w:rFonts w:ascii="Times New Roman" w:hAnsi="Times New Roman" w:cs="Times New Roman"/>
          <w:sz w:val="24"/>
          <w:szCs w:val="24"/>
        </w:rPr>
        <w:t xml:space="preserve"> </w:t>
      </w:r>
      <w:r w:rsidR="000A41A7"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{"citationItems":[{"id":"ITEM-1","itemData":{"DOI":"10.4314/ijbcs.v11i2.17","ISSN":"1991-8631","abstract":"Le niébé est une denrée de base en Afrique subsaharienne. Le projet champ école paysan en a introduit des nouvelles technologies améliorées afin d’accroître son rendement dans les régions de Maradi et Zinder. Cette étude qui a concerné un échantillon de 300 producteurs a pour dessein d’identifier les contraintes entomologiques de la culture du niébé et de déterminer les facteurs affectant l’adoption des technologies agricoles. Le modèle de régression LOGIT a été utilisé comme outils d’analyse et les principaux résultats suivants ont été obtenus : 1) la punaise brune (Clavigralla tomensicollis Stall) et le puceron (Aphis craccivora Koch) sont les principaux insectes ravageurs de la culture pour 53 à 61% des répondants ; 2) les taux moyens d’adoption par technologie sont de 74,9% pour les variétés améliorées, 57,2% pour les pesticides chimiques, 20% pour la combinaison fumure organique/NPK ; 21.7% pour l’engrais NPK seul, 7,4% pour les biopesticides à base de graines de Neem et 5,7% pour le respect de la densité de semis. Ces ratios sont 2 à 16 fois plus élevés chez les producteurs formés par rapport aux non formés ; 3) les variables « formations par les champs écoles paysans » et « l’accès au crédit » ont influencé positivement l’adoption des variétés améliorées, des biopesticides et des fertilisants ; 4) le genre a été positivement déterminant dans le respect de la densité de semis et l’utilisation des fertilisants ; 5) l’âge des répondants a eu une influence significative dans le respect des écartements entre les poquets. Ces données qui ont permis d’apprécier les niveaux d’utilisation des technologies de développement de la culture du niébé pourraient aussi contribuer à améliorer les programmes de vulgarisation des technologies agricoles en zone rurale.Mots clés : adoption, technologies améliorées, niébé, champ écoles paysans, Maradi, Zinder.","author":[{"dropping-particle":"","family":"Rabe","given":"Mahamane Moctar","non-dropping-particle":"","parse-names":false,"suffix":""},{"dropping-particle":"","family":"Baoua","given":"Ibrahim","non-dropping-particle":"","parse-names":false,"suffix":""},{"dropping-particle":"","family":"Adeoti","given":"Razack","non-dropping-particle":"","parse-names":false,"suffix":""},{"dropping-particle":"","family":"Sitou","given":"Lawali","non-dropping-particle":"","parse-names":false,"suffix":""},{"dropping-particle":"","family":"Amadou","given":"Laouali","non-dropping-particle":"","parse-names":false,"suffix":""},{"dropping-particle":"","family":"Pittendrigh","given":"Barry","non-dropping-particle":"","parse-names":false,"suffix":""},{"dropping-particle":"","family":"Mahamane","given":"Saadou","non-dropping-particle":"","parse-names":false,"suffix":""}],"container-title":"International Journal of Biological and Chemical Sciences","id":"ITEM-1","issue":"2","issued":{"date-parts":[["2017"]]},"page":"744","title":"Les déterminants socioéconomiques de l’adoption des technologies améliorées de production du niébé diffusées par les champs écoles paysans dans les régions de Maradi et Zinder au Niger","type":"article-journal","volume":"11"},"uris":["http://www.mendeley.com/documents/?uuid=a58a1efa-6270-460b-bbae-7bd2d985811b"]}],"mendeley":{"formattedCitation":"(Rabe et al., 2017)","plainTextFormattedCitation":"(Rabe et al., 2017)","previouslyFormattedCitation":"(Rabe et al. 2017)"},"properties":{"noteIndex":0},"schema":"https://github.com/citation-style-language/schema/raw/master/csl-citation.json"}</w:instrText>
      </w:r>
      <w:r w:rsidR="000A41A7"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(Rabe et al., 2017)</w:t>
      </w:r>
      <w:r w:rsidR="000A41A7" w:rsidRPr="00C5457C">
        <w:rPr>
          <w:rFonts w:ascii="Times New Roman" w:hAnsi="Times New Roman" w:cs="Times New Roman"/>
          <w:sz w:val="24"/>
          <w:szCs w:val="24"/>
        </w:rPr>
        <w:fldChar w:fldCharType="end"/>
      </w:r>
      <w:r w:rsidR="000A41A7" w:rsidRPr="00C5457C">
        <w:rPr>
          <w:rFonts w:ascii="Times New Roman" w:hAnsi="Times New Roman" w:cs="Times New Roman"/>
          <w:sz w:val="24"/>
          <w:szCs w:val="24"/>
        </w:rPr>
        <w:t>.</w:t>
      </w:r>
      <w:r w:rsidR="00632D00" w:rsidRPr="00C5457C">
        <w:rPr>
          <w:rFonts w:ascii="Times New Roman" w:hAnsi="Times New Roman" w:cs="Times New Roman"/>
          <w:sz w:val="24"/>
          <w:szCs w:val="24"/>
        </w:rPr>
        <w:t xml:space="preserve"> </w:t>
      </w:r>
      <w:r w:rsidR="000A41A7" w:rsidRPr="00C5457C">
        <w:rPr>
          <w:rFonts w:ascii="Times New Roman" w:hAnsi="Times New Roman" w:cs="Times New Roman"/>
          <w:sz w:val="24"/>
          <w:szCs w:val="24"/>
        </w:rPr>
        <w:t xml:space="preserve"> </w:t>
      </w:r>
      <w:r w:rsidR="0098498C" w:rsidRPr="00C5457C">
        <w:rPr>
          <w:rFonts w:ascii="Times New Roman" w:hAnsi="Times New Roman" w:cs="Times New Roman"/>
          <w:sz w:val="24"/>
          <w:szCs w:val="24"/>
        </w:rPr>
        <w:t xml:space="preserve">Les pesticides naturels ne provoquent pas de résistances chez les ravageurs. Ils sont aussi ciblés et ne touchent donc pas les organismes utiles comme les ennemis naturels. La disponibilité de leurs matières premières les rend économiques car ils sont présents dans l'environnement naturel et que certains d'entre eux sont utilisés à d'autres fins, telles que l'alimentation humaine et animale, et ne présentent aucune toxicité. Ainsi, les biopesticides peuvent être intégrés dans la lutte intégrée contre les ravageurs (IPM) </w:t>
      </w:r>
      <w:r w:rsidR="0098498C"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{"citationItems":[{"id":"ITEM-1","itemData":{"DOI":"10.4236/jbm.2018.66002","ISSN":"2327-5081","abstract":"Biopesticides are derivatives of plants, microorganisms and insects. Substances from plants and animals have been used to manage diseases in crops, animals and humans. Reliance on nature to heal nature is a practise for many people around the world. Use of natural products was overtaken by synthetic chemicals due to their efficacy, reliability and quick knock down effect. However, synthetic pesticides have become a health hazards for humans and environment due to their toxicity and pollution. Biopesticides are potential alternatives to synthetic pesticides. Sources of biopesticides are readily available, easily biodegradable, exhibit various modes of action, are less expensive and have low toxicity to humans and non-target organisms. Neem, pyrethrum, cotton and tobacco are known sources of botanical pesticides and have already been commercialized. Other sources of botanical pesticides include garlic, euphorbia, citrus, pepper among others. Species of Trichoderma, Bacillus, Pseudomonas, Beauveria have been commercialized as microbial pesticides. Biopesticides are however faced with challenges of formulation, registration, commercialization, acceptance and adoption. This paper describes several aspects of biopesticide development, including but not limited to, their sources, production, formulation, commercialization, efficacy and role in sustainable agriculture.","author":[{"dropping-particle":"","family":"Lengai","given":"Geraldin M. W.","non-dropping-particle":"","parse-names":false,"suffix":""},{"dropping-particle":"","family":"Muthomi","given":"James W.","non-dropping-particle":"","parse-names":false,"suffix":""}],"container-title":"Journal of Biosciences and Medicines","id":"ITEM-1","issue":"06","issued":{"date-parts":[["2018"]]},"page":"7-41","title":"Biopesticides and Their Role in Sustainable Agricultural Production","type":"article-journal","volume":"06"},"uris":["http://www.mendeley.com/documents/?uuid=1c0640ee-e403-408e-a938-aadb5bd2b3c3"]}],"mendeley":{"formattedCitation":"(Lengai &amp; Muthomi, 2018)","plainTextFormattedCitation":"(Lengai &amp; Muthomi, 2018)","previouslyFormattedCitation":"(Lengai and Muthomi 2018)"},"properties":{"noteIndex":0},"schema":"https://github.com/citation-style-language/schema/raw/master/csl-citation.json"}</w:instrText>
      </w:r>
      <w:r w:rsidR="0098498C"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(Lengai &amp; Muthomi, 2018)</w:t>
      </w:r>
      <w:r w:rsidR="0098498C" w:rsidRPr="00C5457C">
        <w:rPr>
          <w:rFonts w:ascii="Times New Roman" w:hAnsi="Times New Roman" w:cs="Times New Roman"/>
          <w:sz w:val="24"/>
          <w:szCs w:val="24"/>
        </w:rPr>
        <w:fldChar w:fldCharType="end"/>
      </w:r>
      <w:r w:rsidR="0098498C" w:rsidRPr="00C5457C">
        <w:rPr>
          <w:rFonts w:ascii="Times New Roman" w:hAnsi="Times New Roman" w:cs="Times New Roman"/>
          <w:sz w:val="24"/>
          <w:szCs w:val="24"/>
        </w:rPr>
        <w:t xml:space="preserve">. </w:t>
      </w:r>
    </w:p>
    <w:p w14:paraId="7D0FFA77" w14:textId="108E9CE3" w:rsidR="00A2109C" w:rsidRPr="00C5457C" w:rsidRDefault="00262903" w:rsidP="00C5457C">
      <w:pPr>
        <w:pStyle w:val="Titre4"/>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Les </w:t>
      </w:r>
      <w:r w:rsidR="00A2109C" w:rsidRPr="00C5457C">
        <w:rPr>
          <w:rFonts w:ascii="Times New Roman" w:hAnsi="Times New Roman" w:cs="Times New Roman"/>
          <w:sz w:val="24"/>
          <w:szCs w:val="24"/>
        </w:rPr>
        <w:t>Compost</w:t>
      </w:r>
      <w:r w:rsidRPr="00C5457C">
        <w:rPr>
          <w:rFonts w:ascii="Times New Roman" w:hAnsi="Times New Roman" w:cs="Times New Roman"/>
          <w:sz w:val="24"/>
          <w:szCs w:val="24"/>
        </w:rPr>
        <w:t>s</w:t>
      </w:r>
    </w:p>
    <w:p w14:paraId="4A21DAF6" w14:textId="3E597D8E" w:rsidR="00934C24" w:rsidRPr="00C5457C" w:rsidRDefault="00F76FEC"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Le compostage consiste à stabiliser la matière organique, éliminer les mauvaises herbes et les agents pathogènes, désodoriser, améliorer la manipulation du produit fini et permettre un stockage et un transport sécurisés </w:t>
      </w:r>
      <w:r w:rsidR="00BE0C8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{"citationItems":[{"id":"ITEM-1","itemData":{"DOI":"10.1016/j.wasman.2007.05.009","ISSN":"0956053X","PMID":"17624756","abstract":"An alternative approach for cattle manure management on intensive livestock farms is the composting process. An industrial-scale composting plant has been set up in northwest Spain for producing compost from cattle manure. Manure composting involved an increase in pH, electrical conductivity (EC), cation exchange capacity (CEC) and NO3- {single bond} N concentration, and a decrease in temperature, moisture content, organic matter (OM) content, NH4+ {single bond} N concentration and C/N ratio. Cu, Zn and Ni concentrations increased due to the reduction of pile mass during the composting process. The resulting compost was applied to a field to study the viability of applying this compost combined with a nitrogen mineral fertilizer as a replacement for the mineral fertilization conventionally used for maize (Zea mays L.). The thermophilic phase of the composting process was very prolonged in the time, which may have slowed down the decomposition of the organic matter and reduced the nitrification process, leading to an over-short maturation phase. The humification and respirometric indexes, however, determined immediately after compost application to the soil, showed it to be stable. Compost application did not decrease the grain yield. A year later, soil pH, OM content and CEC were higher with the compost treatment. Total P, K, Ca and Na concentrations in compost-amended plots were higher than in mineral-fertilized ones, and no significant differences between treatments were found in soil concentrations of NH4+ {single bond} N, NO3- {single bond} N, available P, Mg and B. Compost caused no heavy metal pollution into the soil. Therefore, this compost would be a good substitute for the mineral fertilizers generally used for basal dressing in maize growing. © 2007 Elsevier Ltd. All rights reserved.","author":[{"dropping-particle":"V.","family":"Gil","given":"M.","non-dropping-particle":"","parse-names":false,"suffix":""},{"dropping-particle":"","family":"Carballo","given":"M. T.","non-dropping-particle":"","parse-names":false,"suffix":""},{"dropping-particle":"","family":"Calvo","given":"L. F.","non-dropping-particle":"","parse-names":false,"suffix":""}],"container-title":"Waste Management","id":"ITEM-1","issue":"8","issued":{"date-parts":[["2008"]]},"page":"1432-1440","title":"Fertilization of maize with compost from cattle manure supplemented with additional mineral nutrients","type":"article-journal","volume":"28"},"uris":["http://www.mendeley.com/documents/?uuid=82718b9a-eb46-4df8-90c7-b7e694b46de1"]}],"mendeley":{"formattedCitation":"(Gil et al., 2008)","plainTextFormattedCitation":"(Gil et al., 2008)","previouslyFormattedCitation":"(Gil, Carballo, and Calvo 2008)"},"properties":{"noteIndex":0},"schema":"https://github.com/citation-style-language/schema/raw/master/csl-citation.json"}</w:instrText>
      </w:r>
      <w:r w:rsidR="00BE0C8F"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(Gil et al., 2008)</w:t>
      </w:r>
      <w:r w:rsidR="00BE0C8F" w:rsidRPr="00C5457C">
        <w:rPr>
          <w:rFonts w:ascii="Times New Roman" w:hAnsi="Times New Roman" w:cs="Times New Roman"/>
          <w:sz w:val="24"/>
          <w:szCs w:val="24"/>
        </w:rPr>
        <w:fldChar w:fldCharType="end"/>
      </w:r>
      <w:r w:rsidRPr="00C5457C">
        <w:rPr>
          <w:rFonts w:ascii="Times New Roman" w:hAnsi="Times New Roman" w:cs="Times New Roman"/>
          <w:sz w:val="24"/>
          <w:szCs w:val="24"/>
        </w:rPr>
        <w:t>.</w:t>
      </w:r>
      <w:r w:rsidR="00F00793" w:rsidRPr="00C5457C">
        <w:rPr>
          <w:rFonts w:ascii="Times New Roman" w:hAnsi="Times New Roman" w:cs="Times New Roman"/>
          <w:sz w:val="24"/>
          <w:szCs w:val="24"/>
        </w:rPr>
        <w:t xml:space="preserve"> Les effets </w:t>
      </w:r>
      <w:r w:rsidR="00A309EF" w:rsidRPr="00C5457C">
        <w:rPr>
          <w:rFonts w:ascii="Times New Roman" w:hAnsi="Times New Roman" w:cs="Times New Roman"/>
          <w:sz w:val="24"/>
          <w:szCs w:val="24"/>
        </w:rPr>
        <w:t>bénéfiques</w:t>
      </w:r>
      <w:r w:rsidR="00F00793" w:rsidRPr="00C5457C">
        <w:rPr>
          <w:rFonts w:ascii="Times New Roman" w:hAnsi="Times New Roman" w:cs="Times New Roman"/>
          <w:sz w:val="24"/>
          <w:szCs w:val="24"/>
        </w:rPr>
        <w:t xml:space="preserve"> du compost</w:t>
      </w:r>
      <w:r w:rsidR="00895E58" w:rsidRPr="00C5457C">
        <w:rPr>
          <w:rFonts w:ascii="Times New Roman" w:hAnsi="Times New Roman" w:cs="Times New Roman"/>
          <w:sz w:val="24"/>
          <w:szCs w:val="24"/>
        </w:rPr>
        <w:t xml:space="preserve"> de fumier/résidus de culture </w:t>
      </w:r>
      <w:r w:rsidR="00A309EF" w:rsidRPr="00C5457C">
        <w:rPr>
          <w:rFonts w:ascii="Times New Roman" w:hAnsi="Times New Roman" w:cs="Times New Roman"/>
          <w:sz w:val="24"/>
          <w:szCs w:val="24"/>
        </w:rPr>
        <w:t xml:space="preserve">sur les cultures et le sol a été prouvé </w:t>
      </w:r>
      <w:r w:rsidR="00A309E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{"citationItems":[{"id":"ITEM-1","itemData":{"DOI":"10.1016/j.wasman.2007.05.009","ISSN":"0956053X","PMID":"17624756","abstract":"An alternative approach for cattle manure management on intensive livestock farms is the composting process. An industrial-scale composting plant has been set up in northwest Spain for producing compost from cattle manure. Manure composting involved an increase in pH, electrical conductivity (EC), cation exchange capacity (CEC) and NO3- {single bond} N concentration, and a decrease in temperature, moisture content, organic matter (OM) content, NH4+ {single bond} N concentration and C/N ratio. Cu, Zn and Ni concentrations increased due to the reduction of pile mass during the composting process. The resulting compost was applied to a field to study the viability of applying this compost combined with a nitrogen mineral fertilizer as a replacement for the mineral fertilization conventionally used for maize (Zea mays L.). The thermophilic phase of the composting process was very prolonged in the time, which may have slowed down the decomposition of the organic matter and reduced the nitrification process, leading to an over-short maturation phase. The humification and respirometric indexes, however, determined immediately after compost application to the soil, showed it to be stable. Compost application did not decrease the grain yield. A year later, soil pH, OM content and CEC were higher with the compost treatment. Total P, K, Ca and Na concentrations in compost-amended plots were higher than in mineral-fertilized ones, and no significant differences between treatments were found in soil concentrations of NH4+ {single bond} N, NO3- {single bond} N, available P, Mg and B. Compost caused no heavy metal pollution into the soil. Therefore, this compost would be a good substitute for the mineral fertilizers generally used for basal dressing in maize growing. © 2007 Elsevier Ltd. All rights reserved.","author":[{"dropping-particle":"V.","family":"Gil","given":"M.","non-dropping-particle":"","parse-names":false,"suffix":""},{"dropping-particle":"","family":"Carballo","given":"M. T.","non-dropping-particle":"","parse-names":false,"suffix":""},{"dropping-particle":"","family":"Calvo","given":"L. F.","non-dropping-particle":"","parse-names":false,"suffix":""}],"container-title":"Waste Management","id":"ITEM-1","issue":"8","issued":{"date-parts":[["2008"]]},"page":"1432-1440","title":"Fertilization of maize with compost from cattle manure supplemented with additional mineral nutrients","type":"article-journal","volume":"28"},"uris":["http://www.mendeley.com/documents/?uuid=82718b9a-eb46-4df8-90c7-b7e694b46de1"]},{"id":"ITEM-2","itemData":{"DOI":"10.1007/s10705-016-9779-9","ISBN":"1070501697","ISSN":"15730867","abstract":"In Niger, farmers rely largely on organic resources such as manure and compost to address soil fertility problems and improve crop production. Ironically, they do not improve the fertilizer value of these organic resources or take into account their decomposition and nutrient release patterns before the application. This study aimed to assess the decomposition and nutrient release patterns of composted manure under field conditions and its implication on millet and cowpea grain yield. Litterbags arranged in randomized complete block design (RCBD) with three replications were used to assess decomposition and nutrient release of the compost. For the effect of composted manure and mineral fertilizer on millet and cowpea grain yield, two types of soil amendments were used; three levels of compost and four levels of mineral fertilizer. A 3 × 4 factorial experiment arranged in RCBD with three replications was used. After 84 days of decomposition, 40.3 and 56.5 % of compost mass losses were recorded respectively in 2013 and 2014. In 2013, 31, 74 and 97 % of N, P and K, respectively were released at 63 days of decomposition. Furthermore, in 2014, N, P and K release values of 58, 60 and 99 % were obtained at 84 days of decomposition. Combined application of 2500 kg ha−1 compost + 175/100 kg ha−1 NPK significantly (P &lt; 0.001) recorded the highest millet yields of 1762 and 866 kg ha−1 while the highest cowpea yields of 360.5 and 389 kg ha−1 resulted from the application of 2500/5000 kg ha−1 compost + 75 kg ha−1 DAP. These findings suggest that, compost resulting from cattle manure plus cowpea haulm can be used by smallholder farmers to address soil fertility decline, improve nutrient availability and raise pearl millet and cowpea grain yield under strip cropping system.","author":[{"dropping-particle":"","family":"Abdou","given":"Gonda","non-dropping-particle":"","parse-names":false,"suffix":""},{"dropping-particle":"","family":"Ewusi-Mensah","given":"Nana","non-dropping-particle":"","parse-names":false,"suffix":""},{"dropping-particle":"","family":"Nouri","given":"Maman","non-dropping-particle":"","parse-names":false,"suffix":""},{"dropping-particle":"","family":"Tetteh","given":"Francis Marthy","non-dropping-particle":"","parse-names":false,"suffix":""},{"dropping-particle":"","family":"Safo","given":"Ebnezer Yeboah","non-dropping-particle":"","parse-names":false,"suffix":""},{"dropping-particle":"","family":"Abaidoo","given":"Robert Clement","non-dropping-particle":"","parse-names":false,"suffix":""}],"container-title":"Nutrient Cycling in Agroecosystems","id":"ITEM-2","issue":"2","issued":{"date-parts":[["2016"]]},"page":"117-128","publisher":"Springer Netherlands","title":"Nutrient release patterns of compost and its implication on crop yield under Sahelian conditions of Niger","type":"article-journal","volume":"105"},"uris":["http://www.mendeley.com/documents/?uuid=600dcc65-d196-4265-a623-ed3ea4330b97"]},{"id":"ITEM-3","itemData":{"DOI":"10.1080/01448765.2001.9754926","ISSN":"01448765","abstract":"Increasing rural populations and the associated agricultural intensification and reduction in fallow periods of cropping systems in Senegal may be degrading soils. This may be related to the per capita decrease in food production of the semi-arid Sub-Sahel region. This study investigated the effect of applying combinations of manure/crop residue compost (2 t ha-1) and mineral fertilizer on yields of millet in the semi-arid agroecological zone of Senegal. Farmers who applied neither compost nor fertilizer had yields of 430 kg ha-1 compared with yields of 1230 kg ha-1 for farmers who used a mixture of both. Millet yields showed the highest response, and its yields were most stable across environments (p = 0.01) when compost + NPK fertilizer was applied. Partial budget analysis indicated that net profits from compost + mineral fertilizer (US$68) was higher than mineral fertilizer (US$53), indicative of a synergistic effect. However, a net return from the use of compost alone was US$43. Thus, in the absence of mineral fertilizers or rock phosphate, farmers could achieve reasonable yields and income with continuous use of compost alone.","author":[{"dropping-particle":"","family":"Badiane","given":"Aminata","non-dropping-particle":"","parse-names":false,"suffix":""},{"dropping-particle":"","family":"Faye","given":"Alphonse","non-dropping-particle":"","parse-names":false,"suffix":""},{"dropping-particle":"","family":"Yamoah","given":"Charles F.","non-dropping-particle":"","parse-names":false,"suffix":""},{"dropping-particle":"","family":"Dick","given":"R. P.","non-dropping-particle":"","parse-names":false,"suffix":""}],"container-title":"Biological Agriculture and Horticulture","id":"ITEM-3","issue":"3","issued":{"date-parts":[["2001"]]},"page":"219-230","title":"Use of compost and mineral fertilizers for millet production by farmers in the semiarid region of Senegal","type":"article-journal","volume":"19"},"uris":["http://www.mendeley.com/documents/?uuid=fb8cb16d-f51c-4916-b349-6c4b9b608b6d"]},{"id":"ITEM-4","itemData":{"DOI":"10.3390/pr11041167","ISSN":"22279717","abstract":"Organic waste management is an important concern for both industries and communities. Proper management is crucial for various reasons, such as reducing greenhouse gas emissions, promoting sustainability, and improving public health. Composted manure is a valuable source of nutrients and organic matter that can be used as a soil amendment in agriculture. Some important benefits of using composted manure in agriculture include: improves soil fertility, enhances soil structure, reduces soil erosion, suppresses plant diseases, and reduces reliance on synthetic fertilizers. Composted manure represents one of the most effective methods of organic waste valorization. Its macronutrients and micronutrients content can increase plant yield, without any reported negative or toxic effects on the soil and plants at various application rates. However, improper use of farmyard manure can have negative effects on the environment, such as air pollution from greenhouse gas emissions, soil acidification, and contamination of surface water and groundwater by nitrates and phosphates. The properties of the soil, including aeration, density, porosity, pH, water retention capacity, etc., can be improved by the structure and composition of manure. The slow-release source of nutrients provided by the nutrient content of compost can determine proper plants growth. However, it is crucial to use compost in moderation and regularly test soil to prevent excessive nutrient application, which can have adverse effects on plants and the environment.","author":[{"dropping-particle":"","family":"Goldan","given":"Elena","non-dropping-particle":"","parse-names":false,"suffix":""},{"dropping-particle":"","family":"Nedeff","given":"Valentin","non-dropping-particle":"","parse-names":false,"suffix":""},{"dropping-particle":"","family":"Barsan","given":"Narcis","non-dropping-particle":"","parse-names":false,"suffix":""},{"dropping-particle":"","family":"Culea","given":"Mihaela","non-dropping-particle":"","parse-names":false,"suffix":""},{"dropping-particle":"","family":"Panainte-Lehadus","given":"Mirela","non-dropping-particle":"","parse-names":false,"suffix":""},{"dropping-particle":"","family":"Mosnegutu","given":"Emilian","non-dropping-particle":"","parse-names":false,"suffix":""},{"dropping-particle":"","family":"Tomozei","given":"Claudia","non-dropping-particle":"","parse-names":false,"suffix":""},{"dropping-particle":"","family":"Chitimus","given":"Dana","non-dropping-particle":"","parse-names":false,"suffix":""},{"dropping-particle":"","family":"Irimia","given":"Oana","non-dropping-particle":"","parse-names":false,"suffix":""}],"container-title":"Processes","id":"ITEM-4","issue":"4","issued":{"date-parts":[["2023"]]},"page":"1-16","title":"Assessment of Manure Compost Used as Soil Amendment—A Review","type":"article-journal","volume":"11"},"uris":["http://www.mendeley.com/documents/?uuid=c0672dee-ccc6-45ca-8cce-c47655b13a8a"]}],"mendeley":{"formattedCitation":"(G. Abdou et al., 2016; Badiane et al., 2001; Gil et al., 2008; Goldan et al., 2023)","plainTextFormattedCitation":"(G. Abdou et al., 2016; Badiane et al., 2001; Gil et al., 2008; Goldan et al., 2023)","previouslyFormattedCitation":"(Abdou et al. 2016; Badiane et al. 2001; Gil et al. 2008; Goldan et al. 2023)"},"properties":{"noteIndex":0},"schema":"https://github.com/citation-style-language/schema/raw/master/csl-citation.json"}</w:instrText>
      </w:r>
      <w:r w:rsidR="00A309EF"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(G. Abdou et al., 2016; Badiane et al., 2001; Gil et al., 2008; Goldan et al., 2023)</w:t>
      </w:r>
      <w:r w:rsidR="00A309EF" w:rsidRPr="00C5457C">
        <w:rPr>
          <w:rFonts w:ascii="Times New Roman" w:hAnsi="Times New Roman" w:cs="Times New Roman"/>
          <w:sz w:val="24"/>
          <w:szCs w:val="24"/>
        </w:rPr>
        <w:fldChar w:fldCharType="end"/>
      </w:r>
      <w:r w:rsidR="00A309EF" w:rsidRPr="00C5457C">
        <w:rPr>
          <w:rFonts w:ascii="Times New Roman" w:hAnsi="Times New Roman" w:cs="Times New Roman"/>
          <w:sz w:val="24"/>
          <w:szCs w:val="24"/>
        </w:rPr>
        <w:t xml:space="preserve">. </w:t>
      </w:r>
      <w:r w:rsidR="00895E58"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{"citationItems":[{"id":"ITEM-1","itemData":{"DOI":"10.1007/s10705-016-9779-9","ISBN":"1070501697","ISSN":"15730867","abstract":"In Niger, farmers rely largely on organic resources such as manure and compost to address soil fertility problems and improve crop production. Ironically, they do not improve the fertilizer value of these organic resources or take into account their decomposition and nutrient release patterns before the application. This study aimed to assess the decomposition and nutrient release patterns of composted manure under field conditions and its implication on millet and cowpea grain yield. Litterbags arranged in randomized complete block design (RCBD) with three replications were used to assess decomposition and nutrient release of the compost. For the effect of composted manure and mineral fertilizer on millet and cowpea grain yield, two types of soil amendments were used; three levels of compost and four levels of mineral fertilizer. A 3 × 4 factorial experiment arranged in RCBD with three replications was used. After 84 days of decomposition, 40.3 and 56.5 % of compost mass losses were recorded respectively in 2013 and 2014. In 2013, 31, 74 and 97 % of N, P and K, respectively were released at 63 days of decomposition. Furthermore, in 2014, N, P and K release values of 58, 60 and 99 % were obtained at 84 days of decomposition. Combined application of 2500 kg ha−1 compost + 175/100 kg ha−1 NPK significantly (P &lt; 0.001) recorded the highest millet yields of 1762 and 866 kg ha−1 while the highest cowpea yields of 360.5 and 389 kg ha−1 resulted from the application of 2500/5000 kg ha−1 compost + 75 kg ha−1 DAP. These findings suggest that, compost resulting from cattle manure plus cowpea haulm can be used by smallholder farmers to address soil fertility decline, improve nutrient availability and raise pearl millet and cowpea grain yield under strip cropping system.","author":[{"dropping-particle":"","family":"Abdou","given":"Gonda","non-dropping-particle":"","parse-names":false,"suffix":""},{"dropping-particle":"","family":"Ewusi-Mensah","given":"Nana","non-dropping-particle":"","parse-names":false,"suffix":""},{"dropping-particle":"","family":"Nouri","given":"Maman","non-dropping-particle":"","parse-names":false,"suffix":""},{"dropping-particle":"","family":"Tetteh","given":"Francis Marthy","non-dropping-particle":"","parse-names":false,"suffix":""},{"dropping-particle":"","family":"Safo","given":"Ebnezer Yeboah","non-dropping-particle":"","parse-names":false,"suffix":""},{"dropping-particle":"","family":"Abaidoo","given":"Robert Clement","non-dropping-particle":"","parse-names":false,"suffix":""}],"container-title":"Nutrient Cycling in Agroecosystems","id":"ITEM-1","issue":"2","issued":{"date-parts":[["2016"]]},"page":"117-128","publisher":"Springer Netherlands","title":"Nutrient release patterns of compost and its implication on crop yield under Sahelian conditions of Niger","type":"article-journal","volume":"105"},"uris":["http://www.mendeley.com/documents/?uuid=600dcc65-d196-4265-a623-ed3ea4330b97"]}],"mendeley":{"formattedCitation":"(G. Abdou et al., 2016)","manualFormatting":"G. Abdou et al., (2016)","plainTextFormattedCitation":"(G. Abdou et al., 2016)","previouslyFormattedCitation":"(Abdou et al. 2016)"},"properties":{"noteIndex":0},"schema":"https://github.com/citation-style-language/schema/raw/master/csl-citation.json"}</w:instrText>
      </w:r>
      <w:r w:rsidR="00895E58" w:rsidRPr="00C5457C">
        <w:rPr>
          <w:rFonts w:ascii="Times New Roman" w:hAnsi="Times New Roman" w:cs="Times New Roman"/>
          <w:sz w:val="24"/>
          <w:szCs w:val="24"/>
        </w:rPr>
        <w:fldChar w:fldCharType="separate"/>
      </w:r>
      <w:r w:rsidR="00895E58" w:rsidRPr="00C5457C">
        <w:rPr>
          <w:rFonts w:ascii="Times New Roman" w:hAnsi="Times New Roman" w:cs="Times New Roman"/>
          <w:noProof/>
          <w:sz w:val="24"/>
          <w:szCs w:val="24"/>
        </w:rPr>
        <w:t>G. Abdou et al., (2016)</w:t>
      </w:r>
      <w:r w:rsidR="00895E58" w:rsidRPr="00C5457C">
        <w:rPr>
          <w:rFonts w:ascii="Times New Roman" w:hAnsi="Times New Roman" w:cs="Times New Roman"/>
          <w:sz w:val="24"/>
          <w:szCs w:val="24"/>
        </w:rPr>
        <w:fldChar w:fldCharType="end"/>
      </w:r>
      <w:r w:rsidR="00895E58" w:rsidRPr="00C5457C">
        <w:rPr>
          <w:rFonts w:ascii="Times New Roman" w:hAnsi="Times New Roman" w:cs="Times New Roman"/>
          <w:sz w:val="24"/>
          <w:szCs w:val="24"/>
        </w:rPr>
        <w:t xml:space="preserve"> </w:t>
      </w:r>
      <w:r w:rsidR="00990642" w:rsidRPr="00C5457C">
        <w:rPr>
          <w:rFonts w:ascii="Times New Roman" w:hAnsi="Times New Roman" w:cs="Times New Roman"/>
          <w:sz w:val="24"/>
          <w:szCs w:val="24"/>
        </w:rPr>
        <w:t>ont</w:t>
      </w:r>
      <w:r w:rsidR="00895E58" w:rsidRPr="00C5457C">
        <w:rPr>
          <w:rFonts w:ascii="Times New Roman" w:hAnsi="Times New Roman" w:cs="Times New Roman"/>
          <w:sz w:val="24"/>
          <w:szCs w:val="24"/>
        </w:rPr>
        <w:t xml:space="preserve"> montré</w:t>
      </w:r>
      <w:r w:rsidR="00990642" w:rsidRPr="00C5457C">
        <w:rPr>
          <w:rFonts w:ascii="Times New Roman" w:hAnsi="Times New Roman" w:cs="Times New Roman"/>
          <w:sz w:val="24"/>
          <w:szCs w:val="24"/>
        </w:rPr>
        <w:t>s</w:t>
      </w:r>
      <w:r w:rsidR="00895E58" w:rsidRPr="00C5457C">
        <w:rPr>
          <w:rFonts w:ascii="Times New Roman" w:hAnsi="Times New Roman" w:cs="Times New Roman"/>
          <w:sz w:val="24"/>
          <w:szCs w:val="24"/>
        </w:rPr>
        <w:t xml:space="preserve"> la capacité du compost à augmenter la fertilité du sol en libérant les macro et microéléments présents dans le sol. </w:t>
      </w:r>
      <w:r w:rsidR="00934C24" w:rsidRPr="00C5457C">
        <w:rPr>
          <w:rFonts w:ascii="Times New Roman" w:hAnsi="Times New Roman" w:cs="Times New Roman"/>
          <w:sz w:val="24"/>
          <w:szCs w:val="24"/>
        </w:rPr>
        <w:t xml:space="preserve">Selon </w:t>
      </w:r>
      <w:r w:rsidR="001A3091"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{"citationItems":[{"id":"ITEM-1","itemData":{"author":[{"dropping-particle":"","family":"Saidou","given":"Addam Kiari","non-dropping-particle":"","parse-names":false,"suffix":""},{"dropping-particle":"","family":"Alhou","given":"Bassirou","non-dropping-particle":"","parse-names":false,"suffix":""},{"dropping-particle":"","family":"Mamadou","given":"Adam","non-dropping-particle":"","parse-names":false,"suffix":""},{"dropping-particle":"","family":"Adakal","given":"Hassane","non-dropping-particle":"","parse-names":false,"suffix":""}],"id":"ITEM-1","issue":"December","issued":{"date-parts":[["2014"]]},"title":"Effect of Compost Amended With Urea on Crops Yields in a Strip Cropping System Millet/Cowpea on Sandy Soil Poor in P","type":"article-journal"},"uris":["http://www.mendeley.com/documents/?uuid=20c4cd50-0d6d-4040-a226-82d9609ab162"]}],"mendeley":{"formattedCitation":"(Saidou et al., 2014)","manualFormatting":"Saidou et al., (2014)","plainTextFormattedCitation":"(Saidou et al., 2014)","previouslyFormattedCitation":"(Saidou et al. 2014)"},"properties":{"noteIndex":0},"schema":"https://github.com/citation-style-language/schema/raw/master/csl-citation.json"}</w:instrText>
      </w:r>
      <w:r w:rsidR="001A3091" w:rsidRPr="00C5457C">
        <w:rPr>
          <w:rFonts w:ascii="Times New Roman" w:hAnsi="Times New Roman" w:cs="Times New Roman"/>
          <w:sz w:val="24"/>
          <w:szCs w:val="24"/>
        </w:rPr>
        <w:fldChar w:fldCharType="separate"/>
      </w:r>
      <w:r w:rsidR="001A3091" w:rsidRPr="00C5457C">
        <w:rPr>
          <w:rFonts w:ascii="Times New Roman" w:hAnsi="Times New Roman" w:cs="Times New Roman"/>
          <w:noProof/>
          <w:sz w:val="24"/>
          <w:szCs w:val="24"/>
        </w:rPr>
        <w:t>Saidou et al., (2014)</w:t>
      </w:r>
      <w:r w:rsidR="001A3091" w:rsidRPr="00C5457C">
        <w:rPr>
          <w:rFonts w:ascii="Times New Roman" w:hAnsi="Times New Roman" w:cs="Times New Roman"/>
          <w:sz w:val="24"/>
          <w:szCs w:val="24"/>
        </w:rPr>
        <w:fldChar w:fldCharType="end"/>
      </w:r>
      <w:r w:rsidR="001A3091" w:rsidRPr="00C5457C">
        <w:rPr>
          <w:rFonts w:ascii="Times New Roman" w:hAnsi="Times New Roman" w:cs="Times New Roman"/>
          <w:sz w:val="24"/>
          <w:szCs w:val="24"/>
        </w:rPr>
        <w:t xml:space="preserve"> </w:t>
      </w:r>
      <w:r w:rsidR="00934C24" w:rsidRPr="00C5457C">
        <w:rPr>
          <w:rFonts w:ascii="Times New Roman" w:hAnsi="Times New Roman" w:cs="Times New Roman"/>
          <w:sz w:val="24"/>
          <w:szCs w:val="24"/>
        </w:rPr>
        <w:t>l'application de 3 t ha</w:t>
      </w:r>
      <w:r w:rsidR="00934C24" w:rsidRPr="00C5457C">
        <w:rPr>
          <w:rFonts w:ascii="Times New Roman" w:hAnsi="Times New Roman" w:cs="Times New Roman"/>
          <w:sz w:val="24"/>
          <w:szCs w:val="24"/>
          <w:vertAlign w:val="superscript"/>
        </w:rPr>
        <w:t>-1</w:t>
      </w:r>
      <w:r w:rsidR="00934C24" w:rsidRPr="00C5457C">
        <w:rPr>
          <w:rFonts w:ascii="Times New Roman" w:hAnsi="Times New Roman" w:cs="Times New Roman"/>
          <w:sz w:val="24"/>
          <w:szCs w:val="24"/>
        </w:rPr>
        <w:t xml:space="preserve"> de compost augmentait significativement le rendement en grains du millet perlé de 0,6 t ha</w:t>
      </w:r>
      <w:r w:rsidR="002F0B79" w:rsidRPr="00C5457C">
        <w:rPr>
          <w:rFonts w:ascii="Times New Roman" w:hAnsi="Times New Roman" w:cs="Times New Roman"/>
          <w:sz w:val="24"/>
          <w:szCs w:val="24"/>
          <w:vertAlign w:val="superscript"/>
        </w:rPr>
        <w:t>-1</w:t>
      </w:r>
      <w:r w:rsidR="00934C24" w:rsidRPr="00C5457C">
        <w:rPr>
          <w:rFonts w:ascii="Times New Roman" w:hAnsi="Times New Roman" w:cs="Times New Roman"/>
          <w:sz w:val="24"/>
          <w:szCs w:val="24"/>
        </w:rPr>
        <w:t xml:space="preserve"> (contrôle) à 1,6 t ha</w:t>
      </w:r>
      <w:r w:rsidR="002F0B79" w:rsidRPr="00C5457C">
        <w:rPr>
          <w:rFonts w:ascii="Times New Roman" w:hAnsi="Times New Roman" w:cs="Times New Roman"/>
          <w:sz w:val="24"/>
          <w:szCs w:val="24"/>
          <w:vertAlign w:val="superscript"/>
        </w:rPr>
        <w:t>-1</w:t>
      </w:r>
      <w:r w:rsidR="00934C24" w:rsidRPr="00C5457C">
        <w:rPr>
          <w:rFonts w:ascii="Times New Roman" w:hAnsi="Times New Roman" w:cs="Times New Roman"/>
          <w:sz w:val="24"/>
          <w:szCs w:val="24"/>
        </w:rPr>
        <w:t>.</w:t>
      </w:r>
      <w:r w:rsidR="001A3091" w:rsidRPr="00C5457C">
        <w:rPr>
          <w:rFonts w:ascii="Times New Roman" w:hAnsi="Times New Roman" w:cs="Times New Roman"/>
          <w:sz w:val="24"/>
          <w:szCs w:val="24"/>
        </w:rPr>
        <w:t xml:space="preserve"> </w:t>
      </w:r>
      <w:r w:rsidR="00B45FC1"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{"citationItems":[{"id":"ITEM-1","itemData":{"DOI":"10.1080/01448765.2001.9754926","ISSN":"01448765","abstract":"Increasing rural populations and the associated agricultural intensification and reduction in fallow periods of cropping systems in Senegal may be degrading soils. This may be related to the per capita decrease in food production of the semi-arid Sub-Sahel region. This study investigated the effect of applying combinations of manure/crop residue compost (2 t ha-1) and mineral fertilizer on yields of millet in the semi-arid agroecological zone of Senegal. Farmers who applied neither compost nor fertilizer had yields of 430 kg ha-1 compared with yields of 1230 kg ha-1 for farmers who used a mixture of both. Millet yields showed the highest response, and its yields were most stable across environments (p = 0.01) when compost + NPK fertilizer was applied. Partial budget analysis indicated that net profits from compost + mineral fertilizer (US$68) was higher than mineral fertilizer (US$53), indicative of a synergistic effect. However, a net return from the use of compost alone was US$43. Thus, in the absence of mineral fertilizers or rock phosphate, farmers could achieve reasonable yields and income with continuous use of compost alone.","author":[{"dropping-particle":"","family":"Badiane","given":"Aminata","non-dropping-particle":"","parse-names":false,"suffix":""},{"dropping-particle":"","family":"Faye","given":"Alphonse","non-dropping-particle":"","parse-names":false,"suffix":""},{"dropping-particle":"","family":"Yamoah","given":"Charles F.","non-dropping-particle":"","parse-names":false,"suffix":""},{"dropping-particle":"","family":"Dick","given":"R. P.","non-dropping-particle":"","parse-names":false,"suffix":""}],"container-title":"Biological Agriculture and Horticulture","id":"ITEM-1","issue":"3","issued":{"date-parts":[["2001"]]},"page":"219-230","title":"Use of compost and mineral fertilizers for millet production by farmers in the semiarid region of Senegal","type":"article-journal","volume":"19"},"uris":["http://www.mendeley.com/documents/?uuid=fb8cb16d-f51c-4916-b349-6c4b9b608b6d"]}],"mendeley":{"formattedCitation":"(Badiane et al., 2001)","manualFormatting":"Badiane et al., (2001)","plainTextFormattedCitation":"(Badiane et al., 2001)","previouslyFormattedCitation":"(Badiane et al. 2001)"},"properties":{"noteIndex":0},"schema":"https://github.com/citation-style-language/schema/raw/master/csl-citation.json"}</w:instrText>
      </w:r>
      <w:r w:rsidR="00B45FC1" w:rsidRPr="00C5457C">
        <w:rPr>
          <w:rFonts w:ascii="Times New Roman" w:hAnsi="Times New Roman" w:cs="Times New Roman"/>
          <w:sz w:val="24"/>
          <w:szCs w:val="24"/>
        </w:rPr>
        <w:fldChar w:fldCharType="separate"/>
      </w:r>
      <w:r w:rsidR="00B45FC1" w:rsidRPr="00C5457C">
        <w:rPr>
          <w:rFonts w:ascii="Times New Roman" w:hAnsi="Times New Roman" w:cs="Times New Roman"/>
          <w:noProof/>
          <w:sz w:val="24"/>
          <w:szCs w:val="24"/>
        </w:rPr>
        <w:t>Badiane et al., (2001)</w:t>
      </w:r>
      <w:r w:rsidR="00B45FC1" w:rsidRPr="00C5457C">
        <w:rPr>
          <w:rFonts w:ascii="Times New Roman" w:hAnsi="Times New Roman" w:cs="Times New Roman"/>
          <w:sz w:val="24"/>
          <w:szCs w:val="24"/>
        </w:rPr>
        <w:fldChar w:fldCharType="end"/>
      </w:r>
      <w:r w:rsidR="00934C24" w:rsidRPr="00C5457C">
        <w:rPr>
          <w:rFonts w:ascii="Times New Roman" w:hAnsi="Times New Roman" w:cs="Times New Roman"/>
          <w:sz w:val="24"/>
          <w:szCs w:val="24"/>
        </w:rPr>
        <w:t xml:space="preserve"> ont observé</w:t>
      </w:r>
      <w:r w:rsidR="00990642" w:rsidRPr="00C5457C">
        <w:rPr>
          <w:rFonts w:ascii="Times New Roman" w:hAnsi="Times New Roman" w:cs="Times New Roman"/>
          <w:sz w:val="24"/>
          <w:szCs w:val="24"/>
        </w:rPr>
        <w:t>s</w:t>
      </w:r>
      <w:r w:rsidR="00934C24" w:rsidRPr="00C5457C">
        <w:rPr>
          <w:rFonts w:ascii="Times New Roman" w:hAnsi="Times New Roman" w:cs="Times New Roman"/>
          <w:sz w:val="24"/>
          <w:szCs w:val="24"/>
        </w:rPr>
        <w:t xml:space="preserve"> un rendement en grains du millet perlé de 1230 kg ha</w:t>
      </w:r>
      <w:r w:rsidR="009B7BB4" w:rsidRPr="00C5457C">
        <w:rPr>
          <w:rFonts w:ascii="Times New Roman" w:hAnsi="Times New Roman" w:cs="Times New Roman"/>
          <w:sz w:val="24"/>
          <w:szCs w:val="24"/>
          <w:vertAlign w:val="superscript"/>
        </w:rPr>
        <w:t>-1</w:t>
      </w:r>
      <w:r w:rsidR="00934C24" w:rsidRPr="00C5457C">
        <w:rPr>
          <w:rFonts w:ascii="Times New Roman" w:hAnsi="Times New Roman" w:cs="Times New Roman"/>
          <w:sz w:val="24"/>
          <w:szCs w:val="24"/>
        </w:rPr>
        <w:t xml:space="preserve"> dans le champ de l'agriculteur utilisant du compost et du NPK, alors qu'il n'était que de 430 kg ha</w:t>
      </w:r>
      <w:r w:rsidR="009B7BB4" w:rsidRPr="00C5457C">
        <w:rPr>
          <w:rFonts w:ascii="Times New Roman" w:hAnsi="Times New Roman" w:cs="Times New Roman"/>
          <w:sz w:val="24"/>
          <w:szCs w:val="24"/>
          <w:vertAlign w:val="superscript"/>
        </w:rPr>
        <w:t>-1</w:t>
      </w:r>
      <w:r w:rsidR="00934C24" w:rsidRPr="00C5457C">
        <w:rPr>
          <w:rFonts w:ascii="Times New Roman" w:hAnsi="Times New Roman" w:cs="Times New Roman"/>
          <w:sz w:val="24"/>
          <w:szCs w:val="24"/>
        </w:rPr>
        <w:t xml:space="preserve"> dans le champ de l'agriculteur où ni compost ni engrais n'avaient été appliqués. </w:t>
      </w:r>
      <w:r w:rsidR="00CF22BA"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{"citationItems":[{"id":"ITEM-1","itemData":{"DOI":"10.1007/s10705-016-9779-9","ISBN":"1070501697","ISSN":"15730867","abstract":"In Niger, farmers rely largely on organic resources such as manure and compost to address soil fertility problems and improve crop production. Ironically, they do not improve the fertilizer value of these organic resources or take into account their decomposition and nutrient release patterns before the application. This study aimed to assess the decomposition and nutrient release patterns of composted manure under field conditions and its implication on millet and cowpea grain yield. Litterbags arranged in randomized complete block design (RCBD) with three replications were used to assess decomposition and nutrient release of the compost. For the effect of composted manure and mineral fertilizer on millet and cowpea grain yield, two types of soil amendments were used; three levels of compost and four levels of mineral fertilizer. A 3 × 4 factorial experiment arranged in RCBD with three replications was used. After 84 days of decomposition, 40.3 and 56.5 % of compost mass losses were recorded respectively in 2013 and 2014. In 2013, 31, 74 and 97 % of N, P and K, respectively were released at 63 days of decomposition. Furthermore, in 2014, N, P and K release values of 58, 60 and 99 % were obtained at 84 days of decomposition. Combined application of 2500 kg ha−1 compost + 175/100 kg ha−1 NPK significantly (P &lt; 0.001) recorded the highest millet yields of 1762 and 866 kg ha−1 while the highest cowpea yields of 360.5 and 389 kg ha−1 resulted from the application of 2500/5000 kg ha−1 compost + 75 kg ha−1 DAP. These findings suggest that, compost resulting from cattle manure plus cowpea haulm can be used by smallholder farmers to address soil fertility decline, improve nutrient availability and raise pearl millet and cowpea grain yield under strip cropping system.","author":[{"dropping-particle":"","family":"Abdou","given":"Gonda","non-dropping-particle":"","parse-names":false,"suffix":""},{"dropping-particle":"","family":"Ewusi-Mensah","given":"Nana","non-dropping-particle":"","parse-names":false,"suffix":""},{"dropping-particle":"","family":"Nouri","given":"Maman","non-dropping-particle":"","parse-names":false,"suffix":""},{"dropping-particle":"","family":"Tetteh","given":"Francis Marthy","non-dropping-particle":"","parse-names":false,"suffix":""},{"dropping-particle":"","family":"Safo","given":"Ebnezer Yeboah","non-dropping-particle":"","parse-names":false,"suffix":""},{"dropping-particle":"","family":"Abaidoo","given":"Robert Clement","non-dropping-particle":"","parse-names":false,"suffix":""}],"container-title":"Nutrient Cycling in Agroecosystems","id":"ITEM-1","issue":"2","issued":{"date-parts":[["2016"]]},"page":"117-128","publisher":"Springer Netherlands","title":"Nutrient release patterns of compost and its implication on crop yield under Sahelian conditions of Niger","type":"article-journal","volume":"105"},"uris":["http://www.mendeley.com/documents/?uuid=600dcc65-d196-4265-a623-ed3ea4330b97"]}],"mendeley":{"formattedCitation":"(G. Abdou et al., 2016)","manualFormatting":"G. Abdou et al., (2016)","plainTextFormattedCitation":"(G. Abdou et al., 2016)","previouslyFormattedCitation":"(Abdou et al. 2016)"},"properties":{"noteIndex":0},"schema":"https://github.com/citation-style-language/schema/raw/master/csl-citation.json"}</w:instrText>
      </w:r>
      <w:r w:rsidR="00CF22BA" w:rsidRPr="00C5457C">
        <w:rPr>
          <w:rFonts w:ascii="Times New Roman" w:hAnsi="Times New Roman" w:cs="Times New Roman"/>
          <w:sz w:val="24"/>
          <w:szCs w:val="24"/>
        </w:rPr>
        <w:fldChar w:fldCharType="separate"/>
      </w:r>
      <w:r w:rsidR="00CF22BA" w:rsidRPr="00C5457C">
        <w:rPr>
          <w:rFonts w:ascii="Times New Roman" w:hAnsi="Times New Roman" w:cs="Times New Roman"/>
          <w:noProof/>
          <w:sz w:val="24"/>
          <w:szCs w:val="24"/>
        </w:rPr>
        <w:t>G. Abdou et al., (2016)</w:t>
      </w:r>
      <w:r w:rsidR="00CF22BA" w:rsidRPr="00C5457C">
        <w:rPr>
          <w:rFonts w:ascii="Times New Roman" w:hAnsi="Times New Roman" w:cs="Times New Roman"/>
          <w:sz w:val="24"/>
          <w:szCs w:val="24"/>
        </w:rPr>
        <w:fldChar w:fldCharType="end"/>
      </w:r>
      <w:r w:rsidR="00CF22BA" w:rsidRPr="00C5457C">
        <w:rPr>
          <w:rFonts w:ascii="Times New Roman" w:hAnsi="Times New Roman" w:cs="Times New Roman"/>
          <w:sz w:val="24"/>
          <w:szCs w:val="24"/>
        </w:rPr>
        <w:t xml:space="preserve"> ont obtenus des rendements de niébé allant de 360,5 et 389 kg ha</w:t>
      </w:r>
      <w:r w:rsidR="009B7BB4" w:rsidRPr="00C5457C">
        <w:rPr>
          <w:rFonts w:ascii="Times New Roman" w:hAnsi="Times New Roman" w:cs="Times New Roman"/>
          <w:sz w:val="24"/>
          <w:szCs w:val="24"/>
          <w:vertAlign w:val="superscript"/>
        </w:rPr>
        <w:t>-1</w:t>
      </w:r>
      <w:r w:rsidR="00CF22BA" w:rsidRPr="00C5457C">
        <w:rPr>
          <w:rFonts w:ascii="Times New Roman" w:hAnsi="Times New Roman" w:cs="Times New Roman"/>
          <w:sz w:val="24"/>
          <w:szCs w:val="24"/>
        </w:rPr>
        <w:t xml:space="preserve"> avec l’application de 2500 kg ha</w:t>
      </w:r>
      <w:r w:rsidR="00CF22BA" w:rsidRPr="00C5457C">
        <w:rPr>
          <w:rFonts w:ascii="Times New Roman" w:hAnsi="Times New Roman" w:cs="Times New Roman"/>
          <w:sz w:val="24"/>
          <w:szCs w:val="24"/>
          <w:vertAlign w:val="superscript"/>
        </w:rPr>
        <w:t>-1</w:t>
      </w:r>
      <w:r w:rsidR="00CF22BA" w:rsidRPr="00C5457C">
        <w:rPr>
          <w:rFonts w:ascii="Times New Roman" w:hAnsi="Times New Roman" w:cs="Times New Roman"/>
          <w:sz w:val="24"/>
          <w:szCs w:val="24"/>
        </w:rPr>
        <w:t xml:space="preserve"> de compost + 75 kg ha</w:t>
      </w:r>
      <w:r w:rsidR="00CF22BA" w:rsidRPr="00C5457C">
        <w:rPr>
          <w:rFonts w:ascii="Times New Roman" w:hAnsi="Times New Roman" w:cs="Times New Roman"/>
          <w:sz w:val="24"/>
          <w:szCs w:val="24"/>
          <w:vertAlign w:val="superscript"/>
        </w:rPr>
        <w:t>-1</w:t>
      </w:r>
      <w:r w:rsidR="00CF22BA" w:rsidRPr="00C5457C">
        <w:rPr>
          <w:rFonts w:ascii="Times New Roman" w:hAnsi="Times New Roman" w:cs="Times New Roman"/>
          <w:sz w:val="24"/>
          <w:szCs w:val="24"/>
        </w:rPr>
        <w:t xml:space="preserve"> DAP et de 5000 kg ha</w:t>
      </w:r>
      <w:r w:rsidR="00CF22BA" w:rsidRPr="00C5457C">
        <w:rPr>
          <w:rFonts w:ascii="Times New Roman" w:hAnsi="Times New Roman" w:cs="Times New Roman"/>
          <w:sz w:val="24"/>
          <w:szCs w:val="24"/>
          <w:vertAlign w:val="superscript"/>
        </w:rPr>
        <w:t>-1</w:t>
      </w:r>
      <w:r w:rsidR="00CF22BA" w:rsidRPr="00C5457C">
        <w:rPr>
          <w:rFonts w:ascii="Times New Roman" w:hAnsi="Times New Roman" w:cs="Times New Roman"/>
          <w:sz w:val="24"/>
          <w:szCs w:val="24"/>
        </w:rPr>
        <w:t xml:space="preserve"> de compost + 75 kg ha</w:t>
      </w:r>
      <w:r w:rsidR="00CF22BA" w:rsidRPr="00C5457C">
        <w:rPr>
          <w:rFonts w:ascii="Times New Roman" w:hAnsi="Times New Roman" w:cs="Times New Roman"/>
          <w:sz w:val="24"/>
          <w:szCs w:val="24"/>
          <w:vertAlign w:val="superscript"/>
        </w:rPr>
        <w:t>-1</w:t>
      </w:r>
      <w:r w:rsidR="00CF22BA" w:rsidRPr="00C5457C">
        <w:rPr>
          <w:rFonts w:ascii="Times New Roman" w:hAnsi="Times New Roman" w:cs="Times New Roman"/>
          <w:sz w:val="24"/>
          <w:szCs w:val="24"/>
        </w:rPr>
        <w:t xml:space="preserve"> DAP respectivement en 2013 et 2014.</w:t>
      </w:r>
    </w:p>
    <w:p w14:paraId="35EB66E4" w14:textId="3DB2091A" w:rsidR="00934C24" w:rsidRPr="00C5457C" w:rsidRDefault="00D4765E"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Aussi le compostage </w:t>
      </w:r>
      <w:proofErr w:type="spellStart"/>
      <w:r w:rsidRPr="00C5457C">
        <w:rPr>
          <w:rFonts w:ascii="Times New Roman" w:hAnsi="Times New Roman" w:cs="Times New Roman"/>
          <w:sz w:val="24"/>
          <w:szCs w:val="24"/>
        </w:rPr>
        <w:t>bokashi</w:t>
      </w:r>
      <w:proofErr w:type="spellEnd"/>
      <w:r w:rsidRPr="00C5457C">
        <w:rPr>
          <w:rFonts w:ascii="Times New Roman" w:hAnsi="Times New Roman" w:cs="Times New Roman"/>
          <w:sz w:val="24"/>
          <w:szCs w:val="24"/>
        </w:rPr>
        <w:t xml:space="preserve">, une pratique agricole qui combine une matière organique fermentée avec un stock microbien, a été mentionné comme une option potentielle pour améliorer les terres agricoles et la production de cultures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{"citationItems":[{"id":"ITEM-1","itemData":{"ISSN":"1835-2693","abstract":"The use of NPK fertilizer and bokashi composting, which is a fermented organic matter combined with microbial stock, have been reported as potential agricultural practices to enhance the farming land and crop production. The aim of this research is to understand the type of bokashi fertilizer and the correct dosage of NPK inorganic fertilizer in improving entisol soil quality and shallot yield in the dry land. The research used the split-plot design, which was divided into two factors. The first factor of the main plot was the bokashi type consisting of two levels: 3 t ha-1 of bokashi compost of Gliricidia sp. tree leaves (B1); and bokashi cow manure 3 t ha-1 (B2). The second factor as the subplot was the NPK inorganic fertilizer dose which were consisted of four levels: without fertilizers (K0), NPK 100 kg ha-1 (K1), NPK 200 kg ha-1 (K2), and NPK 300 kg ha-1(K3). By combination of these two factors 8 combined treatments with 3 replications totally 24 units were obtained. The result of the research showed that application of 3 t ha-1 bokashi cow manure (B2) coupled with NPK inorganic fertilizer at 200 kg ha-1 (K2) caused a decrease in evaporation of its land and soil temperature, while increase shallot bulb yield compared with other treatments. The analysis of soil and soil microbes showed an increase in soil fertility by elevated levels of C-organic from 0.66 % to 3.28 %, N-fixing bacteria from 27 x 105 CFU ml-1 to 47 x106 CFU ml-1 and phosphate solubilizing bacteria from 20 x103 CFU ml-1 to 90 x103 CFU ml-1. The shallot bulb yield increased from 4.79 t ha-1 to 11.74 t ha-1.","author":[{"dropping-particle":"","family":"Lasmini","given":"Sri Anjar","non-dropping-particle":"","parse-names":false,"suffix":""},{"dropping-particle":"","family":"Nasir","given":"Burhanuddin","non-dropping-particle":"","parse-names":false,"suffix":""},{"dropping-particle":"","family":"Hayati","given":"Nur","non-dropping-particle":"","parse-names":false,"suffix":""},{"dropping-particle":"","family":"Edy","given":"Nur","non-dropping-particle":"","parse-names":false,"suffix":""}],"container-title":"Australian Journal of Crop Science","id":"ITEM-1","issue":"11","issued":{"date-parts":[["2018","11","1"]]},"language":"English","page":"1743-1749","publisher":"Southern Cross Publishers","publisher-place":"Department of Horticulture, University of Tadulako, Palu - 94117, Indonesia","title":"Improvement of soil quality using bokashi composting and NPK fertilizer to increase shallot yield on dry land","type":"article-journal","volume":"12"},"uris":["http://www.mendeley.com/documents/?uuid=c7a6d854-39b2-455d-a507-a99964a5bf60"]}],"mendeley":{"formattedCitation":"(Lasmini et al., 2018)","plainTextFormattedCitation":"(Lasmini et al., 2018)","previouslyFormattedCitation":"(Lasmini et al. 2018)"},"properties":{"noteIndex":0},"schema":"https://github.com/citation-style-language/schema/raw/master/csl-citation.json"}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(Lasmini et al., 2018)</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650A2E" w:rsidRPr="00C5457C">
        <w:rPr>
          <w:rFonts w:ascii="Times New Roman" w:hAnsi="Times New Roman" w:cs="Times New Roman"/>
          <w:sz w:val="24"/>
          <w:szCs w:val="24"/>
        </w:rPr>
        <w:t xml:space="preserve">Hernández et al., (2014) </w:t>
      </w:r>
      <w:r w:rsidR="009B7BB4" w:rsidRPr="00C5457C">
        <w:rPr>
          <w:rFonts w:ascii="Times New Roman" w:hAnsi="Times New Roman" w:cs="Times New Roman"/>
          <w:sz w:val="24"/>
          <w:szCs w:val="24"/>
        </w:rPr>
        <w:t>ont</w:t>
      </w:r>
      <w:r w:rsidR="00650A2E" w:rsidRPr="00C5457C">
        <w:rPr>
          <w:rFonts w:ascii="Times New Roman" w:hAnsi="Times New Roman" w:cs="Times New Roman"/>
          <w:sz w:val="24"/>
          <w:szCs w:val="24"/>
        </w:rPr>
        <w:t xml:space="preserve"> observé</w:t>
      </w:r>
      <w:r w:rsidR="009B7BB4" w:rsidRPr="00C5457C">
        <w:rPr>
          <w:rFonts w:ascii="Times New Roman" w:hAnsi="Times New Roman" w:cs="Times New Roman"/>
          <w:sz w:val="24"/>
          <w:szCs w:val="24"/>
        </w:rPr>
        <w:t>s</w:t>
      </w:r>
      <w:r w:rsidR="00650A2E" w:rsidRPr="00C5457C">
        <w:rPr>
          <w:rFonts w:ascii="Times New Roman" w:hAnsi="Times New Roman" w:cs="Times New Roman"/>
          <w:sz w:val="24"/>
          <w:szCs w:val="24"/>
        </w:rPr>
        <w:t xml:space="preserve"> une augmentation de la concentration de</w:t>
      </w:r>
      <w:r w:rsidR="00D61F4C" w:rsidRPr="00C5457C">
        <w:rPr>
          <w:rFonts w:ascii="Times New Roman" w:hAnsi="Times New Roman" w:cs="Times New Roman"/>
          <w:sz w:val="24"/>
          <w:szCs w:val="24"/>
        </w:rPr>
        <w:t xml:space="preserve"> N, de</w:t>
      </w:r>
      <w:r w:rsidR="00650A2E" w:rsidRPr="00C5457C">
        <w:rPr>
          <w:rFonts w:ascii="Times New Roman" w:hAnsi="Times New Roman" w:cs="Times New Roman"/>
          <w:sz w:val="24"/>
          <w:szCs w:val="24"/>
        </w:rPr>
        <w:t xml:space="preserve"> P et de K après une application du </w:t>
      </w:r>
      <w:proofErr w:type="spellStart"/>
      <w:r w:rsidR="00650A2E" w:rsidRPr="00C5457C">
        <w:rPr>
          <w:rFonts w:ascii="Times New Roman" w:hAnsi="Times New Roman" w:cs="Times New Roman"/>
          <w:sz w:val="24"/>
          <w:szCs w:val="24"/>
        </w:rPr>
        <w:t>bokashi</w:t>
      </w:r>
      <w:proofErr w:type="spellEnd"/>
      <w:r w:rsidR="00650A2E" w:rsidRPr="00C5457C">
        <w:rPr>
          <w:rFonts w:ascii="Times New Roman" w:hAnsi="Times New Roman" w:cs="Times New Roman"/>
          <w:sz w:val="24"/>
          <w:szCs w:val="24"/>
        </w:rPr>
        <w:t xml:space="preserve"> a</w:t>
      </w:r>
      <w:r w:rsidR="00440040" w:rsidRPr="00C5457C">
        <w:rPr>
          <w:rFonts w:ascii="Times New Roman" w:hAnsi="Times New Roman" w:cs="Times New Roman"/>
          <w:sz w:val="24"/>
          <w:szCs w:val="24"/>
        </w:rPr>
        <w:t>u sol</w:t>
      </w:r>
      <w:r w:rsidR="00650A2E" w:rsidRPr="00C5457C">
        <w:rPr>
          <w:rFonts w:ascii="Times New Roman" w:hAnsi="Times New Roman" w:cs="Times New Roman"/>
          <w:sz w:val="24"/>
          <w:szCs w:val="24"/>
        </w:rPr>
        <w:t xml:space="preserve"> </w:t>
      </w:r>
      <w:r w:rsidR="00650A2E"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{"citationItems":[{"id":"ITEM-1","itemData":{"DOI":"10.29244/jtcs.3.1.1-6","ISSN":"2356-0169","abstract":"The yield of agriculture crops tends to be decreasing in many parts of world including in Indonesian farmers’ land.  One of the causes of the decreased yields is the reduction of organic matter in the soil. Peanut is one of the important crops in southeast Sulawesi and is usually intercropped with maize. However, the yield of peanut and maize crops were low as they were grown in marginal lands that have low nutrient contents, low CEC, high acidity, and low organic matter. The objectives of this paper were to summarize the results of our studies on the use of bio fertilizer bokashi plus fertilizer to improve peanut yields grown in marginal soil in southeast Sulawesi, Indonesia. The study also examined the agronomical performance of several local peanut varieties which had high adaptability to the local conditions and marginal lands. The results of this study demonstrated that application of mulch and bokashi increased maize and peanut production, seed dry weight and 100-seed weight. This practice has potentials to be applied in other agricultural lands of southeast Sulawesi region with similar soil and climatic condition to increase peanut yield, and promote the sustainable agriculture production of the region.","author":[{"dropping-particle":"","family":"Karimuna","given":"La","non-dropping-particle":"","parse-names":false,"suffix":""},{"dropping-particle":"","family":"Rahni","given":"Nini Mila","non-dropping-particle":"","parse-names":false,"suffix":""},{"dropping-particle":"","family":"Boer","given":"Dirvamena","non-dropping-particle":"","parse-names":false,"suffix":""}],"container-title":"Journal of Tropical Crop Science","id":"ITEM-1","issue":"1","issued":{"date-parts":[["2016"]]},"page":"1-6","title":"The Use of Bokashi to Enhance Agricultural Productivity of Marginal Soils in Southeast Sulawesi, Indonesia.","type":"article-journal","volume":"3"},"uris":["http://www.mendeley.com/documents/?uuid=a17538f2-77fd-46b8-ab36-db64d9acbc9f"]}],"mendeley":{"formattedCitation":"(Karimuna et al., 2016)","plainTextFormattedCitation":"(Karimuna et al., 2016)","previouslyFormattedCitation":"(Karimuna, Rahni, and Boer 2016)"},"properties":{"noteIndex":0},"schema":"https://github.com/citation-style-language/schema/raw/master/csl-citation.json"}</w:instrText>
      </w:r>
      <w:r w:rsidR="00650A2E"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(Karimuna et al., 2016)</w:t>
      </w:r>
      <w:r w:rsidR="00650A2E" w:rsidRPr="00C5457C">
        <w:rPr>
          <w:rFonts w:ascii="Times New Roman" w:hAnsi="Times New Roman" w:cs="Times New Roman"/>
          <w:sz w:val="24"/>
          <w:szCs w:val="24"/>
        </w:rPr>
        <w:fldChar w:fldCharType="end"/>
      </w:r>
      <w:r w:rsidR="00650A2E" w:rsidRPr="00C5457C">
        <w:rPr>
          <w:rFonts w:ascii="Times New Roman" w:hAnsi="Times New Roman" w:cs="Times New Roman"/>
          <w:sz w:val="24"/>
          <w:szCs w:val="24"/>
        </w:rPr>
        <w:t xml:space="preserve">. </w:t>
      </w:r>
      <w:r w:rsidR="00440040" w:rsidRPr="00C5457C">
        <w:rPr>
          <w:rFonts w:ascii="Times New Roman" w:hAnsi="Times New Roman" w:cs="Times New Roman"/>
          <w:sz w:val="24"/>
          <w:szCs w:val="24"/>
        </w:rPr>
        <w:t>D’après</w:t>
      </w:r>
      <w:r w:rsidR="00353F4C" w:rsidRPr="00C5457C">
        <w:rPr>
          <w:rFonts w:ascii="Times New Roman" w:hAnsi="Times New Roman" w:cs="Times New Roman"/>
          <w:sz w:val="24"/>
          <w:szCs w:val="24"/>
        </w:rPr>
        <w:t xml:space="preserve"> </w:t>
      </w:r>
      <w:r w:rsidR="00440040"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{"citationItems":[{"id":"ITEM-1","itemData":{"DOI":"10.15243/jdmlm.2015.031.433","abstract":"Earthworms have the ability in modifying soil biological quality for plant growth. Their ability is mostly depending on its ecological groups. The objectives of the research were to study the influence of two ecological groups of earthworms on soil microbial activity and soil micro-fauna abundance, and to know the potential of soil modified by earthworms as plant growth medium. Eight combination of individual earthworm from epigeic and endogeic groups was applied into pot that was filled by soil from two years of nickel stockpile and each treatment was repeated by five times. The experiment was following complete randomize design procedure. After sixteen days of research, the soil sample from each pot was analyzed for soil FDA activity, number of flagellate and nematodes. Furthermore, one kg of the soil from each pot was taken and every pot was grown by Paraserianthes falcataria seedling with the age of five days and continued its growth for two months. The results indicated that the soil FDA activity, number of flagellate and nematodes among treatments were significantly differences. In addition, it indicated the significant differences in dry weight of shoot, root, total plant, and root to shoot ratio of P. falcataria seedlings. It concluded that the combination of an individual number of epigeic and endogeic earthworms improved soil biological quality of stock pile, amd most suitable for seedlings growth in nickel mining area. Keywords:","author":[{"dropping-particle":"","family":"Yuliana","given":"A.I.","non-dropping-particle":"","parse-names":false,"suffix":""},{"dropping-particle":"","family":"Sumarni","given":"T.","non-dropping-particle":"","parse-names":false,"suffix":""},{"dropping-particle":"","family":"Faculty","given":"T. Islami","non-dropping-particle":"","parse-names":false,"suffix":""}],"container-title":"Degraded Andmining Landsmanagement","id":"ITEM-1","issue":"3","issued":{"date-parts":[["2015"]]},"page":"361-367","title":"Application of bokashi and sunn hemp (Crotalaria juncea L.) to improve inorganic fertilizer efficiency on maize (Zea mays L.)","type":"article-journal","volume":"2"},"uris":["http://www.mendeley.com/documents/?uuid=bc0e5868-0478-448c-99c6-e90a8dd7f5c1"]},{"id":"ITEM-2","itemData":{"DOI":"10.29244/jtcs.3.1.1-6","ISSN":"2356-0169","abstract":"The yield of agriculture crops tends to be decreasing in many parts of world including in Indonesian farmers’ land.  One of the causes of the decreased yields is the reduction of organic matter in the soil. Peanut is one of the important crops in southeast Sulawesi and is usually intercropped with maize. However, the yield of peanut and maize crops were low as they were grown in marginal lands that have low nutrient contents, low CEC, high acidity, and low organic matter. The objectives of this paper were to summarize the results of our studies on the use of bio fertilizer bokashi plus fertilizer to improve peanut yields grown in marginal soil in southeast Sulawesi, Indonesia. The study also examined the agronomical performance of several local peanut varieties which had high adaptability to the local conditions and marginal lands. The results of this study demonstrated that application of mulch and bokashi increased maize and peanut production, seed dry weight and 100-seed weight. This practice has potentials to be applied in other agricultural lands of southeast Sulawesi region with similar soil and climatic condition to increase peanut yield, and promote the sustainable agriculture production of the region.","author":[{"dropping-particle":"","family":"Karimuna","given":"La","non-dropping-particle":"","parse-names":false,"suffix":""},{"dropping-particle":"","family":"Rahni","given":"Nini Mila","non-dropping-particle":"","parse-names":false,"suffix":""},{"dropping-particle":"","family":"Boer","given":"Dirvamena","non-dropping-particle":"","parse-names":false,"suffix":""}],"container-title":"Journal of Tropical Crop Science","id":"ITEM-2","issue":"1","issued":{"date-parts":[["2016"]]},"page":"1-6","title":"The Use of Bokashi to Enhance Agricultural Productivity of Marginal Soils in Southeast Sulawesi, Indonesia.","type":"article-journal","volume":"3"},"uris":["http://www.mendeley.com/documents/?uuid=a17538f2-77fd-46b8-ab36-db64d9acbc9f"]}],"mendeley":{"formattedCitation":"(Karimuna et al., 2016; Yuliana et al., 2015)","manualFormatting":"Yuliana et al., (2015)","plainTextFormattedCitation":"(Karimuna et al., 2016; Yuliana et al., 2015)","previouslyFormattedCitation":"(Karimuna et al. 2016; Yuliana, Sumarni, and Faculty 2015)"},"properties":{"noteIndex":0},"schema":"https://github.com/citation-style-language/schema/raw/master/csl-citation.json"}</w:instrText>
      </w:r>
      <w:r w:rsidR="00440040" w:rsidRPr="00C5457C">
        <w:rPr>
          <w:rFonts w:ascii="Times New Roman" w:hAnsi="Times New Roman" w:cs="Times New Roman"/>
          <w:sz w:val="24"/>
          <w:szCs w:val="24"/>
        </w:rPr>
        <w:fldChar w:fldCharType="separate"/>
      </w:r>
      <w:r w:rsidR="00440040" w:rsidRPr="00C5457C">
        <w:rPr>
          <w:rFonts w:ascii="Times New Roman" w:hAnsi="Times New Roman" w:cs="Times New Roman"/>
          <w:noProof/>
          <w:sz w:val="24"/>
          <w:szCs w:val="24"/>
        </w:rPr>
        <w:t>Yuliana et al., (2015)</w:t>
      </w:r>
      <w:r w:rsidR="00440040" w:rsidRPr="00C5457C">
        <w:rPr>
          <w:rFonts w:ascii="Times New Roman" w:hAnsi="Times New Roman" w:cs="Times New Roman"/>
          <w:sz w:val="24"/>
          <w:szCs w:val="24"/>
        </w:rPr>
        <w:fldChar w:fldCharType="end"/>
      </w:r>
      <w:r w:rsidR="00D61F4C" w:rsidRPr="00C5457C">
        <w:rPr>
          <w:rFonts w:ascii="Times New Roman" w:hAnsi="Times New Roman" w:cs="Times New Roman"/>
          <w:sz w:val="24"/>
          <w:szCs w:val="24"/>
        </w:rPr>
        <w:t xml:space="preserve"> </w:t>
      </w:r>
      <w:r w:rsidR="00353F4C" w:rsidRPr="00C5457C">
        <w:rPr>
          <w:rFonts w:ascii="Times New Roman" w:hAnsi="Times New Roman" w:cs="Times New Roman"/>
          <w:sz w:val="24"/>
          <w:szCs w:val="24"/>
        </w:rPr>
        <w:t xml:space="preserve">il </w:t>
      </w:r>
      <w:r w:rsidR="00650A2E" w:rsidRPr="00C5457C">
        <w:rPr>
          <w:rFonts w:ascii="Times New Roman" w:hAnsi="Times New Roman" w:cs="Times New Roman"/>
          <w:sz w:val="24"/>
          <w:szCs w:val="24"/>
        </w:rPr>
        <w:t xml:space="preserve">a aussi entraîné une augmentation de la production, du poids sec des graines et du poids de 100 graines de maïs, tout en diminuant de près de 50 % le besoin d'engrais inorganiques dans les cultures de maïs. </w:t>
      </w:r>
      <w:r w:rsidR="00212A21" w:rsidRPr="00C5457C">
        <w:rPr>
          <w:rFonts w:ascii="Times New Roman" w:hAnsi="Times New Roman" w:cs="Times New Roman"/>
          <w:sz w:val="24"/>
          <w:szCs w:val="24"/>
        </w:rPr>
        <w:t xml:space="preserve">Le </w:t>
      </w:r>
      <w:proofErr w:type="spellStart"/>
      <w:r w:rsidR="00212A21" w:rsidRPr="00C5457C">
        <w:rPr>
          <w:rFonts w:ascii="Times New Roman" w:hAnsi="Times New Roman" w:cs="Times New Roman"/>
          <w:sz w:val="24"/>
          <w:szCs w:val="24"/>
        </w:rPr>
        <w:t>bokashi</w:t>
      </w:r>
      <w:proofErr w:type="spellEnd"/>
      <w:r w:rsidR="00212A21" w:rsidRPr="00C5457C">
        <w:rPr>
          <w:rFonts w:ascii="Times New Roman" w:hAnsi="Times New Roman" w:cs="Times New Roman"/>
          <w:sz w:val="24"/>
          <w:szCs w:val="24"/>
        </w:rPr>
        <w:t xml:space="preserve"> favorise</w:t>
      </w:r>
      <w:r w:rsidR="009B7BB4" w:rsidRPr="00C5457C">
        <w:rPr>
          <w:rFonts w:ascii="Times New Roman" w:hAnsi="Times New Roman" w:cs="Times New Roman"/>
          <w:sz w:val="24"/>
          <w:szCs w:val="24"/>
        </w:rPr>
        <w:t xml:space="preserve"> </w:t>
      </w:r>
      <w:r w:rsidR="00353F4C" w:rsidRPr="00C5457C">
        <w:rPr>
          <w:rFonts w:ascii="Times New Roman" w:hAnsi="Times New Roman" w:cs="Times New Roman"/>
          <w:sz w:val="24"/>
          <w:szCs w:val="24"/>
        </w:rPr>
        <w:t>la population de micro-organismes bénéfiques</w:t>
      </w:r>
      <w:r w:rsidR="00212A21" w:rsidRPr="00C5457C">
        <w:rPr>
          <w:rFonts w:ascii="Times New Roman" w:hAnsi="Times New Roman" w:cs="Times New Roman"/>
          <w:sz w:val="24"/>
          <w:szCs w:val="24"/>
        </w:rPr>
        <w:t xml:space="preserve"> pour le sol  </w:t>
      </w:r>
      <w:r w:rsidR="000B4051" w:rsidRPr="00C5457C">
        <w:rPr>
          <w:rFonts w:ascii="Times New Roman" w:hAnsi="Times New Roman" w:cs="Times New Roman"/>
          <w:sz w:val="24"/>
          <w:szCs w:val="24"/>
        </w:rPr>
        <w:t xml:space="preserve">telles </w:t>
      </w:r>
      <w:r w:rsidR="00212A21" w:rsidRPr="00C5457C">
        <w:rPr>
          <w:rFonts w:ascii="Times New Roman" w:hAnsi="Times New Roman" w:cs="Times New Roman"/>
          <w:sz w:val="24"/>
          <w:szCs w:val="24"/>
        </w:rPr>
        <w:t xml:space="preserve">que les bactéries fixant l'azote et les bactéries solubilisant le phosphate </w:t>
      </w:r>
      <w:r w:rsidR="00212A21"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{"citationItems":[{"id":"ITEM-1","itemData":{"ISSN":"1835-2693","abstract":"The use of NPK fertilizer and bokashi composting, which is a fermented organic matter combined with microbial stock, have been reported as potential agricultural practices to enhance the farming land and crop production. The aim of this research is to understand the type of bokashi fertilizer and the correct dosage of NPK inorganic fertilizer in improving entisol soil quality and shallot yield in the dry land. The research used the split-plot design, which was divided into two factors. The first factor of the main plot was the bokashi type consisting of two levels: 3 t ha-1 of bokashi compost of Gliricidia sp. tree leaves (B1); and bokashi cow manure 3 t ha-1 (B2). The second factor as the subplot was the NPK inorganic fertilizer dose which were consisted of four levels: without fertilizers (K0), NPK 100 kg ha-1 (K1), NPK 200 kg ha-1 (K2), and NPK 300 kg ha-1(K3). By combination of these two factors 8 combined treatments with 3 replications totally 24 units were obtained. The result of the research showed that application of 3 t ha-1 bokashi cow manure (B2) coupled with NPK inorganic fertilizer at 200 kg ha-1 (K2) caused a decrease in evaporation of its land and soil temperature, while increase shallot bulb yield compared with other treatments. The analysis of soil and soil microbes showed an increase in soil fertility by elevated levels of C-organic from 0.66 % to 3.28 %, N-fixing bacteria from 27 x 105 CFU ml-1 to 47 x106 CFU ml-1 and phosphate solubilizing bacteria from 20 x103 CFU ml-1 to 90 x103 CFU ml-1. The shallot bulb yield increased from 4.79 t ha-1 to 11.74 t ha-1.","author":[{"dropping-particle":"","family":"Lasmini","given":"Sri Anjar","non-dropping-particle":"","parse-names":false,"suffix":""},{"dropping-particle":"","family":"Nasir","given":"Burhanuddin","non-dropping-particle":"","parse-names":false,"suffix":""},{"dropping-particle":"","family":"Hayati","given":"Nur","non-dropping-particle":"","parse-names":false,"suffix":""},{"dropping-particle":"","family":"Edy","given":"Nur","non-dropping-particle":"","parse-names":false,"suffix":""}],"container-title":"Australian Journal of Crop Science","id":"ITEM-1","issue":"11","issued":{"date-parts":[["2018","11","1"]]},"language":"English","page":"1743-1749","publisher":"Southern Cross Publishers","publisher-place":"Department of Horticulture, University of Tadulako, Palu - 94117, Indonesia","title":"Improvement of soil quality using bokashi composting and NPK fertilizer to increase shallot yield on dry land","type":"article-journal","volume":"12"},"uris":["http://www.mendeley.com/documents/?uuid=c7a6d854-39b2-455d-a507-a99964a5bf60"]}],"mendeley":{"formattedCitation":"(Lasmini et al., 2018)","plainTextFormattedCitation":"(Lasmini et al., 2018)","previouslyFormattedCitation":"(Lasmini et al. 2018)"},"properties":{"noteIndex":0},"schema":"https://github.com/citation-style-language/schema/raw/master/csl-citation.json"}</w:instrText>
      </w:r>
      <w:r w:rsidR="00212A21"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(Lasmini et al., 2018)</w:t>
      </w:r>
      <w:r w:rsidR="00212A21" w:rsidRPr="00C5457C">
        <w:rPr>
          <w:rFonts w:ascii="Times New Roman" w:hAnsi="Times New Roman" w:cs="Times New Roman"/>
          <w:sz w:val="24"/>
          <w:szCs w:val="24"/>
        </w:rPr>
        <w:fldChar w:fldCharType="end"/>
      </w:r>
      <w:r w:rsidR="00353F4C" w:rsidRPr="00C5457C">
        <w:rPr>
          <w:rFonts w:ascii="Times New Roman" w:hAnsi="Times New Roman" w:cs="Times New Roman"/>
          <w:sz w:val="24"/>
          <w:szCs w:val="24"/>
        </w:rPr>
        <w:t>.</w:t>
      </w:r>
    </w:p>
    <w:p w14:paraId="12702A75" w14:textId="45179532" w:rsidR="00035446" w:rsidRPr="00C5457C" w:rsidRDefault="00214A1F"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Le compost biochar est une substance riche en carbone qui est produite lors de la pyrolyse de la biomasse dans des conditions de haute température. Malgré sa similitude avec d'autres </w:t>
      </w:r>
      <w:r w:rsidRPr="00C5457C">
        <w:rPr>
          <w:rFonts w:ascii="Times New Roman" w:hAnsi="Times New Roman" w:cs="Times New Roman"/>
          <w:sz w:val="24"/>
          <w:szCs w:val="24"/>
        </w:rPr>
        <w:lastRenderedPageBreak/>
        <w:t>charbons, le biochar se caractérise par son incorporation intentionnelle dans le sol pour des utilisations environnementales</w:t>
      </w:r>
      <w:r w:rsidR="009E4144" w:rsidRPr="00C5457C">
        <w:rPr>
          <w:rFonts w:ascii="Times New Roman" w:hAnsi="Times New Roman" w:cs="Times New Roman"/>
          <w:sz w:val="24"/>
          <w:szCs w:val="24"/>
        </w:rPr>
        <w:t xml:space="preserve"> </w:t>
      </w:r>
      <w:r w:rsidR="009E4144"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{"citationItems":[{"id":"ITEM-1","itemData":{"DOI":"10.1111/gcbb.12037","ISSN":"17571707","abstract":"Biochar is a carbon-rich coproduct resulting from pyrolyzing biomass. When applied to the soil it resists decomposition, effectively sequestering the applied carbon and mitigating anthropogenic CO2 emissions. Other promoted benefits of biochar application to soil include increased plant productivity and reduced nutrient leaching. However, the effects of biochar are variable and it remains unclear if recent enthusiasm can be justified. We evaluate ecosystem responses to biochar application with a meta-analysis of 371 independent studies culled from 114 published manuscripts. We find that despite variability introduced by soil and climate, the addition of biochar to soils resulted, on average, in increased aboveground productivity, crop yield, soil microbial biomass, rhizobia nodulation, plant K tissue concentration, soil phosphorus (P), soil potassium (K), total soil nitrogen (N), and total soil carbon (C) compared with control conditions. Soil pH also tended to increase, becoming less acidic, following the addition of biochar. Variables that showed no significant mean response to biochar included belowground productivity, the ratio of aboveground: belowground biomass, mycorrhizal colonization of roots, plant tissue N, and soil P concentration, and soil inorganic N. Additional analyses found no detectable relationship between the amount of biochar added and aboveground productivity. Our results provide the first quantitative review of the effects of biochar on multiple ecosystem functions and the central tendencies suggest that biochar holds promise in being a win-win-win solution to energy, carbon storage, and ecosystem function. However, biochar's impacts on a fourth component, the downstream nontarget environments, remain unknown and present a critical research gap. © 2012 Blackwell Publishing Ltd.","author":[{"dropping-particle":"","family":"Biederman","given":"Lori A.","non-dropping-particle":"","parse-names":false,"suffix":""},{"dropping-particle":"","family":"Stanley Harpole","given":"W.","non-dropping-particle":"","parse-names":false,"suffix":""}],"container-title":"GCB Bioenergy","id":"ITEM-1","issue":"2","issued":{"date-parts":[["2013"]]},"page":"202-214","title":"Biochar and its effects on plant productivity and nutrient cycling: A meta-analysis","type":"article-journal","volume":"5"},"uris":["http://www.mendeley.com/documents/?uuid=1055d670-7adb-45bb-9f88-e2a0d736319d"]}],"mendeley":{"formattedCitation":"(Biederman &amp; Stanley Harpole, 2013)","plainTextFormattedCitation":"(Biederman &amp; Stanley Harpole, 2013)","previouslyFormattedCitation":"(Biederman and Stanley Harpole 2013)"},"properties":{"noteIndex":0},"schema":"https://github.com/citation-style-language/schema/raw/master/csl-citation.json"}</w:instrText>
      </w:r>
      <w:r w:rsidR="009E4144"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(Biederman &amp; Stanley Harpole, 2013)</w:t>
      </w:r>
      <w:r w:rsidR="009E4144" w:rsidRPr="00C5457C">
        <w:rPr>
          <w:rFonts w:ascii="Times New Roman" w:hAnsi="Times New Roman" w:cs="Times New Roman"/>
          <w:sz w:val="24"/>
          <w:szCs w:val="24"/>
        </w:rPr>
        <w:fldChar w:fldCharType="end"/>
      </w:r>
      <w:r w:rsidR="009E4144" w:rsidRPr="00C5457C">
        <w:rPr>
          <w:rFonts w:ascii="Times New Roman" w:hAnsi="Times New Roman" w:cs="Times New Roman"/>
          <w:sz w:val="24"/>
          <w:szCs w:val="24"/>
        </w:rPr>
        <w:t xml:space="preserve">. </w:t>
      </w:r>
      <w:r w:rsidR="00F372A1" w:rsidRPr="00C5457C">
        <w:rPr>
          <w:rFonts w:ascii="Times New Roman" w:hAnsi="Times New Roman" w:cs="Times New Roman"/>
          <w:sz w:val="24"/>
          <w:szCs w:val="24"/>
        </w:rPr>
        <w:t xml:space="preserve">En utilisant une méta-analyse, </w:t>
      </w:r>
      <w:proofErr w:type="spellStart"/>
      <w:r w:rsidR="00F372A1" w:rsidRPr="00C5457C">
        <w:rPr>
          <w:rFonts w:ascii="Times New Roman" w:hAnsi="Times New Roman" w:cs="Times New Roman"/>
          <w:sz w:val="24"/>
          <w:szCs w:val="24"/>
        </w:rPr>
        <w:t>Jeffery</w:t>
      </w:r>
      <w:proofErr w:type="spellEnd"/>
      <w:r w:rsidR="00F372A1" w:rsidRPr="00C5457C">
        <w:rPr>
          <w:rFonts w:ascii="Times New Roman" w:hAnsi="Times New Roman" w:cs="Times New Roman"/>
          <w:sz w:val="24"/>
          <w:szCs w:val="24"/>
        </w:rPr>
        <w:t xml:space="preserve"> et ses collègues (2017) ont analysé les données concernant </w:t>
      </w:r>
      <w:r w:rsidR="00A0691A" w:rsidRPr="00C5457C">
        <w:rPr>
          <w:rFonts w:ascii="Times New Roman" w:hAnsi="Times New Roman" w:cs="Times New Roman"/>
          <w:sz w:val="24"/>
          <w:szCs w:val="24"/>
        </w:rPr>
        <w:t>l’ajout du biochar au sol</w:t>
      </w:r>
      <w:r w:rsidR="00F372A1" w:rsidRPr="00C5457C">
        <w:rPr>
          <w:rFonts w:ascii="Times New Roman" w:hAnsi="Times New Roman" w:cs="Times New Roman"/>
          <w:sz w:val="24"/>
          <w:szCs w:val="24"/>
        </w:rPr>
        <w:t xml:space="preserve"> et ont observé une augmentation moyenne de 25 % de la productivité des cultures dans les régions tropicale </w:t>
      </w:r>
      <w:r w:rsidR="00F372A1"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{"citationItems":[{"id":"ITEM-1","itemData":{"DOI":"10.1016/j.envpol.2017.10.048","ISSN":"18736424","PMID":"29102886","abstract":"In many water-scarce countries, waste water is used for irrigation which poses a health risk to farmers and consumers. At the same time, it delivers nutrients to the farming systems. In this study, we tested the hypotheses that biochar can be used as a filter medium for waste water treatment to reduce pathogen loads. At the same time, the biochar is becoming enriched with nutrients and therefore can act as a fertilizer for soil amendment. We used biochar as a filter medium for the filtration of raw waste water and compared the agronomic effects of this “filterchar” (FC) and the untreated biochar (BC) in a greenhouse pot trial on spring wheat biomass production on an acidic sandy soil from Niger. The biochar filter showed the same removal of pathogens as a common sand filter (1.4 log units on average). We did not observe a nutrient accumulation in FC compared to untreated BC. Instead, P, Mg and K were reduced during filtration while N content remained unchanged. Nevertheless, higher biomass (Triticum L. Spp.) production in BC (+72%) and FC (+37%) treatments (20 t ha−1), compared with the unamended control, were found. There were no significant differences in aboveground biomass production between BC and FC. Soil available P content was increased by BC (+106%) and FC (+52%) application. Besides, mineral nitrogen content was reduced in BC treated soil and to a lesser extent when FC was used. This may be explained by reduced sorption affinity for mineral nitrogen compounds on FC surfaces. Although the nutrients provided by FC decreased, due to leaching in the filter, it still yielded higher biomass than the unamended control.","author":[{"dropping-particle":"","family":"Werner","given":"Steffen","non-dropping-particle":"","parse-names":false,"suffix":""},{"dropping-particle":"","family":"Kätzl","given":"Korbinian","non-dropping-particle":"","parse-names":false,"suffix":""},{"dropping-particle":"","family":"Wichern","given":"Marc","non-dropping-particle":"","parse-names":false,"suffix":""},{"dropping-particle":"","family":"Buerkert","given":"Andreas","non-dropping-particle":"","parse-names":false,"suffix":""},{"dropping-particle":"","family":"Steiner","given":"Christoph","non-dropping-particle":"","parse-names":false,"suffix":""},{"dropping-particle":"","family":"Marschner","given":"Bernd","non-dropping-particle":"","parse-names":false,"suffix":""}],"container-title":"Environmental Pollution","id":"ITEM-1","issued":{"date-parts":[["2018"]]},"page":"561-568","title":"Agronomic benefits of biochar as a soil amendment after its use as waste water filtration medium","type":"article-journal","volume":"233"},"uris":["http://www.mendeley.com/documents/?uuid=ce31b178-c6e8-4072-88b4-2919d60a6dba"]}],"mendeley":{"formattedCitation":"(Werner et al., 2018)","plainTextFormattedCitation":"(Werner et al., 2018)","previouslyFormattedCitation":"(Werner et al. 2018)"},"properties":{"noteIndex":0},"schema":"https://github.com/citation-style-language/schema/raw/master/csl-citation.json"}</w:instrText>
      </w:r>
      <w:r w:rsidR="00F372A1"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(Werner et al., 2018)</w:t>
      </w:r>
      <w:r w:rsidR="00F372A1" w:rsidRPr="00C5457C">
        <w:rPr>
          <w:rFonts w:ascii="Times New Roman" w:hAnsi="Times New Roman" w:cs="Times New Roman"/>
          <w:sz w:val="24"/>
          <w:szCs w:val="24"/>
        </w:rPr>
        <w:fldChar w:fldCharType="end"/>
      </w:r>
      <w:r w:rsidR="00F372A1" w:rsidRPr="00C5457C">
        <w:rPr>
          <w:rFonts w:ascii="Times New Roman" w:hAnsi="Times New Roman" w:cs="Times New Roman"/>
          <w:sz w:val="24"/>
          <w:szCs w:val="24"/>
        </w:rPr>
        <w:t>.</w:t>
      </w:r>
      <w:r w:rsidR="00A0691A" w:rsidRPr="00C5457C">
        <w:rPr>
          <w:rFonts w:ascii="Times New Roman" w:hAnsi="Times New Roman" w:cs="Times New Roman"/>
          <w:sz w:val="24"/>
          <w:szCs w:val="24"/>
        </w:rPr>
        <w:t xml:space="preserve"> Marris (2006) et Lehmann (2007b) indique</w:t>
      </w:r>
      <w:r w:rsidR="003B0FAB" w:rsidRPr="00C5457C">
        <w:rPr>
          <w:rFonts w:ascii="Times New Roman" w:hAnsi="Times New Roman" w:cs="Times New Roman"/>
          <w:sz w:val="24"/>
          <w:szCs w:val="24"/>
        </w:rPr>
        <w:t>nt</w:t>
      </w:r>
      <w:r w:rsidR="00A0691A" w:rsidRPr="00C5457C">
        <w:rPr>
          <w:rFonts w:ascii="Times New Roman" w:hAnsi="Times New Roman" w:cs="Times New Roman"/>
          <w:sz w:val="24"/>
          <w:szCs w:val="24"/>
        </w:rPr>
        <w:t xml:space="preserve"> que l'application de biochar dans le sol permet une amélioration </w:t>
      </w:r>
      <w:r w:rsidR="009B7BB4" w:rsidRPr="00C5457C">
        <w:rPr>
          <w:rFonts w:ascii="Times New Roman" w:hAnsi="Times New Roman" w:cs="Times New Roman"/>
          <w:sz w:val="24"/>
          <w:szCs w:val="24"/>
        </w:rPr>
        <w:t xml:space="preserve">de </w:t>
      </w:r>
      <w:r w:rsidR="00A0691A" w:rsidRPr="00C5457C">
        <w:rPr>
          <w:rFonts w:ascii="Times New Roman" w:hAnsi="Times New Roman" w:cs="Times New Roman"/>
          <w:sz w:val="24"/>
          <w:szCs w:val="24"/>
        </w:rPr>
        <w:t>la séquestration à long terme du carbone</w:t>
      </w:r>
      <w:r w:rsidR="003B0FAB" w:rsidRPr="00C5457C">
        <w:rPr>
          <w:rFonts w:ascii="Times New Roman" w:hAnsi="Times New Roman" w:cs="Times New Roman"/>
          <w:sz w:val="24"/>
          <w:szCs w:val="24"/>
        </w:rPr>
        <w:t xml:space="preserve"> </w:t>
      </w:r>
      <w:r w:rsidR="003B0FAB"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{"citationItems":[{"id":"ITEM-1","itemData":{"DOI":"10.1111/gcbb.12037","ISSN":"17571707","abstract":"Biochar is a carbon-rich coproduct resulting from pyrolyzing biomass. When applied to the soil it resists decomposition, effectively sequestering the applied carbon and mitigating anthropogenic CO2 emissions. Other promoted benefits of biochar application to soil include increased plant productivity and reduced nutrient leaching. However, the effects of biochar are variable and it remains unclear if recent enthusiasm can be justified. We evaluate ecosystem responses to biochar application with a meta-analysis of 371 independent studies culled from 114 published manuscripts. We find that despite variability introduced by soil and climate, the addition of biochar to soils resulted, on average, in increased aboveground productivity, crop yield, soil microbial biomass, rhizobia nodulation, plant K tissue concentration, soil phosphorus (P), soil potassium (K), total soil nitrogen (N), and total soil carbon (C) compared with control conditions. Soil pH also tended to increase, becoming less acidic, following the addition of biochar. Variables that showed no significant mean response to biochar included belowground productivity, the ratio of aboveground: belowground biomass, mycorrhizal colonization of roots, plant tissue N, and soil P concentration, and soil inorganic N. Additional analyses found no detectable relationship between the amount of biochar added and aboveground productivity. Our results provide the first quantitative review of the effects of biochar on multiple ecosystem functions and the central tendencies suggest that biochar holds promise in being a win-win-win solution to energy, carbon storage, and ecosystem function. However, biochar's impacts on a fourth component, the downstream nontarget environments, remain unknown and present a critical research gap. © 2012 Blackwell Publishing Ltd.","author":[{"dropping-particle":"","family":"Biederman","given":"Lori A.","non-dropping-particle":"","parse-names":false,"suffix":""},{"dropping-particle":"","family":"Stanley Harpole","given":"W.","non-dropping-particle":"","parse-names":false,"suffix":""}],"container-title":"GCB Bioenergy","id":"ITEM-1","issue":"2","issued":{"date-parts":[["2013"]]},"page":"202-214","title":"Biochar and its effects on plant productivity and nutrient cycling: A meta-analysis","type":"article-journal","volume":"5"},"uris":["http://www.mendeley.com/documents/?uuid=1055d670-7adb-45bb-9f88-e2a0d736319d"]}],"mendeley":{"formattedCitation":"(Biederman &amp; Stanley Harpole, 2013)","plainTextFormattedCitation":"(Biederman &amp; Stanley Harpole, 2013)","previouslyFormattedCitation":"(Biederman and Stanley Harpole 2013)"},"properties":{"noteIndex":0},"schema":"https://github.com/citation-style-language/schema/raw/master/csl-citation.json"}</w:instrText>
      </w:r>
      <w:r w:rsidR="003B0FAB"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(Biederman &amp; Stanley Harpole, 2013)</w:t>
      </w:r>
      <w:r w:rsidR="003B0FAB" w:rsidRPr="00C5457C">
        <w:rPr>
          <w:rFonts w:ascii="Times New Roman" w:hAnsi="Times New Roman" w:cs="Times New Roman"/>
          <w:sz w:val="24"/>
          <w:szCs w:val="24"/>
        </w:rPr>
        <w:fldChar w:fldCharType="end"/>
      </w:r>
      <w:r w:rsidR="003B0FAB" w:rsidRPr="00C5457C">
        <w:rPr>
          <w:rFonts w:ascii="Times New Roman" w:hAnsi="Times New Roman" w:cs="Times New Roman"/>
          <w:sz w:val="24"/>
          <w:szCs w:val="24"/>
        </w:rPr>
        <w:t>.</w:t>
      </w:r>
    </w:p>
    <w:p w14:paraId="15C42F89" w14:textId="20FE6A9D" w:rsidR="004B5DEB" w:rsidRPr="00C5457C" w:rsidRDefault="003D25E6" w:rsidP="00C5457C">
      <w:pPr>
        <w:pStyle w:val="Titre3"/>
        <w:spacing w:line="360" w:lineRule="auto"/>
        <w:jc w:val="both"/>
        <w:rPr>
          <w:rFonts w:ascii="Times New Roman" w:hAnsi="Times New Roman" w:cs="Times New Roman"/>
        </w:rPr>
      </w:pPr>
      <w:r w:rsidRPr="00C5457C">
        <w:rPr>
          <w:rFonts w:ascii="Times New Roman" w:hAnsi="Times New Roman" w:cs="Times New Roman"/>
        </w:rPr>
        <w:t>Table</w:t>
      </w:r>
      <w:r w:rsidR="00922C84" w:rsidRPr="00C5457C">
        <w:rPr>
          <w:rFonts w:ascii="Times New Roman" w:hAnsi="Times New Roman" w:cs="Times New Roman"/>
        </w:rPr>
        <w:t>a</w:t>
      </w:r>
      <w:r w:rsidRPr="00C5457C">
        <w:rPr>
          <w:rFonts w:ascii="Times New Roman" w:hAnsi="Times New Roman" w:cs="Times New Roman"/>
        </w:rPr>
        <w:t>u synoptique</w:t>
      </w:r>
      <w:r w:rsidR="00BE0C1B" w:rsidRPr="00C5457C">
        <w:rPr>
          <w:rFonts w:ascii="Times New Roman" w:hAnsi="Times New Roman" w:cs="Times New Roman"/>
        </w:rPr>
        <w:t xml:space="preserve"> </w:t>
      </w:r>
    </w:p>
    <w:tbl>
      <w:tblPr>
        <w:tblW w:w="9062" w:type="dxa"/>
        <w:tblLayout w:type="fixed"/>
        <w:tblCellMar>
          <w:left w:w="70" w:type="dxa"/>
          <w:right w:w="70" w:type="dxa"/>
        </w:tblCellMar>
        <w:tblLook w:val="04A0" w:firstRow="1" w:lastRow="0" w:firstColumn="1" w:lastColumn="0" w:noHBand="0" w:noVBand="1"/>
      </w:tblPr>
      <w:tblGrid>
        <w:gridCol w:w="1294"/>
        <w:gridCol w:w="1295"/>
        <w:gridCol w:w="1294"/>
        <w:gridCol w:w="1295"/>
        <w:gridCol w:w="1294"/>
        <w:gridCol w:w="1295"/>
        <w:gridCol w:w="1295"/>
      </w:tblGrid>
      <w:tr w:rsidR="004B5DEB" w:rsidRPr="00C5457C" w14:paraId="49D8C6EB" w14:textId="7E2B0F1C" w:rsidTr="00780847">
        <w:trPr>
          <w:trHeight w:val="671"/>
        </w:trPr>
        <w:tc>
          <w:tcPr>
            <w:tcW w:w="12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0F0401" w14:textId="77777777" w:rsidR="004B5DEB" w:rsidRPr="00C5457C" w:rsidRDefault="004B5DEB" w:rsidP="00C5457C">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C5457C">
              <w:rPr>
                <w:rFonts w:ascii="Times New Roman" w:eastAsia="Times New Roman" w:hAnsi="Times New Roman" w:cs="Times New Roman"/>
                <w:b/>
                <w:bCs/>
                <w:color w:val="000000"/>
                <w:kern w:val="0"/>
                <w:sz w:val="24"/>
                <w:szCs w:val="24"/>
                <w:lang w:eastAsia="fr-FR"/>
                <w14:ligatures w14:val="none"/>
              </w:rPr>
              <w:t>Options Agroécologiques</w:t>
            </w:r>
          </w:p>
        </w:tc>
        <w:tc>
          <w:tcPr>
            <w:tcW w:w="1295" w:type="dxa"/>
            <w:tcBorders>
              <w:top w:val="single" w:sz="4" w:space="0" w:color="auto"/>
              <w:left w:val="nil"/>
              <w:bottom w:val="single" w:sz="4" w:space="0" w:color="auto"/>
              <w:right w:val="single" w:sz="4" w:space="0" w:color="auto"/>
            </w:tcBorders>
            <w:shd w:val="clear" w:color="auto" w:fill="auto"/>
            <w:vAlign w:val="center"/>
            <w:hideMark/>
          </w:tcPr>
          <w:p w14:paraId="48198A02" w14:textId="4BE4009C" w:rsidR="004B5DEB" w:rsidRPr="00C5457C" w:rsidRDefault="004B5DEB" w:rsidP="00C5457C">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C5457C">
              <w:rPr>
                <w:rFonts w:ascii="Times New Roman" w:eastAsia="Times New Roman" w:hAnsi="Times New Roman" w:cs="Times New Roman"/>
                <w:b/>
                <w:bCs/>
                <w:color w:val="000000"/>
                <w:kern w:val="0"/>
                <w:sz w:val="24"/>
                <w:szCs w:val="24"/>
                <w:lang w:eastAsia="fr-FR"/>
                <w14:ligatures w14:val="none"/>
              </w:rPr>
              <w:t>RNA</w:t>
            </w:r>
          </w:p>
        </w:tc>
        <w:tc>
          <w:tcPr>
            <w:tcW w:w="1294" w:type="dxa"/>
            <w:tcBorders>
              <w:top w:val="single" w:sz="4" w:space="0" w:color="auto"/>
              <w:left w:val="nil"/>
              <w:bottom w:val="single" w:sz="4" w:space="0" w:color="auto"/>
              <w:right w:val="single" w:sz="4" w:space="0" w:color="auto"/>
            </w:tcBorders>
            <w:shd w:val="clear" w:color="auto" w:fill="auto"/>
            <w:noWrap/>
            <w:vAlign w:val="center"/>
            <w:hideMark/>
          </w:tcPr>
          <w:p w14:paraId="16D03AEE" w14:textId="77777777" w:rsidR="004B5DEB" w:rsidRPr="00C5457C" w:rsidRDefault="004B5DEB" w:rsidP="00C5457C">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C5457C">
              <w:rPr>
                <w:rFonts w:ascii="Times New Roman" w:eastAsia="Times New Roman" w:hAnsi="Times New Roman" w:cs="Times New Roman"/>
                <w:b/>
                <w:bCs/>
                <w:color w:val="000000"/>
                <w:kern w:val="0"/>
                <w:sz w:val="24"/>
                <w:szCs w:val="24"/>
                <w:lang w:eastAsia="fr-FR"/>
                <w14:ligatures w14:val="none"/>
              </w:rPr>
              <w:t>Association de Cultures</w:t>
            </w:r>
          </w:p>
        </w:tc>
        <w:tc>
          <w:tcPr>
            <w:tcW w:w="1295" w:type="dxa"/>
            <w:tcBorders>
              <w:top w:val="single" w:sz="4" w:space="0" w:color="auto"/>
              <w:left w:val="nil"/>
              <w:bottom w:val="single" w:sz="4" w:space="0" w:color="auto"/>
              <w:right w:val="single" w:sz="4" w:space="0" w:color="auto"/>
            </w:tcBorders>
            <w:shd w:val="clear" w:color="auto" w:fill="auto"/>
            <w:vAlign w:val="center"/>
            <w:hideMark/>
          </w:tcPr>
          <w:p w14:paraId="4D718BE2" w14:textId="1DB19761" w:rsidR="004B5DEB" w:rsidRPr="00C5457C" w:rsidRDefault="004B5DEB" w:rsidP="00C5457C">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C5457C">
              <w:rPr>
                <w:rFonts w:ascii="Times New Roman" w:eastAsia="Times New Roman" w:hAnsi="Times New Roman" w:cs="Times New Roman"/>
                <w:b/>
                <w:bCs/>
                <w:color w:val="000000"/>
                <w:kern w:val="0"/>
                <w:sz w:val="24"/>
                <w:szCs w:val="24"/>
                <w:lang w:eastAsia="fr-FR"/>
                <w14:ligatures w14:val="none"/>
              </w:rPr>
              <w:t>Paillage</w:t>
            </w:r>
          </w:p>
        </w:tc>
        <w:tc>
          <w:tcPr>
            <w:tcW w:w="1294" w:type="dxa"/>
            <w:tcBorders>
              <w:top w:val="single" w:sz="4" w:space="0" w:color="auto"/>
              <w:left w:val="nil"/>
              <w:bottom w:val="single" w:sz="4" w:space="0" w:color="auto"/>
              <w:right w:val="single" w:sz="4" w:space="0" w:color="auto"/>
            </w:tcBorders>
            <w:shd w:val="clear" w:color="auto" w:fill="auto"/>
            <w:noWrap/>
            <w:vAlign w:val="center"/>
            <w:hideMark/>
          </w:tcPr>
          <w:p w14:paraId="18104BA0" w14:textId="77777777" w:rsidR="004B5DEB" w:rsidRPr="00C5457C" w:rsidRDefault="004B5DEB" w:rsidP="00C5457C">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C5457C">
              <w:rPr>
                <w:rFonts w:ascii="Times New Roman" w:eastAsia="Times New Roman" w:hAnsi="Times New Roman" w:cs="Times New Roman"/>
                <w:b/>
                <w:bCs/>
                <w:color w:val="000000"/>
                <w:kern w:val="0"/>
                <w:sz w:val="24"/>
                <w:szCs w:val="24"/>
                <w:lang w:eastAsia="fr-FR"/>
                <w14:ligatures w14:val="none"/>
              </w:rPr>
              <w:t>Apport de Fumier</w:t>
            </w:r>
          </w:p>
        </w:tc>
        <w:tc>
          <w:tcPr>
            <w:tcW w:w="1295" w:type="dxa"/>
            <w:tcBorders>
              <w:top w:val="single" w:sz="4" w:space="0" w:color="auto"/>
              <w:left w:val="nil"/>
              <w:bottom w:val="single" w:sz="4" w:space="0" w:color="auto"/>
              <w:right w:val="single" w:sz="4" w:space="0" w:color="auto"/>
            </w:tcBorders>
            <w:shd w:val="clear" w:color="auto" w:fill="auto"/>
            <w:noWrap/>
            <w:vAlign w:val="center"/>
            <w:hideMark/>
          </w:tcPr>
          <w:p w14:paraId="4431E987" w14:textId="77777777" w:rsidR="004B5DEB" w:rsidRPr="00C5457C" w:rsidRDefault="004B5DEB" w:rsidP="00C5457C">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C5457C">
              <w:rPr>
                <w:rFonts w:ascii="Times New Roman" w:eastAsia="Times New Roman" w:hAnsi="Times New Roman" w:cs="Times New Roman"/>
                <w:b/>
                <w:bCs/>
                <w:color w:val="000000"/>
                <w:kern w:val="0"/>
                <w:sz w:val="24"/>
                <w:szCs w:val="24"/>
                <w:lang w:eastAsia="fr-FR"/>
                <w14:ligatures w14:val="none"/>
              </w:rPr>
              <w:t>Microdose</w:t>
            </w:r>
          </w:p>
        </w:tc>
        <w:tc>
          <w:tcPr>
            <w:tcW w:w="1295" w:type="dxa"/>
            <w:tcBorders>
              <w:top w:val="single" w:sz="4" w:space="0" w:color="auto"/>
              <w:left w:val="nil"/>
              <w:bottom w:val="single" w:sz="4" w:space="0" w:color="auto"/>
              <w:right w:val="single" w:sz="4" w:space="0" w:color="auto"/>
            </w:tcBorders>
            <w:vAlign w:val="center"/>
          </w:tcPr>
          <w:p w14:paraId="54EF9F87" w14:textId="603BC12D" w:rsidR="004B5DEB" w:rsidRPr="00C5457C" w:rsidRDefault="00EB7207" w:rsidP="00C5457C">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C5457C">
              <w:rPr>
                <w:rFonts w:ascii="Times New Roman" w:eastAsia="Times New Roman" w:hAnsi="Times New Roman" w:cs="Times New Roman"/>
                <w:b/>
                <w:bCs/>
                <w:color w:val="000000"/>
                <w:kern w:val="0"/>
                <w:sz w:val="24"/>
                <w:szCs w:val="24"/>
                <w:lang w:eastAsia="fr-FR"/>
                <w14:ligatures w14:val="none"/>
              </w:rPr>
              <w:t>Autres pratiques</w:t>
            </w:r>
          </w:p>
        </w:tc>
      </w:tr>
      <w:tr w:rsidR="004B5DEB" w:rsidRPr="00C5457C" w14:paraId="71BBB390" w14:textId="07C7EFB7" w:rsidTr="00780847">
        <w:trPr>
          <w:trHeight w:val="1254"/>
        </w:trPr>
        <w:tc>
          <w:tcPr>
            <w:tcW w:w="1294" w:type="dxa"/>
            <w:tcBorders>
              <w:top w:val="nil"/>
              <w:left w:val="single" w:sz="4" w:space="0" w:color="auto"/>
              <w:bottom w:val="single" w:sz="4" w:space="0" w:color="auto"/>
              <w:right w:val="single" w:sz="4" w:space="0" w:color="auto"/>
            </w:tcBorders>
            <w:shd w:val="clear" w:color="auto" w:fill="auto"/>
            <w:noWrap/>
            <w:vAlign w:val="center"/>
            <w:hideMark/>
          </w:tcPr>
          <w:p w14:paraId="1C540E46"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Définition</w:t>
            </w:r>
          </w:p>
        </w:tc>
        <w:tc>
          <w:tcPr>
            <w:tcW w:w="1295" w:type="dxa"/>
            <w:tcBorders>
              <w:top w:val="nil"/>
              <w:left w:val="nil"/>
              <w:bottom w:val="single" w:sz="4" w:space="0" w:color="auto"/>
              <w:right w:val="single" w:sz="4" w:space="0" w:color="auto"/>
            </w:tcBorders>
            <w:shd w:val="clear" w:color="auto" w:fill="auto"/>
            <w:noWrap/>
            <w:vAlign w:val="center"/>
            <w:hideMark/>
          </w:tcPr>
          <w:p w14:paraId="5FB4524B"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Conservation d’arbres sur terres cultivées</w:t>
            </w:r>
          </w:p>
        </w:tc>
        <w:tc>
          <w:tcPr>
            <w:tcW w:w="1294" w:type="dxa"/>
            <w:tcBorders>
              <w:top w:val="nil"/>
              <w:left w:val="nil"/>
              <w:bottom w:val="single" w:sz="4" w:space="0" w:color="auto"/>
              <w:right w:val="single" w:sz="4" w:space="0" w:color="auto"/>
            </w:tcBorders>
            <w:shd w:val="clear" w:color="auto" w:fill="auto"/>
            <w:noWrap/>
            <w:vAlign w:val="center"/>
            <w:hideMark/>
          </w:tcPr>
          <w:p w14:paraId="23C5F04C"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Culture de plusieurs espèces ensemble</w:t>
            </w:r>
          </w:p>
        </w:tc>
        <w:tc>
          <w:tcPr>
            <w:tcW w:w="1295" w:type="dxa"/>
            <w:tcBorders>
              <w:top w:val="nil"/>
              <w:left w:val="nil"/>
              <w:bottom w:val="single" w:sz="4" w:space="0" w:color="auto"/>
              <w:right w:val="single" w:sz="4" w:space="0" w:color="auto"/>
            </w:tcBorders>
            <w:shd w:val="clear" w:color="auto" w:fill="auto"/>
            <w:noWrap/>
            <w:vAlign w:val="center"/>
            <w:hideMark/>
          </w:tcPr>
          <w:p w14:paraId="7BA06068"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Couverture du sol avec des résidus de culture</w:t>
            </w:r>
          </w:p>
        </w:tc>
        <w:tc>
          <w:tcPr>
            <w:tcW w:w="1294" w:type="dxa"/>
            <w:tcBorders>
              <w:top w:val="nil"/>
              <w:left w:val="nil"/>
              <w:bottom w:val="single" w:sz="4" w:space="0" w:color="auto"/>
              <w:right w:val="single" w:sz="4" w:space="0" w:color="auto"/>
            </w:tcBorders>
            <w:shd w:val="clear" w:color="auto" w:fill="auto"/>
            <w:noWrap/>
            <w:vAlign w:val="center"/>
            <w:hideMark/>
          </w:tcPr>
          <w:p w14:paraId="529F7CF3"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Utilisation de fumier comme engrais</w:t>
            </w:r>
          </w:p>
        </w:tc>
        <w:tc>
          <w:tcPr>
            <w:tcW w:w="1295" w:type="dxa"/>
            <w:tcBorders>
              <w:top w:val="nil"/>
              <w:left w:val="nil"/>
              <w:bottom w:val="single" w:sz="4" w:space="0" w:color="auto"/>
              <w:right w:val="single" w:sz="4" w:space="0" w:color="auto"/>
            </w:tcBorders>
            <w:shd w:val="clear" w:color="auto" w:fill="auto"/>
            <w:noWrap/>
            <w:vAlign w:val="center"/>
            <w:hideMark/>
          </w:tcPr>
          <w:p w14:paraId="4B896A31"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Application localisée d’engrais en petites quantités</w:t>
            </w:r>
          </w:p>
        </w:tc>
        <w:tc>
          <w:tcPr>
            <w:tcW w:w="1295" w:type="dxa"/>
            <w:tcBorders>
              <w:top w:val="nil"/>
              <w:left w:val="nil"/>
              <w:bottom w:val="single" w:sz="4" w:space="0" w:color="auto"/>
              <w:right w:val="single" w:sz="4" w:space="0" w:color="auto"/>
            </w:tcBorders>
            <w:vAlign w:val="center"/>
          </w:tcPr>
          <w:p w14:paraId="1C43E1A6" w14:textId="191623BC" w:rsidR="004B5DEB" w:rsidRPr="00C5457C" w:rsidRDefault="00EB77A0"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r>
      <w:tr w:rsidR="004B5DEB" w:rsidRPr="00C5457C" w14:paraId="6C8D1846" w14:textId="7334708C" w:rsidTr="00780847">
        <w:trPr>
          <w:trHeight w:val="920"/>
        </w:trPr>
        <w:tc>
          <w:tcPr>
            <w:tcW w:w="1294" w:type="dxa"/>
            <w:tcBorders>
              <w:top w:val="nil"/>
              <w:left w:val="single" w:sz="4" w:space="0" w:color="auto"/>
              <w:bottom w:val="single" w:sz="4" w:space="0" w:color="auto"/>
              <w:right w:val="single" w:sz="4" w:space="0" w:color="auto"/>
            </w:tcBorders>
            <w:shd w:val="clear" w:color="auto" w:fill="auto"/>
            <w:vAlign w:val="center"/>
            <w:hideMark/>
          </w:tcPr>
          <w:p w14:paraId="48E48C61"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 xml:space="preserve">Gestion de la Fertilité </w:t>
            </w:r>
            <w:r w:rsidRPr="00C5457C">
              <w:rPr>
                <w:rFonts w:ascii="Times New Roman" w:eastAsia="Times New Roman" w:hAnsi="Times New Roman" w:cs="Times New Roman"/>
                <w:color w:val="000000"/>
                <w:kern w:val="0"/>
                <w:sz w:val="24"/>
                <w:szCs w:val="24"/>
                <w:lang w:eastAsia="fr-FR"/>
                <w14:ligatures w14:val="none"/>
              </w:rPr>
              <w:br/>
              <w:t>des sols et de l'eau</w:t>
            </w:r>
          </w:p>
        </w:tc>
        <w:tc>
          <w:tcPr>
            <w:tcW w:w="1295" w:type="dxa"/>
            <w:tcBorders>
              <w:top w:val="nil"/>
              <w:left w:val="nil"/>
              <w:bottom w:val="single" w:sz="4" w:space="0" w:color="auto"/>
              <w:right w:val="single" w:sz="4" w:space="0" w:color="auto"/>
            </w:tcBorders>
            <w:shd w:val="clear" w:color="auto" w:fill="auto"/>
            <w:noWrap/>
            <w:vAlign w:val="center"/>
            <w:hideMark/>
          </w:tcPr>
          <w:p w14:paraId="02EA42D4"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4" w:type="dxa"/>
            <w:tcBorders>
              <w:top w:val="nil"/>
              <w:left w:val="nil"/>
              <w:bottom w:val="single" w:sz="4" w:space="0" w:color="auto"/>
              <w:right w:val="single" w:sz="4" w:space="0" w:color="auto"/>
            </w:tcBorders>
            <w:shd w:val="clear" w:color="auto" w:fill="auto"/>
            <w:noWrap/>
            <w:vAlign w:val="center"/>
            <w:hideMark/>
          </w:tcPr>
          <w:p w14:paraId="70126D78" w14:textId="2B3A3B46" w:rsidR="0044277E"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r w:rsidR="0044277E"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shd w:val="clear" w:color="auto" w:fill="auto"/>
            <w:noWrap/>
            <w:vAlign w:val="center"/>
            <w:hideMark/>
          </w:tcPr>
          <w:p w14:paraId="0DFE861E"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4" w:type="dxa"/>
            <w:tcBorders>
              <w:top w:val="nil"/>
              <w:left w:val="nil"/>
              <w:bottom w:val="single" w:sz="4" w:space="0" w:color="auto"/>
              <w:right w:val="single" w:sz="4" w:space="0" w:color="auto"/>
            </w:tcBorders>
            <w:shd w:val="clear" w:color="auto" w:fill="auto"/>
            <w:noWrap/>
            <w:vAlign w:val="center"/>
            <w:hideMark/>
          </w:tcPr>
          <w:p w14:paraId="786BD821"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shd w:val="clear" w:color="auto" w:fill="auto"/>
            <w:noWrap/>
            <w:vAlign w:val="center"/>
            <w:hideMark/>
          </w:tcPr>
          <w:p w14:paraId="5C4F62C5" w14:textId="1745406E"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r w:rsidR="00035446"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vAlign w:val="center"/>
          </w:tcPr>
          <w:p w14:paraId="3DCEA37F" w14:textId="14234121" w:rsidR="004B5DEB" w:rsidRPr="00C5457C" w:rsidRDefault="004D5918"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r>
      <w:tr w:rsidR="004B5DEB" w:rsidRPr="00C5457C" w14:paraId="031F6471" w14:textId="3B6303B2" w:rsidTr="00780847">
        <w:trPr>
          <w:trHeight w:val="285"/>
        </w:trPr>
        <w:tc>
          <w:tcPr>
            <w:tcW w:w="1294" w:type="dxa"/>
            <w:tcBorders>
              <w:top w:val="nil"/>
              <w:left w:val="single" w:sz="4" w:space="0" w:color="auto"/>
              <w:bottom w:val="single" w:sz="4" w:space="0" w:color="auto"/>
              <w:right w:val="single" w:sz="4" w:space="0" w:color="auto"/>
            </w:tcBorders>
            <w:shd w:val="clear" w:color="auto" w:fill="auto"/>
            <w:noWrap/>
            <w:vAlign w:val="center"/>
            <w:hideMark/>
          </w:tcPr>
          <w:p w14:paraId="7BE9272B"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Protection des cultures</w:t>
            </w:r>
          </w:p>
        </w:tc>
        <w:tc>
          <w:tcPr>
            <w:tcW w:w="1295" w:type="dxa"/>
            <w:tcBorders>
              <w:top w:val="nil"/>
              <w:left w:val="nil"/>
              <w:bottom w:val="single" w:sz="4" w:space="0" w:color="auto"/>
              <w:right w:val="single" w:sz="4" w:space="0" w:color="auto"/>
            </w:tcBorders>
            <w:shd w:val="clear" w:color="auto" w:fill="auto"/>
            <w:noWrap/>
            <w:vAlign w:val="center"/>
            <w:hideMark/>
          </w:tcPr>
          <w:p w14:paraId="3A9092A2"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4" w:type="dxa"/>
            <w:tcBorders>
              <w:top w:val="nil"/>
              <w:left w:val="nil"/>
              <w:bottom w:val="single" w:sz="4" w:space="0" w:color="auto"/>
              <w:right w:val="single" w:sz="4" w:space="0" w:color="auto"/>
            </w:tcBorders>
            <w:shd w:val="clear" w:color="auto" w:fill="auto"/>
            <w:noWrap/>
            <w:vAlign w:val="center"/>
            <w:hideMark/>
          </w:tcPr>
          <w:p w14:paraId="57562DFD"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shd w:val="clear" w:color="auto" w:fill="auto"/>
            <w:noWrap/>
            <w:vAlign w:val="center"/>
            <w:hideMark/>
          </w:tcPr>
          <w:p w14:paraId="202F1449"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4" w:type="dxa"/>
            <w:tcBorders>
              <w:top w:val="nil"/>
              <w:left w:val="nil"/>
              <w:bottom w:val="single" w:sz="4" w:space="0" w:color="auto"/>
              <w:right w:val="single" w:sz="4" w:space="0" w:color="auto"/>
            </w:tcBorders>
            <w:shd w:val="clear" w:color="auto" w:fill="auto"/>
            <w:noWrap/>
            <w:vAlign w:val="center"/>
            <w:hideMark/>
          </w:tcPr>
          <w:p w14:paraId="4929F209" w14:textId="61576F4F"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r w:rsidR="00035446"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shd w:val="clear" w:color="auto" w:fill="auto"/>
            <w:noWrap/>
            <w:vAlign w:val="center"/>
            <w:hideMark/>
          </w:tcPr>
          <w:p w14:paraId="693721FA"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vAlign w:val="center"/>
          </w:tcPr>
          <w:p w14:paraId="6091A538" w14:textId="7E76E1B8" w:rsidR="004B5DEB" w:rsidRPr="00C5457C" w:rsidRDefault="004D5918"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r w:rsidR="00482574" w:rsidRPr="00C5457C">
              <w:rPr>
                <w:rFonts w:ascii="Times New Roman" w:eastAsia="Times New Roman" w:hAnsi="Times New Roman" w:cs="Times New Roman"/>
                <w:color w:val="000000"/>
                <w:kern w:val="0"/>
                <w:sz w:val="24"/>
                <w:szCs w:val="24"/>
                <w:lang w:eastAsia="fr-FR"/>
                <w14:ligatures w14:val="none"/>
              </w:rPr>
              <w:t>*</w:t>
            </w:r>
          </w:p>
        </w:tc>
      </w:tr>
      <w:tr w:rsidR="004B5DEB" w:rsidRPr="00C5457C" w14:paraId="3F78522D" w14:textId="4E7C4237" w:rsidTr="00780847">
        <w:trPr>
          <w:trHeight w:val="775"/>
        </w:trPr>
        <w:tc>
          <w:tcPr>
            <w:tcW w:w="1294" w:type="dxa"/>
            <w:tcBorders>
              <w:top w:val="nil"/>
              <w:left w:val="single" w:sz="4" w:space="0" w:color="auto"/>
              <w:bottom w:val="single" w:sz="4" w:space="0" w:color="auto"/>
              <w:right w:val="single" w:sz="4" w:space="0" w:color="auto"/>
            </w:tcBorders>
            <w:shd w:val="clear" w:color="auto" w:fill="auto"/>
            <w:vAlign w:val="center"/>
            <w:hideMark/>
          </w:tcPr>
          <w:p w14:paraId="665CF6C0"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Amélioration de la productivité</w:t>
            </w:r>
            <w:r w:rsidRPr="00C5457C">
              <w:rPr>
                <w:rFonts w:ascii="Times New Roman" w:eastAsia="Times New Roman" w:hAnsi="Times New Roman" w:cs="Times New Roman"/>
                <w:color w:val="000000"/>
                <w:kern w:val="0"/>
                <w:sz w:val="24"/>
                <w:szCs w:val="24"/>
                <w:lang w:eastAsia="fr-FR"/>
                <w14:ligatures w14:val="none"/>
              </w:rPr>
              <w:br/>
              <w:t xml:space="preserve"> agricole</w:t>
            </w:r>
          </w:p>
        </w:tc>
        <w:tc>
          <w:tcPr>
            <w:tcW w:w="1295" w:type="dxa"/>
            <w:tcBorders>
              <w:top w:val="nil"/>
              <w:left w:val="nil"/>
              <w:bottom w:val="single" w:sz="4" w:space="0" w:color="auto"/>
              <w:right w:val="single" w:sz="4" w:space="0" w:color="auto"/>
            </w:tcBorders>
            <w:shd w:val="clear" w:color="auto" w:fill="auto"/>
            <w:noWrap/>
            <w:vAlign w:val="center"/>
            <w:hideMark/>
          </w:tcPr>
          <w:p w14:paraId="17730A55"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4" w:type="dxa"/>
            <w:tcBorders>
              <w:top w:val="nil"/>
              <w:left w:val="nil"/>
              <w:bottom w:val="single" w:sz="4" w:space="0" w:color="auto"/>
              <w:right w:val="single" w:sz="4" w:space="0" w:color="auto"/>
            </w:tcBorders>
            <w:shd w:val="clear" w:color="auto" w:fill="auto"/>
            <w:noWrap/>
            <w:vAlign w:val="center"/>
            <w:hideMark/>
          </w:tcPr>
          <w:p w14:paraId="33601C8C"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shd w:val="clear" w:color="auto" w:fill="auto"/>
            <w:noWrap/>
            <w:vAlign w:val="center"/>
            <w:hideMark/>
          </w:tcPr>
          <w:p w14:paraId="0933ED25" w14:textId="37B1F07F"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r w:rsidR="00035446" w:rsidRPr="00C5457C">
              <w:rPr>
                <w:rFonts w:ascii="Times New Roman" w:eastAsia="Times New Roman" w:hAnsi="Times New Roman" w:cs="Times New Roman"/>
                <w:color w:val="000000"/>
                <w:kern w:val="0"/>
                <w:sz w:val="24"/>
                <w:szCs w:val="24"/>
                <w:lang w:eastAsia="fr-FR"/>
                <w14:ligatures w14:val="none"/>
              </w:rPr>
              <w:t>*</w:t>
            </w:r>
          </w:p>
        </w:tc>
        <w:tc>
          <w:tcPr>
            <w:tcW w:w="1294" w:type="dxa"/>
            <w:tcBorders>
              <w:top w:val="nil"/>
              <w:left w:val="nil"/>
              <w:bottom w:val="single" w:sz="4" w:space="0" w:color="auto"/>
              <w:right w:val="single" w:sz="4" w:space="0" w:color="auto"/>
            </w:tcBorders>
            <w:shd w:val="clear" w:color="auto" w:fill="auto"/>
            <w:noWrap/>
            <w:vAlign w:val="center"/>
            <w:hideMark/>
          </w:tcPr>
          <w:p w14:paraId="281D6674"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shd w:val="clear" w:color="auto" w:fill="auto"/>
            <w:noWrap/>
            <w:vAlign w:val="center"/>
            <w:hideMark/>
          </w:tcPr>
          <w:p w14:paraId="0AF04AF5" w14:textId="56C57894"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r w:rsidR="00035446"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vAlign w:val="center"/>
          </w:tcPr>
          <w:p w14:paraId="10050EE7" w14:textId="355D45CA" w:rsidR="004B5DEB" w:rsidRPr="00C5457C" w:rsidRDefault="004D5918"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r>
      <w:tr w:rsidR="004B5DEB" w:rsidRPr="00C5457C" w14:paraId="678FBEA6" w14:textId="2D195C02" w:rsidTr="00780847">
        <w:trPr>
          <w:trHeight w:val="479"/>
        </w:trPr>
        <w:tc>
          <w:tcPr>
            <w:tcW w:w="1294" w:type="dxa"/>
            <w:tcBorders>
              <w:top w:val="nil"/>
              <w:left w:val="single" w:sz="4" w:space="0" w:color="auto"/>
              <w:bottom w:val="single" w:sz="4" w:space="0" w:color="auto"/>
              <w:right w:val="single" w:sz="4" w:space="0" w:color="auto"/>
            </w:tcBorders>
            <w:shd w:val="clear" w:color="auto" w:fill="auto"/>
            <w:vAlign w:val="center"/>
            <w:hideMark/>
          </w:tcPr>
          <w:p w14:paraId="05F55288"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 xml:space="preserve">Amélioration de la </w:t>
            </w:r>
            <w:r w:rsidRPr="00C5457C">
              <w:rPr>
                <w:rFonts w:ascii="Times New Roman" w:eastAsia="Times New Roman" w:hAnsi="Times New Roman" w:cs="Times New Roman"/>
                <w:color w:val="000000"/>
                <w:kern w:val="0"/>
                <w:sz w:val="24"/>
                <w:szCs w:val="24"/>
                <w:lang w:eastAsia="fr-FR"/>
                <w14:ligatures w14:val="none"/>
              </w:rPr>
              <w:br/>
              <w:t>biodiversité</w:t>
            </w:r>
          </w:p>
        </w:tc>
        <w:tc>
          <w:tcPr>
            <w:tcW w:w="1295" w:type="dxa"/>
            <w:tcBorders>
              <w:top w:val="nil"/>
              <w:left w:val="nil"/>
              <w:bottom w:val="single" w:sz="4" w:space="0" w:color="auto"/>
              <w:right w:val="single" w:sz="4" w:space="0" w:color="auto"/>
            </w:tcBorders>
            <w:shd w:val="clear" w:color="auto" w:fill="auto"/>
            <w:noWrap/>
            <w:vAlign w:val="center"/>
            <w:hideMark/>
          </w:tcPr>
          <w:p w14:paraId="2F6BD824"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4" w:type="dxa"/>
            <w:tcBorders>
              <w:top w:val="nil"/>
              <w:left w:val="nil"/>
              <w:bottom w:val="single" w:sz="4" w:space="0" w:color="auto"/>
              <w:right w:val="single" w:sz="4" w:space="0" w:color="auto"/>
            </w:tcBorders>
            <w:shd w:val="clear" w:color="auto" w:fill="auto"/>
            <w:noWrap/>
            <w:vAlign w:val="center"/>
            <w:hideMark/>
          </w:tcPr>
          <w:p w14:paraId="574FA169"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shd w:val="clear" w:color="auto" w:fill="auto"/>
            <w:noWrap/>
            <w:vAlign w:val="center"/>
            <w:hideMark/>
          </w:tcPr>
          <w:p w14:paraId="24F02C29"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4" w:type="dxa"/>
            <w:tcBorders>
              <w:top w:val="nil"/>
              <w:left w:val="nil"/>
              <w:bottom w:val="single" w:sz="4" w:space="0" w:color="auto"/>
              <w:right w:val="single" w:sz="4" w:space="0" w:color="auto"/>
            </w:tcBorders>
            <w:shd w:val="clear" w:color="auto" w:fill="auto"/>
            <w:noWrap/>
            <w:vAlign w:val="center"/>
            <w:hideMark/>
          </w:tcPr>
          <w:p w14:paraId="2CDAF3C4"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shd w:val="clear" w:color="auto" w:fill="auto"/>
            <w:noWrap/>
            <w:vAlign w:val="center"/>
            <w:hideMark/>
          </w:tcPr>
          <w:p w14:paraId="66C67BFE"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vAlign w:val="center"/>
          </w:tcPr>
          <w:p w14:paraId="40EB7305" w14:textId="31BE5285" w:rsidR="004B5DEB" w:rsidRPr="00C5457C" w:rsidRDefault="004D5918"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r w:rsidR="00482574" w:rsidRPr="00C5457C">
              <w:rPr>
                <w:rFonts w:ascii="Times New Roman" w:eastAsia="Times New Roman" w:hAnsi="Times New Roman" w:cs="Times New Roman"/>
                <w:color w:val="000000"/>
                <w:kern w:val="0"/>
                <w:sz w:val="24"/>
                <w:szCs w:val="24"/>
                <w:lang w:eastAsia="fr-FR"/>
                <w14:ligatures w14:val="none"/>
              </w:rPr>
              <w:t>*</w:t>
            </w:r>
          </w:p>
        </w:tc>
      </w:tr>
      <w:tr w:rsidR="004B5DEB" w:rsidRPr="00C5457C" w14:paraId="42251A42" w14:textId="23A86CCC" w:rsidTr="00780847">
        <w:trPr>
          <w:trHeight w:val="605"/>
        </w:trPr>
        <w:tc>
          <w:tcPr>
            <w:tcW w:w="1294" w:type="dxa"/>
            <w:tcBorders>
              <w:top w:val="nil"/>
              <w:left w:val="single" w:sz="4" w:space="0" w:color="auto"/>
              <w:bottom w:val="single" w:sz="4" w:space="0" w:color="auto"/>
              <w:right w:val="single" w:sz="4" w:space="0" w:color="auto"/>
            </w:tcBorders>
            <w:shd w:val="clear" w:color="auto" w:fill="auto"/>
            <w:vAlign w:val="center"/>
            <w:hideMark/>
          </w:tcPr>
          <w:p w14:paraId="1091DE6B" w14:textId="31A6936A"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Protection de</w:t>
            </w:r>
            <w:r w:rsidR="00EB7207" w:rsidRPr="00C5457C">
              <w:rPr>
                <w:rFonts w:ascii="Times New Roman" w:eastAsia="Times New Roman" w:hAnsi="Times New Roman" w:cs="Times New Roman"/>
                <w:color w:val="000000"/>
                <w:kern w:val="0"/>
                <w:sz w:val="24"/>
                <w:szCs w:val="24"/>
                <w:lang w:eastAsia="fr-FR"/>
                <w14:ligatures w14:val="none"/>
              </w:rPr>
              <w:t xml:space="preserve"> </w:t>
            </w:r>
            <w:r w:rsidRPr="00C5457C">
              <w:rPr>
                <w:rFonts w:ascii="Times New Roman" w:eastAsia="Times New Roman" w:hAnsi="Times New Roman" w:cs="Times New Roman"/>
                <w:color w:val="000000"/>
                <w:kern w:val="0"/>
                <w:sz w:val="24"/>
                <w:szCs w:val="24"/>
                <w:lang w:eastAsia="fr-FR"/>
                <w14:ligatures w14:val="none"/>
              </w:rPr>
              <w:lastRenderedPageBreak/>
              <w:t>l'environnement</w:t>
            </w:r>
          </w:p>
        </w:tc>
        <w:tc>
          <w:tcPr>
            <w:tcW w:w="1295" w:type="dxa"/>
            <w:tcBorders>
              <w:top w:val="nil"/>
              <w:left w:val="nil"/>
              <w:bottom w:val="single" w:sz="4" w:space="0" w:color="auto"/>
              <w:right w:val="single" w:sz="4" w:space="0" w:color="auto"/>
            </w:tcBorders>
            <w:shd w:val="clear" w:color="auto" w:fill="auto"/>
            <w:noWrap/>
            <w:vAlign w:val="center"/>
            <w:hideMark/>
          </w:tcPr>
          <w:p w14:paraId="470E68DE"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lastRenderedPageBreak/>
              <w:t>***</w:t>
            </w:r>
          </w:p>
        </w:tc>
        <w:tc>
          <w:tcPr>
            <w:tcW w:w="1294" w:type="dxa"/>
            <w:tcBorders>
              <w:top w:val="nil"/>
              <w:left w:val="nil"/>
              <w:bottom w:val="single" w:sz="4" w:space="0" w:color="auto"/>
              <w:right w:val="single" w:sz="4" w:space="0" w:color="auto"/>
            </w:tcBorders>
            <w:shd w:val="clear" w:color="auto" w:fill="auto"/>
            <w:noWrap/>
            <w:vAlign w:val="center"/>
            <w:hideMark/>
          </w:tcPr>
          <w:p w14:paraId="0ED9D6C1" w14:textId="7400C824"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r w:rsidR="0044277E"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shd w:val="clear" w:color="auto" w:fill="auto"/>
            <w:noWrap/>
            <w:vAlign w:val="center"/>
            <w:hideMark/>
          </w:tcPr>
          <w:p w14:paraId="5610763D"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4" w:type="dxa"/>
            <w:tcBorders>
              <w:top w:val="nil"/>
              <w:left w:val="nil"/>
              <w:bottom w:val="single" w:sz="4" w:space="0" w:color="auto"/>
              <w:right w:val="single" w:sz="4" w:space="0" w:color="auto"/>
            </w:tcBorders>
            <w:shd w:val="clear" w:color="auto" w:fill="auto"/>
            <w:noWrap/>
            <w:vAlign w:val="center"/>
            <w:hideMark/>
          </w:tcPr>
          <w:p w14:paraId="5094F0FA" w14:textId="21651B2A" w:rsidR="00EB77A0"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r w:rsidR="00EB77A0"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shd w:val="clear" w:color="auto" w:fill="auto"/>
            <w:noWrap/>
            <w:vAlign w:val="center"/>
            <w:hideMark/>
          </w:tcPr>
          <w:p w14:paraId="7CED9975" w14:textId="77777777" w:rsidR="004B5DEB" w:rsidRPr="00C5457C" w:rsidRDefault="004B5DEB"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c>
          <w:tcPr>
            <w:tcW w:w="1295" w:type="dxa"/>
            <w:tcBorders>
              <w:top w:val="nil"/>
              <w:left w:val="nil"/>
              <w:bottom w:val="single" w:sz="4" w:space="0" w:color="auto"/>
              <w:right w:val="single" w:sz="4" w:space="0" w:color="auto"/>
            </w:tcBorders>
            <w:vAlign w:val="center"/>
          </w:tcPr>
          <w:p w14:paraId="0F6289C1" w14:textId="4D3371E9" w:rsidR="004B5DEB" w:rsidRPr="00C5457C" w:rsidRDefault="004D5918" w:rsidP="00C5457C">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C5457C">
              <w:rPr>
                <w:rFonts w:ascii="Times New Roman" w:eastAsia="Times New Roman" w:hAnsi="Times New Roman" w:cs="Times New Roman"/>
                <w:color w:val="000000"/>
                <w:kern w:val="0"/>
                <w:sz w:val="24"/>
                <w:szCs w:val="24"/>
                <w:lang w:eastAsia="fr-FR"/>
                <w14:ligatures w14:val="none"/>
              </w:rPr>
              <w:t>**</w:t>
            </w:r>
          </w:p>
        </w:tc>
      </w:tr>
    </w:tbl>
    <w:p w14:paraId="5BE9088E" w14:textId="120C646A" w:rsidR="000D5FEE" w:rsidRPr="00C5457C" w:rsidRDefault="00035446" w:rsidP="00C5457C">
      <w:pPr>
        <w:tabs>
          <w:tab w:val="left" w:pos="1853"/>
        </w:tabs>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faible</w:t>
      </w:r>
      <w:r w:rsidR="00990642" w:rsidRPr="00C5457C">
        <w:rPr>
          <w:rFonts w:ascii="Times New Roman" w:hAnsi="Times New Roman" w:cs="Times New Roman"/>
          <w:sz w:val="24"/>
          <w:szCs w:val="24"/>
        </w:rPr>
        <w:tab/>
      </w:r>
      <w:r w:rsidR="00482574" w:rsidRPr="00C5457C">
        <w:rPr>
          <w:rFonts w:ascii="Times New Roman" w:hAnsi="Times New Roman" w:cs="Times New Roman"/>
          <w:sz w:val="24"/>
          <w:szCs w:val="24"/>
        </w:rPr>
        <w:t>** Modérée</w:t>
      </w:r>
      <w:r w:rsidR="00990642" w:rsidRPr="00C5457C">
        <w:rPr>
          <w:rFonts w:ascii="Times New Roman" w:hAnsi="Times New Roman" w:cs="Times New Roman"/>
          <w:sz w:val="24"/>
          <w:szCs w:val="24"/>
        </w:rPr>
        <w:tab/>
      </w:r>
      <w:r w:rsidR="00990642" w:rsidRPr="00C5457C">
        <w:rPr>
          <w:rFonts w:ascii="Times New Roman" w:hAnsi="Times New Roman" w:cs="Times New Roman"/>
          <w:sz w:val="24"/>
          <w:szCs w:val="24"/>
        </w:rPr>
        <w:tab/>
      </w:r>
      <w:r w:rsidR="00482574" w:rsidRPr="00C5457C">
        <w:rPr>
          <w:rFonts w:ascii="Times New Roman" w:hAnsi="Times New Roman" w:cs="Times New Roman"/>
          <w:sz w:val="24"/>
          <w:szCs w:val="24"/>
        </w:rPr>
        <w:t xml:space="preserve">*** </w:t>
      </w:r>
      <w:r w:rsidR="002977A0" w:rsidRPr="00C5457C">
        <w:rPr>
          <w:rFonts w:ascii="Times New Roman" w:hAnsi="Times New Roman" w:cs="Times New Roman"/>
          <w:sz w:val="24"/>
          <w:szCs w:val="24"/>
        </w:rPr>
        <w:t>Forte</w:t>
      </w:r>
    </w:p>
    <w:p w14:paraId="7E927E2D" w14:textId="3C00F4BF" w:rsidR="0078777F" w:rsidRPr="00C5457C" w:rsidRDefault="003437E0" w:rsidP="00C5457C">
      <w:pPr>
        <w:pStyle w:val="Titre2"/>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Antagonisme et c</w:t>
      </w:r>
      <w:r w:rsidR="0078777F" w:rsidRPr="00C5457C">
        <w:rPr>
          <w:rFonts w:ascii="Times New Roman" w:hAnsi="Times New Roman" w:cs="Times New Roman"/>
          <w:sz w:val="24"/>
          <w:szCs w:val="24"/>
        </w:rPr>
        <w:t>ompromis entre fertilité des sols et la productivité agricole</w:t>
      </w:r>
      <w:r w:rsidR="000D5FEE" w:rsidRPr="00C5457C">
        <w:rPr>
          <w:rFonts w:ascii="Times New Roman" w:hAnsi="Times New Roman" w:cs="Times New Roman"/>
          <w:sz w:val="24"/>
          <w:szCs w:val="24"/>
        </w:rPr>
        <w:t xml:space="preserve"> liés aux options agroécologiques</w:t>
      </w:r>
    </w:p>
    <w:p w14:paraId="7409279B" w14:textId="44E4B33F" w:rsidR="00A6358F" w:rsidRPr="00C5457C" w:rsidRDefault="003437E0" w:rsidP="00C5457C">
      <w:pPr>
        <w:pStyle w:val="Titre3"/>
        <w:spacing w:line="360" w:lineRule="auto"/>
        <w:jc w:val="both"/>
        <w:rPr>
          <w:rFonts w:ascii="Times New Roman" w:hAnsi="Times New Roman" w:cs="Times New Roman"/>
        </w:rPr>
      </w:pPr>
      <w:r w:rsidRPr="00C5457C">
        <w:rPr>
          <w:rFonts w:ascii="Times New Roman" w:hAnsi="Times New Roman" w:cs="Times New Roman"/>
        </w:rPr>
        <w:t>Antagonisme et c</w:t>
      </w:r>
      <w:r w:rsidR="00A6358F" w:rsidRPr="00C5457C">
        <w:rPr>
          <w:rFonts w:ascii="Times New Roman" w:hAnsi="Times New Roman" w:cs="Times New Roman"/>
        </w:rPr>
        <w:t>ompromis lié à la RNA</w:t>
      </w:r>
    </w:p>
    <w:p w14:paraId="11CF61D7" w14:textId="7BE5D212" w:rsidR="00A6358F" w:rsidRPr="00C5457C" w:rsidRDefault="00997744" w:rsidP="00C5457C">
      <w:pPr>
        <w:spacing w:line="360" w:lineRule="auto"/>
        <w:jc w:val="both"/>
        <w:rPr>
          <w:rFonts w:ascii="Times New Roman" w:hAnsi="Times New Roman" w:cs="Times New Roman"/>
          <w:noProof/>
          <w:sz w:val="24"/>
          <w:szCs w:val="24"/>
        </w:rPr>
      </w:pPr>
      <w:r w:rsidRPr="00C5457C">
        <w:rPr>
          <w:rFonts w:ascii="Times New Roman" w:hAnsi="Times New Roman" w:cs="Times New Roman"/>
          <w:sz w:val="24"/>
          <w:szCs w:val="24"/>
        </w:rPr>
        <w:t>Les arbres rendent l'agriculture plus résistante à la sécheresse en améliorant la fertilité des sols, en particulier lorsque ceux-ci sont dégradés</w:t>
      </w:r>
      <w:r w:rsidR="00F204D4" w:rsidRPr="00C5457C">
        <w:rPr>
          <w:rFonts w:ascii="Times New Roman" w:hAnsi="Times New Roman" w:cs="Times New Roman"/>
          <w:sz w:val="24"/>
          <w:szCs w:val="24"/>
        </w:rPr>
        <w:t xml:space="preserve"> </w:t>
      </w:r>
      <w:r w:rsidR="00F204D4"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{"citationItems":[{"id":"ITEM-1","itemData":{"DOI":"10.1007/978-981-19-4602-8_25","ISBN":"9789811946011","abstract":"Agroforestry, as a subject of scientific investigation, assumes wider recognition in view of the need for sustainable intensification of agriculture to provide food to the ever-growing population, combating climate change and conserving biodiversity. The main objective of this book is to synthesize the relevant information from Africa and Asia for the stability, sustainability and diversification of agricultural production. In this book, various aspects of the emerging research areas of agroforestry in Asia and Africa regions have been discussed by eminent researchers and experts with a focus on climate change adaptation and mitigation, restoration of degraded landscapes, biodiversity and ecosystem services, modern agroforestry approaches and policy perspectives. This introductory chapter provides the background and sets the scene for the remaining chapters. With a total of 25 chapters, this compilation is structured into four sections, namely, progress towards sustainable intensification and climate change, landscape restoration and combating desertification, biodiversity and ecosystem services, and analytical approaches and policy perspective.","author":[{"dropping-particle":"","family":"Dagar","given":"Jagdish Chander","non-dropping-particle":"","parse-names":false,"suffix":""},{"dropping-particle":"","family":"Sileshi","given":"Gudeta Weldesemayat","non-dropping-particle":"","parse-names":false,"suffix":""},{"dropping-particle":"","family":"Gupta","given":"Sharda Rani","non-dropping-particle":"","parse-names":false,"suffix":""}],"id":"ITEM-1","issued":{"date-parts":[["2023"]]},"number-of-pages":"781-790","title":"Synthesis: Agroforestry for Sustainable Intensification of Agriculture in Asia and Africa","type":"book"},"uris":["http://www.mendeley.com/documents/?uuid=74034d13-8345-4f4c-b1a1-adf4ce9ce2e5"]}],"mendeley":{"formattedCitation":"(Dagar et al., 2023)","plainTextFormattedCitation":"(Dagar et al., 2023)","previouslyFormattedCitation":"(Dagar, Sileshi, and Gupta 2023)"},"properties":{"noteIndex":0},"schema":"https://github.com/citation-style-language/schema/raw/master/csl-citation.json"}</w:instrText>
      </w:r>
      <w:r w:rsidR="00F204D4"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(Dagar et al., 2023)</w:t>
      </w:r>
      <w:r w:rsidR="00F204D4"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A6358F" w:rsidRPr="00C5457C">
        <w:rPr>
          <w:rFonts w:ascii="Times New Roman" w:hAnsi="Times New Roman" w:cs="Times New Roman"/>
          <w:sz w:val="24"/>
          <w:szCs w:val="24"/>
        </w:rPr>
        <w:t xml:space="preserve">Cependant plusieurs études </w:t>
      </w:r>
      <w:r w:rsidR="00A6358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{"citationItems":[{"id":"ITEM-1","itemData":{"DOI":"10.1023/A:1006378713271","ISSN":"01674366","abstract":"Pest and disease interactions in agroforestry systems is a little studied area. Surveys were conducted in the Mangochi and Zomba districts of southern Malawi between December 1997 and February 1998 to identify insects feeding on Sesbania species in natural stands and in agroforestry systems at the research station and on farms, and the host range of the insects. Out of a total of 30 insect species recorded in natural stands, Brachyplatys testudonigro, Mesoplatys ochroptera, Exosoma sp. and Ootheca sp. were the most commonly found insects feeding on S. sesban. Afrius figuratus, Glypsus conspicuus, Macrorhaphis acura, Mecosoma mensor, Rhinocoris segmentarius and Cyaneodinodes faciger were recorded for the first time as natural enemies of Mesoplatys ochroptera in Malawi. The defoliating beetles, M. ochroptera, Exosoma sp. and Ootheca sp., were the most frequently found insects infesting S. sesban on farms. M. ochroptera attacked only Sesbania species, and usually higher populations of this beetle were recorded on annual Sesbania species (S. tetraptera, S. bispinosa, S. leptocarpa and S. sericea) than on perennial types. Although the sap-sucking bug, B. testudonigro, was relatively less common on sesbania on farms, it has been found to infest a number of other legumes of the genera Aeschynomene, Crotalaria, Desmodium, Indigofera, Mucuna, Phaseolus, Tephrosia and Vigna. Given the wide variety of plant species it attacks, B. testudonigro may become a potential pest of many agroforestry tree species. The insects Anoplocnemis curvipes, Aphis fabae, Hilda patruelis, Megaleurothrips sjostedti, Mylabris dicincta, Nezara viridula and Ootheca sp. also have the potential to become pests of agroforestry systems, as they can damage many agroforestry trees, including Sesbania, and crops. There is a need to study the biology and ecology of potential insect pests of S. sesban to plan for their integrated management in agroforestry.","author":[{"dropping-particle":"","family":"Sileshi","given":"G.","non-dropping-particle":"","parse-names":false,"suffix":""},{"dropping-particle":"","family":"Maghembe","given":"J. A.","non-dropping-particle":"","parse-names":false,"suffix":""},{"dropping-particle":"","family":"Rao","given":"M. R.","non-dropping-particle":"","parse-names":false,"suffix":""},{"dropping-particle":"","family":"Ogol","given":"C. K.P.O.","non-dropping-particle":"","parse-names":false,"suffix":""},{"dropping-particle":"","family":"Sithanantham","given":"S.","non-dropping-particle":"","parse-names":false,"suffix":""}],"container-title":"Agroforestry Systems","id":"ITEM-1","issue":"1","issued":{"date-parts":[["2000"]]},"page":"41-52","title":"Insects feeding on Sesbania species in natural stands and agroforestry systems in southern Malawi","type":"article-journal","volume":"49"},"uris":["http://www.mendeley.com/documents/?uuid=93c3ae8b-4df0-432a-ac2a-40fa982b8321"]},{"id":"ITEM-2","itemData":{"DOI":"10.1023/a:1006256323647","ISSN":"01674366","abstract":"In eastern Zambia, nitrogen deficiency is a major limiting factor for increased food production. Soil fertility has been declining because of nearly continuous maize (Zea mays) cultivation with little or no nutrient inputs. The use of short-duration tree fallows was one of several agroforestry options hypothesized to restore soft fertility. Sesbania sesban, an indigenous N2-fixing tree was the most promising among species tested in screening trials. Several studies since 1987 have demonstrated the dramatic potential of two- or three-year sesbania fallows in restoring soil fertility and increasing maize yields. Analyses showed that these improved fallow systems were feasible, profitable, and acceptable to farmers. Results suggest that high maize yields following fallows are primarily due to improved N input and availability by the fallows. The potential to increase maize production without applying mineral fertilizers has excited thousands of farmers who are enthusiastically participating in the evaluation of this technology. The number of farmers who are testing a range of improved fallow practices has increased from 200 in 1994 to over 3000 in 1997. Presently, a strong network of institutions comprising government, NGOs, development projects, and farmer organizations is facilitating the adaptive research and expansion of improved fallow technology in eastern Zambia. Key elements in the research process that contributed to the achievements are effective diagnosis of farmers' problems, building on farmers' indigenous knowledge, generating several different fallow options for farmers to test, ex-ante economic analysis, farmer participation in on-farm trials, and development of a network for adaptive research and dissemination.","author":[{"dropping-particle":"","family":"Kwesiga","given":"F. R.","non-dropping-particle":"","parse-names":false,"suffix":""},{"dropping-particle":"","family":"Franzel","given":"S.","non-dropping-particle":"","parse-names":false,"suffix":""},{"dropping-particle":"","family":"Place","given":"F.","non-dropping-particle":"","parse-names":false,"suffix":""},{"dropping-particle":"","family":"Phiri","given":"D.","non-dropping-particle":"","parse-names":false,"suffix":""},{"dropping-particle":"","family":"Simwanza","given":"C. P.","non-dropping-particle":"","parse-names":false,"suffix":""}],"container-title":"Agroforestry Systems","id":"ITEM-2","issue":"1-3","issued":{"date-parts":[["1999"]]},"page":"49-66","title":"Sesbania sesban improved fallows in eastern Zambia: Their inception, development and farmer enthusiasm","type":"article-journal","volume":"47"},"uris":["http://www.mendeley.com/documents/?uuid=94a7cf68-dc32-4839-8a34-a30a6d43b590"]},{"id":"ITEM-3","itemData":{"DOI":"10.1201/9781420043365.ch5","ISBN":"9781420043365","abstract":"Under the International Plant Protection Convention, a pest is defined as any species, strain, or biotype of plant, animal, or pathogenic agent injurious to plants or plant products (ISPM, 2006). The coverage of this definition includes weeds and other species that have indirect effects on plants. This definition also applies to the protection of wild fiora that contribute to the conservation of biological diversity. Unless otherwise stated, throughout this chapter the term '‘pest’’ refers to weedy plants and parasitic higher plants, plant pathogenic organisms (viruses, bacteria, mycoplasma, fungi), plant parasitic or pathogenic nematodes, arthropods (herbivorous mites and insects), and vertebrate pests (herbivorous birds and mammals) that affect trees and associated crops in agroforestry.","author":[{"dropping-particle":"","family":"Sileshi","given":"G","non-dropping-particle":"","parse-names":false,"suffix":""},{"dropping-particle":"","family":"Schroth","given":"Götz","non-dropping-particle":"","parse-names":false,"suffix":""},{"dropping-particle":"","family":"Rao","given":"Meka R","non-dropping-particle":"","parse-names":false,"suffix":""},{"dropping-particle":"","family":"Girma","given":"H","non-dropping-particle":"","parse-names":false,"suffix":""}],"container-title":"Ecological Basis of Agroforestry","id":"ITEM-3","issued":{"date-parts":[["2007"]]},"page":"73-94","title":"Weeds, diseases, insect pests, and tri-trophic interactions in tropical agroforestry","type":"chapter"},"uris":["http://www.mendeley.com/documents/?uuid=22545b8f-e251-45e8-8b7a-1b75a6675aa5"]},{"id":"ITEM-4","itemData":{"abstract":"The miombo, the most extensive tropical woodland formation of Africa with particular ecological and economic importance, is threatened by deforestation, land degradation and loss of biodiversity. Over the past two decades, agroforestry has been studied as one of the integrated natural resource management interventions for addressing various environmental and social problems. This has helped to establish a solid knowledge-base on the functions and capabilities of agroforestry. However, little attempt has been made to synthesize and publicize the knowledge on ecosystem services provided by the various agroforestry practices in southern Africa. This has led to lack of appreciation of the environmental benefits of the practices, and hence less attention being paid to accelerating their adoption and institutionalization in national agricultural and natural resource programmes. The objective of this review was to summarize the state of current knowledge on ecosystem services of agroforestry. From the studies reviewed, it is concluded that agroforestry practices provide (1) provisioning services such as food, source of energy and fodder, (2) regulatory services including microclimate modification, erosion control, mitigation of desertification, carbon sequestration and pest control, and (3) supporting services namely, soil fertility improvement, biodiversity conservation and pollination in the miombo eco-region. The paper also outlines challenges to wider adoption of agroforestry and makes recommendations for future research, development and policy to capitalize on ecosystem services.","author":[{"dropping-particle":"","family":"Sileshi","given":"Gudeta","non-dropping-particle":"","parse-names":false,"suffix":""},{"dropping-particle":"","family":"Akinnifesi","given":"Festus K","non-dropping-particle":"","parse-names":false,"suffix":""},{"dropping-particle":"","family":"Ajayi","given":"Oluyede C","non-dropping-particle":"","parse-names":false,"suffix":""},{"dropping-particle":"","family":"Chakeredza","given":"Sebastian","non-dropping-particle":"","parse-names":false,"suffix":""},{"dropping-particle":"","family":"Kaonga","given":"Martin","non-dropping-particle":"","parse-names":false,"suffix":""},{"dropping-particle":"","family":"Matakala","given":"P W","non-dropping-particle":"","parse-names":false,"suffix":""}],"container-title":"African Journal of Environmental Science and Technology","id":"ITEM-4","issue":"4","issued":{"date-parts":[["2007"]]},"page":"68-80","title":"Contributions of agroforestry to ecosystem services in the Miombo eco-region of eastern and southern Africa","type":"article-journal","volume":"1"},"uris":["http://www.mendeley.com/documents/?uuid=1c7e46af-69ae-48f1-8f31-8f967c573041"]},{"id":"ITEM-5","itemData":{"DOI":"10.1007/s10457-007-9082-5","ISSN":"01674366","abstract":"Pest management research within the context of agroforestry is in its infancy, and it is often difficult to say when a particular pest justifies investment in research to establish facts. Understanding the potentials and drawbacks of farmers' indigenous ecological knowledge (ethnoecology) may form the basis for constructive collaboration between farmers, agroforestry scientists and extension staff. Therefore, the objectives of the study were to (1) assess farmers' knowledge and perceptions of pests, (2) prioritize pest problems that limit tree planting and maize production based on farmers' own criteria and (3) to identify farmers' indigenous pest management practices for priority pests. Data were collected using community meetings, individual interviews and direct observation by the first author. The farmers involved in this study in eastern Zambia had over ten years of experience, while most of the farmers in Mozambique and parts of southern Malawi were new to agroforestry. Farmers perceived insects as the major causes of tree mortality, followed by drought, bush fires and browsing by livestock. Among the biological constraints to maize production, insects (particularly termites and stalk bores) and weeds (particularly Striga asiatica) were more important in farmers' minds than crop diseases. Fundamentally, the farmers' perception of the causes of tree mortality and crop pests agreed with researchers' perceptions and the literature. Both termite and witch weed problems were associated with low soil quality, and farmers use various indigenous control practices to control these pests. Some farmers did not know the causes of tree mortality, and hence do not take action. Farmer's perception of tree mortality was found to be a function of operator-specific variables such as sex, level of education and years of experience with tree species. © 2007 Springer Science+Business Media B.V.","author":[{"dropping-particle":"","family":"Sileshi","given":"Gudeta Weldesemayat","non-dropping-particle":"","parse-names":false,"suffix":""},{"dropping-particle":"","family":"Kuntashula","given":"Elias","non-dropping-particle":"","parse-names":false,"suffix":""},{"dropping-particle":"","family":"Matakala","given":"Patrick","non-dropping-particle":"","parse-names":false,"suffix":""},{"dropping-particle":"","family":"Nkunika","given":"Philip O.","non-dropping-particle":"","parse-names":false,"suffix":""}],"container-title":"Agroforestry Systems","id":"ITEM-5","issue":"2","issued":{"date-parts":[["2008"]]},"page":"87-101","title":"Farmers' perceptions of tree mortality, pests and pest management practices in agroforestry in Malawi, Mozambique and Zambia","type":"article-journal","volume":"72"},"uris":["http://www.mendeley.com/documents/?uuid=b609db55-5a89-45ff-a62a-31b702116376"]},{"id":"ITEM-6","itemData":{"DOI":"10.1111/j.1461-9555.2005.00242.x","ISSN":"14619555","abstract":"1 Termites cause significant damage to maize and other crops in southern Africa. Several studies were conducted with the objective of determining the difference in termite damage to maize in various land use systems between monoculture maize, maize grown using traditional fallows and improved fallows. 2 In an experiment conducted at four sites on noncoppicing fallows, maize planted after Tephrosia Candida 02971 fallows had lower termite damage compared with fully fertilized monoculture maize. However, the termite suppression was not low enough to warrant rotation of noncoppicing fallows for termite management. 3 In four experiments comparing termite damage to maize grown in monoculture and in coppicing fallows, fully fertilized monoculture maize had a higher percentage of lodged plants compared with maize grown in pure Leucaena leucocephala, Gliricidia sepium and Acacia anguistissima fallows or in a mixture of A. anguistissima + Sesbania sesban or Tephrosia vogelii + S. sesban. 4 More than 50-75% of the variance in maize yield was explained by preseason inorganic nitrogen and termite damage. However, termite damage to maize was not influenced by inorganic nitrogen, which represents nitrogen readily available to maize. The decomposition rate of biomass (related to lignin + polyphenol to nitrogen ratio) and water retention under fallows also appeared to influence termite damage. 5 It is concluded that maize grown in L. leucocephala, G. sepium. A. anguistissima and S. sesban fallows suffers less termite damage and produces maize yields comparable with conventionally tilled and fully fertilized monoculture maize.","author":[{"dropping-particle":"","family":"Sileshi","given":"G","non-dropping-particle":"","parse-names":false,"suffix":""},{"dropping-particle":"","family":"Mafongoya","given":"P L","non-dropping-particle":"","parse-names":false,"suffix":""},{"dropping-particle":"","family":"Kwesiga","given":"F","non-dropping-particle":"","parse-names":false,"suffix":""},{"dropping-particle":"","family":"Nkunika","given":"P","non-dropping-particle":"","parse-names":false,"suffix":""}],"container-title":"Agricultural and Forest Entomology","id":"ITEM-6","issue":"1","issued":{"date-parts":[["2005"]]},"page":"61-69","title":"Termite damage to maize grown in agroforestry systems, traditional fallows and monoculture on nitrogen-limited soils in eastern Zambia","type":"article-journal","volume":"7"},"uris":["http://www.mendeley.com/documents/?uuid=811e26ae-3783-4a5c-8456-113f80f99b03"]}],"mendeley":{"formattedCitation":"(Kwesiga et al., 1999; G. Sileshi et al., 2000, 2005; G. Sileshi, Akinnifesi, et al., 2007; G. Sileshi, Schroth, et al., 2007; G. W. Sileshi et al., 2008)","manualFormatting":"Kwesiga et al., (1999); G. Sileshi et al., (2000); G. Sileshi et al., (2005); G. Sileshi et al., (2007a); G. Sileshi et al., (2007b); G. Sileshi et al., (2007c)","plainTextFormattedCitation":"(Kwesiga et al., 1999; G. Sileshi et al., 2000, 2005; G. Sileshi, Akinnifesi, et al., 2007; G. Sileshi, Schroth, et al., 2007; G. W. Sileshi et al., 2008)","previouslyFormattedCitation":"(Kwesiga et al. 1999; G Sileshi et al. 2007; Gudeta Sileshi et al. 2007; Sileshi et al. 2000, 2005, 2008)"},"properties":{"noteIndex":0},"schema":"https://github.com/citation-style-language/schema/raw/master/csl-citation.json"}</w:instrText>
      </w:r>
      <w:r w:rsidR="00A6358F" w:rsidRPr="00C5457C">
        <w:rPr>
          <w:rFonts w:ascii="Times New Roman" w:hAnsi="Times New Roman" w:cs="Times New Roman"/>
          <w:sz w:val="24"/>
          <w:szCs w:val="24"/>
        </w:rPr>
        <w:fldChar w:fldCharType="separate"/>
      </w:r>
      <w:r w:rsidR="00A6358F" w:rsidRPr="00C5457C">
        <w:rPr>
          <w:rFonts w:ascii="Times New Roman" w:hAnsi="Times New Roman" w:cs="Times New Roman"/>
          <w:noProof/>
          <w:sz w:val="24"/>
          <w:szCs w:val="24"/>
        </w:rPr>
        <w:t xml:space="preserve">Kwesiga et al., (1999); </w:t>
      </w:r>
      <w:r w:rsidR="00A6358F" w:rsidRPr="00C5457C">
        <w:rPr>
          <w:rFonts w:ascii="Times New Roman" w:hAnsi="Times New Roman" w:cs="Times New Roman"/>
          <w:noProof/>
          <w:sz w:val="24"/>
          <w:szCs w:val="24"/>
        </w:rPr>
        <w:fldChar w:fldCharType="begin" w:fldLock="1"/>
      </w:r>
      <w:r w:rsidR="009E6C60" w:rsidRPr="00C5457C">
        <w:rPr>
          <w:rFonts w:ascii="Times New Roman" w:hAnsi="Times New Roman" w:cs="Times New Roman"/>
          <w:noProof/>
          <w:sz w:val="24"/>
          <w:szCs w:val="24"/>
        </w:rPr>
        <w:instrText>ADDIN CSL_CITATION {"citationItems":[{"id":"ITEM-1","itemData":{"DOI":"10.1023/A:1006378713271","ISSN":"01674366","abstract":"Pest and disease interactions in agroforestry systems is a little studied area. Surveys were conducted in the Mangochi and Zomba districts of southern Malawi between December 1997 and February 1998 to identify insects feeding on Sesbania species in natural stands and in agroforestry systems at the research station and on farms, and the host range of the insects. Out of a total of 30 insect species recorded in natural stands, Brachyplatys testudonigro, Mesoplatys ochroptera, Exosoma sp. and Ootheca sp. were the most commonly found insects feeding on S. sesban. Afrius figuratus, Glypsus conspicuus, Macrorhaphis acura, Mecosoma mensor, Rhinocoris segmentarius and Cyaneodinodes faciger were recorded for the first time as natural enemies of Mesoplatys ochroptera in Malawi. The defoliating beetles, M. ochroptera, Exosoma sp. and Ootheca sp., were the most frequently found insects infesting S. sesban on farms. M. ochroptera attacked only Sesbania species, and usually higher populations of this beetle were recorded on annual Sesbania species (S. tetraptera, S. bispinosa, S. leptocarpa and S. sericea) than on perennial types. Although the sap-sucking bug, B. testudonigro, was relatively less common on sesbania on farms, it has been found to infest a number of other legumes of the genera Aeschynomene, Crotalaria, Desmodium, Indigofera, Mucuna, Phaseolus, Tephrosia and Vigna. Given the wide variety of plant species it attacks, B. testudonigro may become a potential pest of many agroforestry tree species. The insects Anoplocnemis curvipes, Aphis fabae, Hilda patruelis, Megaleurothrips sjostedti, Mylabris dicincta, Nezara viridula and Ootheca sp. also have the potential to become pests of agroforestry systems, as they can damage many agroforestry trees, including Sesbania, and crops. There is a need to study the biology and ecology of potential insect pests of S. sesban to plan for their integrated management in agroforestry.","author":[{"dropping-particle":"","family":"Sileshi","given":"G.","non-dropping-particle":"","parse-names":false,"suffix":""},{"dropping-particle":"","family":"Maghembe","given":"J. A.","non-dropping-particle":"","parse-names":false,"suffix":""},{"dropping-particle":"","family":"Rao","given":"M. R.","non-dropping-particle":"","parse-names":false,"suffix":""},{"dropping-particle":"","family":"Ogol","given":"C. K.P.O.","non-dropping-particle":"","parse-names":false,"suffix":""},{"dropping-particle":"","family":"Sithanantham","given":"S.","non-dropping-particle":"","parse-names":false,"suffix":""}],"container-title":"Agroforestry Systems","id":"ITEM-1","issue":"1","issued":{"date-parts":[["2000"]]},"page":"41-52","title":"Insects feeding on Sesbania species in natural stands and agroforestry systems in southern Malawi","type":"article-journal","volume":"49"},"uris":["http://www.mendeley.com/documents/?uuid=93c3ae8b-4df0-432a-ac2a-40fa982b8321"]}],"mendeley":{"formattedCitation":"(G. Sileshi et al., 2000)","manualFormatting":"G. Sileshi et al., (2000)","plainTextFormattedCitation":"(G. Sileshi et al., 2000)","previouslyFormattedCitation":"(Sileshi et al. 2000)"},"properties":{"noteIndex":0},"schema":"https://github.com/citation-style-language/schema/raw/master/csl-citation.json"}</w:instrText>
      </w:r>
      <w:r w:rsidR="00A6358F" w:rsidRPr="00C5457C">
        <w:rPr>
          <w:rFonts w:ascii="Times New Roman" w:hAnsi="Times New Roman" w:cs="Times New Roman"/>
          <w:noProof/>
          <w:sz w:val="24"/>
          <w:szCs w:val="24"/>
        </w:rPr>
        <w:fldChar w:fldCharType="separate"/>
      </w:r>
      <w:r w:rsidR="00A6358F" w:rsidRPr="00C5457C">
        <w:rPr>
          <w:rFonts w:ascii="Times New Roman" w:hAnsi="Times New Roman" w:cs="Times New Roman"/>
          <w:noProof/>
          <w:sz w:val="24"/>
          <w:szCs w:val="24"/>
        </w:rPr>
        <w:t>G. Sileshi et al., (2000)</w:t>
      </w:r>
      <w:r w:rsidR="00A6358F" w:rsidRPr="00C5457C">
        <w:rPr>
          <w:rFonts w:ascii="Times New Roman" w:hAnsi="Times New Roman" w:cs="Times New Roman"/>
          <w:noProof/>
          <w:sz w:val="24"/>
          <w:szCs w:val="24"/>
        </w:rPr>
        <w:fldChar w:fldCharType="end"/>
      </w:r>
      <w:r w:rsidR="00A6358F" w:rsidRPr="00C5457C">
        <w:rPr>
          <w:rFonts w:ascii="Times New Roman" w:hAnsi="Times New Roman" w:cs="Times New Roman"/>
          <w:noProof/>
          <w:sz w:val="24"/>
          <w:szCs w:val="24"/>
        </w:rPr>
        <w:t>; G. Sileshi et al., (2005); G. Sileshi et al., (2007a); G. Sileshi et al., (2007b); G. Sileshi et al., (2007c)</w:t>
      </w:r>
      <w:r w:rsidR="00A6358F" w:rsidRPr="00C5457C">
        <w:rPr>
          <w:rFonts w:ascii="Times New Roman" w:hAnsi="Times New Roman" w:cs="Times New Roman"/>
          <w:sz w:val="24"/>
          <w:szCs w:val="24"/>
        </w:rPr>
        <w:fldChar w:fldCharType="end"/>
      </w:r>
      <w:r w:rsidR="00A6358F" w:rsidRPr="00C5457C">
        <w:rPr>
          <w:rFonts w:ascii="Times New Roman" w:hAnsi="Times New Roman" w:cs="Times New Roman"/>
          <w:sz w:val="24"/>
          <w:szCs w:val="24"/>
        </w:rPr>
        <w:t xml:space="preserve"> ont montrés que les arbres peuvent servir d’habitats pour les insectes ravageurs des cultures. En effet, </w:t>
      </w:r>
      <w:r w:rsidR="00A6358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{"citationItems":[{"id":"ITEM-1","itemData":{"DOI":"10.1023/A:1006378713271","ISSN":"01674366","abstract":"Pest and disease interactions in agroforestry systems is a little studied area. Surveys were conducted in the Mangochi and Zomba districts of southern Malawi between December 1997 and February 1998 to identify insects feeding on Sesbania species in natural stands and in agroforestry systems at the research station and on farms, and the host range of the insects. Out of a total of 30 insect species recorded in natural stands, Brachyplatys testudonigro, Mesoplatys ochroptera, Exosoma sp. and Ootheca sp. were the most commonly found insects feeding on S. sesban. Afrius figuratus, Glypsus conspicuus, Macrorhaphis acura, Mecosoma mensor, Rhinocoris segmentarius and Cyaneodinodes faciger were recorded for the first time as natural enemies of Mesoplatys ochroptera in Malawi. The defoliating beetles, M. ochroptera, Exosoma sp. and Ootheca sp., were the most frequently found insects infesting S. sesban on farms. M. ochroptera attacked only Sesbania species, and usually higher populations of this beetle were recorded on annual Sesbania species (S. tetraptera, S. bispinosa, S. leptocarpa and S. sericea) than on perennial types. Although the sap-sucking bug, B. testudonigro, was relatively less common on sesbania on farms, it has been found to infest a number of other legumes of the genera Aeschynomene, Crotalaria, Desmodium, Indigofera, Mucuna, Phaseolus, Tephrosia and Vigna. Given the wide variety of plant species it attacks, B. testudonigro may become a potential pest of many agroforestry tree species. The insects Anoplocnemis curvipes, Aphis fabae, Hilda patruelis, Megaleurothrips sjostedti, Mylabris dicincta, Nezara viridula and Ootheca sp. also have the potential to become pests of agroforestry systems, as they can damage many agroforestry trees, including Sesbania, and crops. There is a need to study the biology and ecology of potential insect pests of S. sesban to plan for their integrated management in agroforestry.","author":[{"dropping-particle":"","family":"Sileshi","given":"G.","non-dropping-particle":"","parse-names":false,"suffix":""},{"dropping-particle":"","family":"Maghembe","given":"J. A.","non-dropping-particle":"","parse-names":false,"suffix":""},{"dropping-particle":"","family":"Rao","given":"M. R.","non-dropping-particle":"","parse-names":false,"suffix":""},{"dropping-particle":"","family":"Ogol","given":"C. K.P.O.","non-dropping-particle":"","parse-names":false,"suffix":""},{"dropping-particle":"","family":"Sithanantham","given":"S.","non-dropping-particle":"","parse-names":false,"suffix":""}],"container-title":"Agroforestry Systems","id":"ITEM-1","issue":"1","issued":{"date-parts":[["2000"]]},"page":"41-52","title":"Insects feeding on Sesbania species in natural stands and agroforestry systems in southern Malawi","type":"article-journal","volume":"49"},"uris":["http://www.mendeley.com/documents/?uuid=93c3ae8b-4df0-432a-ac2a-40fa982b8321"]}],"mendeley":{"formattedCitation":"(G. Sileshi et al., 2000)","manualFormatting":"G. Sileshi et al., (2000)","plainTextFormattedCitation":"(G. Sileshi et al., 2000)","previouslyFormattedCitation":"(Sileshi et al. 2000)"},"properties":{"noteIndex":0},"schema":"https://github.com/citation-style-language/schema/raw/master/csl-citation.json"}</w:instrText>
      </w:r>
      <w:r w:rsidR="00A6358F" w:rsidRPr="00C5457C">
        <w:rPr>
          <w:rFonts w:ascii="Times New Roman" w:hAnsi="Times New Roman" w:cs="Times New Roman"/>
          <w:sz w:val="24"/>
          <w:szCs w:val="24"/>
        </w:rPr>
        <w:fldChar w:fldCharType="separate"/>
      </w:r>
      <w:r w:rsidR="00A6358F" w:rsidRPr="00C5457C">
        <w:rPr>
          <w:rFonts w:ascii="Times New Roman" w:hAnsi="Times New Roman" w:cs="Times New Roman"/>
          <w:noProof/>
          <w:sz w:val="24"/>
          <w:szCs w:val="24"/>
        </w:rPr>
        <w:t>G. Sileshi et al., (2000)</w:t>
      </w:r>
      <w:r w:rsidR="00A6358F" w:rsidRPr="00C5457C">
        <w:rPr>
          <w:rFonts w:ascii="Times New Roman" w:hAnsi="Times New Roman" w:cs="Times New Roman"/>
          <w:sz w:val="24"/>
          <w:szCs w:val="24"/>
        </w:rPr>
        <w:fldChar w:fldCharType="end"/>
      </w:r>
      <w:r w:rsidR="00A6358F" w:rsidRPr="00C5457C">
        <w:rPr>
          <w:rFonts w:ascii="Times New Roman" w:hAnsi="Times New Roman" w:cs="Times New Roman"/>
          <w:sz w:val="24"/>
          <w:szCs w:val="24"/>
        </w:rPr>
        <w:t xml:space="preserve"> ont répertorié 30 espèces d'insectes ravageurs qui causent des dommages tant aux arbres qu'aux cultures au sein des systèmes agroforestiers, où les arbres jouent le rôle d'hôtes pour ces ravageurs. Bien que selon Huxley et </w:t>
      </w:r>
      <w:proofErr w:type="spellStart"/>
      <w:r w:rsidR="00A6358F" w:rsidRPr="00C5457C">
        <w:rPr>
          <w:rFonts w:ascii="Times New Roman" w:hAnsi="Times New Roman" w:cs="Times New Roman"/>
          <w:sz w:val="24"/>
          <w:szCs w:val="24"/>
        </w:rPr>
        <w:t>Greenland</w:t>
      </w:r>
      <w:proofErr w:type="spellEnd"/>
      <w:r w:rsidR="00A6358F" w:rsidRPr="00C5457C">
        <w:rPr>
          <w:rFonts w:ascii="Times New Roman" w:hAnsi="Times New Roman" w:cs="Times New Roman"/>
          <w:sz w:val="24"/>
          <w:szCs w:val="24"/>
        </w:rPr>
        <w:t xml:space="preserve"> (1989), les « interactions primaires » (où l’espèce d’arbre et la culture associée partagent les ravageurs et leurs ennemis naturels) ne sont pas courante, les systèmes agroforestiers peuvent être gravement affectés par les insectes (polyphages) qui se nourrissent d'un certain nombre de cultures </w:t>
      </w:r>
      <w:r w:rsidR="00A6358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{"citationItems":[{"id":"ITEM-1","itemData":{"abstract":"A l m ~ and sco This journal is concerned with the interaction of methods of agricultural production, agroecosystems and the environment. G c s covered include the comparison of different methods of production (intensive, extensive, linear, cyclic) in terms of their ecology; how agricultural production methods affect pollution of soil, water and air, the quality of food, and the use of energy and non-renewable resources; the effect of industrial pollutants on agriculture; and the policy issues involved in the change and develo men1 of agriculture. The journal aims to serve as a focus for scientists in agriculture, food production, forestry and the envfonment, as well as for administrators and policy-makers concerned with these issues in research establishments , government, industry and international organisations. It publishes original scientific papers, review articles and occasional comment papers. From 1994 onwards a sect~on of, this journal. Applied Soil Ecology, is published separately. Applied Soil Ecology addresses the role of so11 organisms and the~r ~nteractions in relation to: agricultural productivity, nutrient cycling and other soil recesses, the maintenance of soil structure and fertility, the impact of human activities and xenobiotics on soil ecosystems and gio(techno)logical control of soil-inhabiting pests, diseases and weeds. PuMkation Intormatlon: Agriculture, Ecosystems &amp; Environment (ISSN 0167-8809). For 1995 volumes 52-56 are scheduled for publication. Subscribers to Agriculture, Ecosystems &amp; Envimnment will have the opportunity to subscribe to Applied Soil Ecology at a special reduced subscription rate. Subscription prices are available upon request from the Publisher, Subscriptions are accepted on a prepaid basis only, and are entered on a calendar year basls. Issues are sent by surface mall except to the followi countries where air delivery b SAL mail is ensured: Intc~rnuriotrul C'rops R(~sc'urc.11 In.srrrrrrc~.fi~r rhc .Scv~r~- .-lrrd 7'roprc.;. Puru~~clrc~tc, :l~tc/hrtr I'rurit,.slr 502 324. 111drc1 Abstract An intensive survey of the insects in groundnut fields in Malawi. Zambia and Zimbabwe was carried out in the 1986-1 987 production season. Less intensive surveys were also made in Tnnlania and Botswana. Agronomic and socioeconomic details of approximately 100 farms were collected simultancousl~. The insect survey concentrated on soil insects. Whitegrubs (scarabaeid larvae) were the predominant taxon and wcrc likely to bc c…","author":[{"dropping-particle":"","family":"Wightman","given":"Ja","non-dropping-particle":"","parse-names":false,"suffix":""},{"dropping-particle":"","family":"Wightman","given":"As","non-dropping-particle":"","parse-names":false,"suffix":""}],"container-title":"Agriculture, Ecosystems and Environment","id":"ITEM-1","issue":"1","issued":{"date-parts":[["1994"]]},"page":"311-331","title":"An insect, agronomic and sociological survey of groundnut fields in southern Africa","type":"article-journal","volume":"5"},"uris":["http://www.mendeley.com/documents/?uuid=3b1ac9a3-666a-4ada-9376-2e4edd68aa3e"]},{"id":"ITEM-2","itemData":{"author":[{"dropping-particle":"","family":"Tukahirwa","given":"E.M.","non-dropping-particle":"","parse-names":false,"suffix":""},{"dropping-particle":"","family":"Hill","given":"D.S.","non-dropping-particle":"","parse-names":false,"suffix":""}],"container-title":"Journal of Applied Ecology","id":"ITEM-2","issue":"3","issued":{"date-parts":[["1975"]]},"page":"660-662","title":"Agricultural Insect Pests of the Tropics and Their Control","type":"article-journal","volume":"7"},"uris":["http://www.mendeley.com/documents/?uuid=4bb13e72-6cf7-43e8-8ae5-378a236e5977"]}],"mendeley":{"formattedCitation":"(Tukahirwa &amp; Hill, 1975; Wightman &amp; Wightman, 1994)","plainTextFormattedCitation":"(Tukahirwa &amp; Hill, 1975; Wightman &amp; Wightman, 1994)","previouslyFormattedCitation":"(Tukahirwa and Hill 1975; Wightman and Wightman 1994)"},"properties":{"noteIndex":0},"schema":"https://github.com/citation-style-language/schema/raw/master/csl-citation.json"}</w:instrText>
      </w:r>
      <w:r w:rsidR="00A6358F"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(Tukahirwa &amp; Hill, 1975; Wightman &amp; Wightman, 1994)</w:t>
      </w:r>
      <w:r w:rsidR="00A6358F" w:rsidRPr="00C5457C">
        <w:rPr>
          <w:rFonts w:ascii="Times New Roman" w:hAnsi="Times New Roman" w:cs="Times New Roman"/>
          <w:sz w:val="24"/>
          <w:szCs w:val="24"/>
        </w:rPr>
        <w:fldChar w:fldCharType="end"/>
      </w:r>
      <w:r w:rsidR="00A6358F" w:rsidRPr="00C5457C">
        <w:rPr>
          <w:rFonts w:ascii="Times New Roman" w:hAnsi="Times New Roman" w:cs="Times New Roman"/>
          <w:sz w:val="24"/>
          <w:szCs w:val="24"/>
        </w:rPr>
        <w:t xml:space="preserve">. Les améliorations de la fertilité du sol provoquées par les interventions agroforestières peuvent avoir un impact simultané sur les populations de biote du sol et sur les ravageurs des cultures, à la fois négatifs et bénéfiques </w:t>
      </w:r>
      <w:r w:rsidR="00A6358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{"citationItems":[{"id":"ITEM-1","itemData":{"DOI":"10.1016/S0929-1393(03)00049-0","ISSN":"09291393","abstract":"Improved fallows or the rotation of fast growing nitrogen-fixing legume species with cereals have been shown to accumulate nitrogen and organic matter, recycle nutrients in the soil and improve soil physical and chemical properties, and increase crop yield compared to traditional fallows. However, the effect of soil nutrients added by fallow species on the incidence of pests, weeds and pathogens in the subsequent crop has not been assessed in southern Africa. In this study, we assessed the relationships between nutrients in the soil after fallows of crotalaria (Crotalaria grahamiana), pigeon pea (Cajanus cajan), sesbania (Sesbania sesban), tephrosia (Tephrosia vogelii), and their mixtures, and the incidence of soil insects, namely, snout beetles (Diaecoderus sp.) and termites, and weeds in eastern Zambia. Rotational fallows of sesbania + crotalaria, sesbania + tephrosia, sesbania + pigeon pea and tephrosia + pigeon pea increased infestation of maize by snout beetles as compared to the natural fallow or unfertilised maize grown continuously in monoculture. The beetles showed aggregated spatial distribution, influenced mainly by the nitrate and total inorganic nitrogen content of the soil. Termite incidence was higher in maize after a natural fallow and pure crotalaria, which had 11 and 7 times as much damage as maize planted after pigeon pea + tephrosia mixture. Total weed biomass in maize grown after a natural fallow was six times higher than in maize planted after pure sesbania fallows. The weed biomass was correlated positively with the potassium content of the top 20 cm soil and negatively with plant litter on the soil surface. It is concluded that organic inputs from pure sesbania, sesbania + pigeon pea, sesbania + tephrosia and tephrosia + pigeon pea reduce infestation by termites and weeds, and give maize grain yield comparable with the recommended rates of inorganic fertilisers. However, these fallows have the potential to increase infestation by snout beetles. This is the first study on the snout beetle in Africa, and we recommend more systematic investigation on its ecology in agroforestry systems. © 2003 Elsevier Science B.V. All rights reserved.","author":[{"dropping-particle":"","family":"Sileshi","given":"G.","non-dropping-particle":"","parse-names":false,"suffix":""},{"dropping-particle":"","family":"Mafongoya","given":"P. L.","non-dropping-particle":"","parse-names":false,"suffix":""}],"container-title":"Applied Soil Ecology","id":"ITEM-1","issue":"3","issued":{"date-parts":[["2003"]]},"page":"211-222","title":"Effect of rotational fallows on abundance of soil insects and weeds in maize crops in eastern Zambia","type":"article-journal","volume":"23"},"uris":["http://www.mendeley.com/documents/?uuid=d4fb9a4b-f01b-4026-848a-349ffb51fbcf"]},{"id":"ITEM-2","itemData":{"DOI":"10.1111/j.1461-9555.2005.00242.x","ISSN":"14619555","abstract":"1 Termites cause significant damage to maize and other crops in southern Africa. Several studies were conducted with the objective of determining the difference in termite damage to maize in various land use systems between monoculture maize, maize grown using traditional fallows and improved fallows. 2 In an experiment conducted at four sites on noncoppicing fallows, maize planted after Tephrosia Candida 02971 fallows had lower termite damage compared with fully fertilized monoculture maize. However, the termite suppression was not low enough to warrant rotation of noncoppicing fallows for termite management. 3 In four experiments comparing termite damage to maize grown in monoculture and in coppicing fallows, fully fertilized monoculture maize had a higher percentage of lodged plants compared with maize grown in pure Leucaena leucocephala, Gliricidia sepium and Acacia anguistissima fallows or in a mixture of A. anguistissima + Sesbania sesban or Tephrosia vogelii + S. sesban. 4 More than 50-75% of the variance in maize yield was explained by preseason inorganic nitrogen and termite damage. However, termite damage to maize was not influenced by inorganic nitrogen, which represents nitrogen readily available to maize. The decomposition rate of biomass (related to lignin + polyphenol to nitrogen ratio) and water retention under fallows also appeared to influence termite damage. 5 It is concluded that maize grown in L. leucocephala, G. sepium. A. anguistissima and S. sesban fallows suffers less termite damage and produces maize yields comparable with conventionally tilled and fully fertilized monoculture maize.","author":[{"dropping-particle":"","family":"Sileshi","given":"G","non-dropping-particle":"","parse-names":false,"suffix":""},{"dropping-particle":"","family":"Mafongoya","given":"P L","non-dropping-particle":"","parse-names":false,"suffix":""},{"dropping-particle":"","family":"Kwesiga","given":"F","non-dropping-particle":"","parse-names":false,"suffix":""},{"dropping-particle":"","family":"Nkunika","given":"P","non-dropping-particle":"","parse-names":false,"suffix":""}],"container-title":"Agricultural and Forest Entomology","id":"ITEM-2","issue":"1","issued":{"date-parts":[["2005"]]},"page":"61-69","title":"Termite damage to maize grown in agroforestry systems, traditional fallows and monoculture on nitrogen-limited soils in eastern Zambia","type":"article-journal","volume":"7"},"uris":["http://www.mendeley.com/documents/?uuid=811e26ae-3783-4a5c-8456-113f80f99b03"]},{"id":"ITEM-3","itemData":{"DOI":"10.1007/s10457-007-9082-5","ISSN":"01674366","abstract":"Pest management research within the context of agroforestry is in its infancy, and it is often difficult to say when a particular pest justifies investment in research to establish facts. Understanding the potentials and drawbacks of farmers' indigenous ecological knowledge (ethnoecology) may form the basis for constructive collaboration between farmers, agroforestry scientists and extension staff. Therefore, the objectives of the study were to (1) assess farmers' knowledge and perceptions of pests, (2) prioritize pest problems that limit tree planting and maize production based on farmers' own criteria and (3) to identify farmers' indigenous pest management practices for priority pests. Data were collected using community meetings, individual interviews and direct observation by the first author. The farmers involved in this study in eastern Zambia had over ten years of experience, while most of the farmers in Mozambique and parts of southern Malawi were new to agroforestry. Farmers perceived insects as the major causes of tree mortality, followed by drought, bush fires and browsing by livestock. Among the biological constraints to maize production, insects (particularly termites and stalk bores) and weeds (particularly Striga asiatica) were more important in farmers' minds than crop diseases. Fundamentally, the farmers' perception of the causes of tree mortality and crop pests agreed with researchers' perceptions and the literature. Both termite and witch weed problems were associated with low soil quality, and farmers use various indigenous control practices to control these pests. Some farmers did not know the causes of tree mortality, and hence do not take action. Farmer's perception of tree mortality was found to be a function of operator-specific variables such as sex, level of education and years of experience with tree species. © 2007 Springer Science+Business Media B.V.","author":[{"dropping-particle":"","family":"Sileshi","given":"Gudeta Weldesemayat","non-dropping-particle":"","parse-names":false,"suffix":""},{"dropping-particle":"","family":"Kuntashula","given":"Elias","non-dropping-particle":"","parse-names":false,"suffix":""},{"dropping-particle":"","family":"Matakala","given":"Patrick","non-dropping-particle":"","parse-names":false,"suffix":""},{"dropping-particle":"","family":"Nkunika","given":"Philip O.","non-dropping-particle":"","parse-names":false,"suffix":""}],"container-title":"Agroforestry Systems","id":"ITEM-3","issue":"2","issued":{"date-parts":[["2008"]]},"page":"87-101","title":"Farmers' perceptions of tree mortality, pests and pest management practices in agroforestry in Malawi, Mozambique and Zambia","type":"article-journal","volume":"72"},"uris":["http://www.mendeley.com/documents/?uuid=b609db55-5a89-45ff-a62a-31b702116376"]}],"mendeley":{"formattedCitation":"(G. Sileshi et al., 2005; G. Sileshi &amp; Mafongoya, 2003; G. W. Sileshi et al., 2008)","manualFormatting":"(G. Sileshi et al., 2005; G. Sileshi &amp; Mafongoya, 2003; G. Sileshi et al., 2007c)","plainTextFormattedCitation":"(G. Sileshi et al., 2005; G. Sileshi &amp; Mafongoya, 2003; G. W. Sileshi et al., 2008)","previouslyFormattedCitation":"(Sileshi et al. 2005, 2008; Sileshi and Mafongoya 2003)"},"properties":{"noteIndex":0},"schema":"https://github.com/citation-style-language/schema/raw/master/csl-citation.json"}</w:instrText>
      </w:r>
      <w:r w:rsidR="00A6358F" w:rsidRPr="00C5457C">
        <w:rPr>
          <w:rFonts w:ascii="Times New Roman" w:hAnsi="Times New Roman" w:cs="Times New Roman"/>
          <w:sz w:val="24"/>
          <w:szCs w:val="24"/>
        </w:rPr>
        <w:fldChar w:fldCharType="separate"/>
      </w:r>
      <w:r w:rsidR="00A6358F" w:rsidRPr="00C5457C">
        <w:rPr>
          <w:rFonts w:ascii="Times New Roman" w:hAnsi="Times New Roman" w:cs="Times New Roman"/>
          <w:noProof/>
          <w:sz w:val="24"/>
          <w:szCs w:val="24"/>
        </w:rPr>
        <w:t>(G. Sileshi et al., 2005; G. Sileshi &amp; Mafongoya, 2003; G. Sileshi et al., 2007c)</w:t>
      </w:r>
      <w:r w:rsidR="00A6358F" w:rsidRPr="00C5457C">
        <w:rPr>
          <w:rFonts w:ascii="Times New Roman" w:hAnsi="Times New Roman" w:cs="Times New Roman"/>
          <w:sz w:val="24"/>
          <w:szCs w:val="24"/>
        </w:rPr>
        <w:fldChar w:fldCharType="end"/>
      </w:r>
      <w:r w:rsidR="00A6358F" w:rsidRPr="00C5457C">
        <w:rPr>
          <w:rFonts w:ascii="Times New Roman" w:hAnsi="Times New Roman" w:cs="Times New Roman"/>
          <w:sz w:val="24"/>
          <w:szCs w:val="24"/>
        </w:rPr>
        <w:t xml:space="preserve">. </w:t>
      </w:r>
      <w:r w:rsidR="00A6358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{"citationItems":[{"id":"ITEM-1","itemData":{"DOI":"https://doi.org/10.1023/A:1010633009705","author":[{"dropping-particle":"","family":"JM","given":"Boffa","non-dropping-particle":"","parse-names":false,"suffix":""}],"container-title":"Agroforestry Systems","id":"ITEM-1","issued":{"date-parts":[["1999"]]},"page":"169-170","publisher-place":"Rome, Italy","title":"Agroforestry Parklands in Sub-saharan Africa. FAO Conservation Guide","type":"article-magazine"},"uris":["http://www.mendeley.com/documents/?uuid=52a3150d-f69d-405d-9228-b0a4fead9ddc"]},{"id":"ITEM-2","itemData":{"DOI":"10.1080/00837792.1993.10670549","ISSN":"21694060","abstract":"Cette étude se propose d’établir le fonctionnement de la strate herbacée sous et hors ombrage en milieu sahélien à partir d’observations menées au cours du cycle 1990. Les résultats montrent une influence positive de la strate ligneuse sur le cycle de vie des espèces herbacées. Au niveau de la végétation herbacée, il existe une différence fondamentale des cycles (précocité, durée et taux d’accomplissement des phases) entre les espèces établies hors et dans le plan vertical de la couronne de l’arbre. Sous l’arbre l’allongement du cycle est de 25 jours environ. A l’examen du tapis herbacé, ces différences sont atténuées par la succession des vagues de germinations dans la zone découverte. © 1993 Taylor &amp; Francis Group, LLC.","author":[{"dropping-particle":"","family":"Akpo","given":"L. E.","non-dropping-particle":"","parse-names":false,"suffix":""},{"dropping-particle":"","family":"Grouzis","given":"M.","non-dropping-particle":"","parse-names":false,"suffix":""}],"container-title":"Webbia","id":"ITEM-2","issue":"2","issued":{"date-parts":[["1993"]]},"page":"387-401","title":"Etude comparée de la phénologie de la végétation herbacée sous et hors couvert ligneux en milieu Sahélien","type":"article-journal","volume":"47"},"uris":["http://www.mendeley.com/documents/?uuid=d5b98a0d-6721-49b5-8594-1cf11db574f8"]}],"mendeley":{"formattedCitation":"(Akpo &amp; Grouzis, 1993; JM, 1999)","manualFormatting":"Akpo &amp; Grouzis A, (1993) et JM, (1999)","plainTextFormattedCitation":"(Akpo &amp; Grouzis, 1993; JM, 1999)","previouslyFormattedCitation":"(Akpo and Grouzis 1993; JM 1999)"},"properties":{"noteIndex":0},"schema":"https://github.com/citation-style-language/schema/raw/master/csl-citation.json"}</w:instrText>
      </w:r>
      <w:r w:rsidR="00A6358F" w:rsidRPr="00C5457C">
        <w:rPr>
          <w:rFonts w:ascii="Times New Roman" w:hAnsi="Times New Roman" w:cs="Times New Roman"/>
          <w:sz w:val="24"/>
          <w:szCs w:val="24"/>
        </w:rPr>
        <w:fldChar w:fldCharType="separate"/>
      </w:r>
      <w:r w:rsidR="00A6358F" w:rsidRPr="00C5457C">
        <w:rPr>
          <w:rFonts w:ascii="Times New Roman" w:hAnsi="Times New Roman" w:cs="Times New Roman"/>
          <w:noProof/>
          <w:sz w:val="24"/>
          <w:szCs w:val="24"/>
        </w:rPr>
        <w:t>Akpo &amp; Grouzis A, (1993) et JM, (1999)</w:t>
      </w:r>
      <w:r w:rsidR="00A6358F" w:rsidRPr="00C5457C">
        <w:rPr>
          <w:rFonts w:ascii="Times New Roman" w:hAnsi="Times New Roman" w:cs="Times New Roman"/>
          <w:sz w:val="24"/>
          <w:szCs w:val="24"/>
        </w:rPr>
        <w:fldChar w:fldCharType="end"/>
      </w:r>
      <w:r w:rsidR="00A6358F" w:rsidRPr="00C5457C">
        <w:rPr>
          <w:rFonts w:ascii="Times New Roman" w:hAnsi="Times New Roman" w:cs="Times New Roman"/>
          <w:sz w:val="24"/>
          <w:szCs w:val="24"/>
        </w:rPr>
        <w:t xml:space="preserve"> ont rapportés que les arbres retardent la floraison des cultures chez le niébé sous ombrage d'une semaine. La hauteur des plantes sous le houppier était affectée négativement chez le sorgho et le mil</w:t>
      </w:r>
      <w:r w:rsidR="00162E5C" w:rsidRPr="00C5457C">
        <w:rPr>
          <w:rFonts w:ascii="Times New Roman" w:hAnsi="Times New Roman" w:cs="Times New Roman"/>
          <w:sz w:val="24"/>
          <w:szCs w:val="24"/>
        </w:rPr>
        <w:t>let</w:t>
      </w:r>
      <w:r w:rsidR="00A6358F" w:rsidRPr="00C5457C">
        <w:rPr>
          <w:rFonts w:ascii="Times New Roman" w:hAnsi="Times New Roman" w:cs="Times New Roman"/>
          <w:sz w:val="24"/>
          <w:szCs w:val="24"/>
        </w:rPr>
        <w:t xml:space="preserve">, et la maturité était retardée </w:t>
      </w:r>
      <w:r w:rsidR="00A6358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{"citationItems":[{"id":"ITEM-1","itemData":{"DOI":"10.1007/BF00053116","ISSN":"01674366","abstract":"Sorghum grain yields under the karité and the néré are reduced by an average of 50% and 70% respectively, in comparison with yields in the open field. Soil fertility, limiting primary production in the region, is at least as favorable under the tree canopies as in the open field. Reduced light intensity, to a minimum of 20% under the néré canopy, is probably largely responsible for low sorghum production under the tree canopies. Benefits from the tree products are more valuable than losses in cereal yields, explaining why trees are maintained on the agricultural fields. Pruning of tree branches, selection of (shade-) crops and tree selection could reduce crop yield losses but cannot be expected to increase tree- and crop production. © 1992 Kluwer Academic Publishers.","author":[{"dropping-particle":"","family":"Kessler","given":"J J","non-dropping-particle":"","parse-names":false,"suffix":""}],"container-title":"Agroforestry Systems","id":"ITEM-1","issue":"2","issued":{"date-parts":[["1992"]]},"page":"97-118","title":"The influence of karité (Vitellaria paradoxa) and néré (Parkia biglobosa) trees on sorghum production in Burkina Faso","type":"article-journal","volume":"17"},"uris":["http://www.mendeley.com/documents/?uuid=567615b3-db55-482c-bb8c-f7755d7ef0f9"]}],"mendeley":{"formattedCitation":"(Kessler, 1992)","plainTextFormattedCitation":"(Kessler, 1992)","previouslyFormattedCitation":"(Kessler 1992)"},"properties":{"noteIndex":0},"schema":"https://github.com/citation-style-language/schema/raw/master/csl-citation.json"}</w:instrText>
      </w:r>
      <w:r w:rsidR="00A6358F"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(Kessler, 1992)</w:t>
      </w:r>
      <w:r w:rsidR="00A6358F" w:rsidRPr="00C5457C">
        <w:rPr>
          <w:rFonts w:ascii="Times New Roman" w:hAnsi="Times New Roman" w:cs="Times New Roman"/>
          <w:sz w:val="24"/>
          <w:szCs w:val="24"/>
        </w:rPr>
        <w:fldChar w:fldCharType="end"/>
      </w:r>
      <w:r w:rsidR="00A6358F" w:rsidRPr="00C5457C">
        <w:rPr>
          <w:rFonts w:ascii="Times New Roman" w:hAnsi="Times New Roman" w:cs="Times New Roman"/>
          <w:sz w:val="24"/>
          <w:szCs w:val="24"/>
        </w:rPr>
        <w:t xml:space="preserve">. </w:t>
      </w:r>
      <w:r w:rsidR="00A6358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{"citationItems":[{"id":"ITEM-1","itemData":{"ISSN":"1991637X","abstract":"In agro forestry systems, crop yields under trees are often low compared to outside. This study explored crop management under trees for improved production and income for farmers. Cowpea (Vignaunguiculata) and pearl millet (Pennisetum glaucum) sole and intercrops were grown under and outside the shade of six randomly selected Parkia biglobosa trees during one season in south-central Burkina Faso. The area under the canopy of each tree was divided into four main plots according to cardinal directions, and sub-divided into three concentric zones. Control plots were established outside the tree canopy. The crops were intercropped in two different proportions using the replacement method and compared to sole crops. Days to flowering were noted and yields were measured, and Land Equivalent Ratio (LER) and Monetary Advantage Index (MAI) calculated. Flowering was earlier outside than under the trees and intercrops flowered earlier than sole crops. Cowpea sole crops had significant grain yield losses of up to 21% under trees compared to outside, and pearl millet yield was reduced up to 67% under trees. Intercrop yields were less affected by growth under trees. LER was significantly higher under the trees than outside, and were always larger than unity indicating benefits of intercropping over sole cropping. Intercropping with two rows of cowpea and one row of millet gave significantly higher economic benefit than mixture with one row of each of the crops. Results indicate that intercropping could improve the system's productivity, increase the income for farmers, and compensate losses in pearl millet under the canopy. © 2011 Academic Journals.","author":[{"dropping-particle":"","family":"Osman","given":"Ahmed Nur","non-dropping-particle":"","parse-names":false,"suffix":""},{"dropping-particle":"","family":"Ræbild","given":"Anders","non-dropping-particle":"","parse-names":false,"suffix":""},{"dropping-particle":"","family":"Christiansen","given":"Jørgen Lindskrog","non-dropping-particle":"","parse-names":false,"suffix":""},{"dropping-particle":"","family":"Bayala","given":"Jules","non-dropping-particle":"","parse-names":false,"suffix":""}],"container-title":"African Journal of Agricultural Research","id":"ITEM-1","issue":"4","issued":{"date-parts":[["2011"]]},"page":"882-891","title":"Performance of cowpea (Vigna unguiculata) and pearl millet (Pennisetum glaucum) intercropped under parkia biglobosa in an agroforestry system in Burkina Faso","type":"article-journal","volume":"6"},"uris":["http://www.mendeley.com/documents/?uuid=cc0f48c0-5ba1-40c7-b4e7-1f7c8d7343a4"]}],"mendeley":{"formattedCitation":"(Osman et al., 2011)","manualFormatting":"Osman et al., (2011)","plainTextFormattedCitation":"(Osman et al., 2011)","previouslyFormattedCitation":"(Osman et al. 2011)"},"properties":{"noteIndex":0},"schema":"https://github.com/citation-style-language/schema/raw/master/csl-citation.json"}</w:instrText>
      </w:r>
      <w:r w:rsidR="00A6358F" w:rsidRPr="00C5457C">
        <w:rPr>
          <w:rFonts w:ascii="Times New Roman" w:hAnsi="Times New Roman" w:cs="Times New Roman"/>
          <w:sz w:val="24"/>
          <w:szCs w:val="24"/>
        </w:rPr>
        <w:fldChar w:fldCharType="separate"/>
      </w:r>
      <w:r w:rsidR="00A6358F" w:rsidRPr="00C5457C">
        <w:rPr>
          <w:rFonts w:ascii="Times New Roman" w:hAnsi="Times New Roman" w:cs="Times New Roman"/>
          <w:noProof/>
          <w:sz w:val="24"/>
          <w:szCs w:val="24"/>
        </w:rPr>
        <w:t>Osman et al., (2011)</w:t>
      </w:r>
      <w:r w:rsidR="00A6358F" w:rsidRPr="00C5457C">
        <w:rPr>
          <w:rFonts w:ascii="Times New Roman" w:hAnsi="Times New Roman" w:cs="Times New Roman"/>
          <w:sz w:val="24"/>
          <w:szCs w:val="24"/>
        </w:rPr>
        <w:fldChar w:fldCharType="end"/>
      </w:r>
      <w:r w:rsidR="00A6358F" w:rsidRPr="00C5457C">
        <w:rPr>
          <w:rFonts w:ascii="Times New Roman" w:hAnsi="Times New Roman" w:cs="Times New Roman"/>
          <w:sz w:val="24"/>
          <w:szCs w:val="24"/>
        </w:rPr>
        <w:t xml:space="preserve"> ont démontrés que les cultures de niébé ont subi des pertes importantes de rendement en grains, allant jusqu'à 21 % sous les arbres par rapport à l'extérieur, ainsi que des pertes significatives de rendement du millet perlé, allant jusqu'à 67 % sous les arbres.  Mais La croissance sous les arbres a eu un impact moins important sur les rendements des cultures intercalaires.</w:t>
      </w:r>
    </w:p>
    <w:p w14:paraId="22AAB404" w14:textId="7A5EA8BB" w:rsidR="00C74276" w:rsidRPr="00C5457C" w:rsidRDefault="009F01B2"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En outre,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Jaleta","given":"Moti","non-dropping-particle":"","parse-names":false,"suffix":""},{"dropping-particle":"","family":"Kassie","given":"Menale","non-dropping-particle":"","parse-names":false,"suffix":""},{"dropping-particle":"","family":"Shiferaw","given":"Bekele","non-dropping-particle":"","parse-names":false,"suffix":""}],"container-title":"AgEcon Search","id":"ITEM-1","issued":{"date-parts":[["2012"]]},"page":"30","title":"Tradeoffs in Crop Residue Utilization in Mixed Crop-Livestock Systems and Implications for Conservation Agriculture and Sustainable Land Management","type":"article-journal"},"uris":["http://www.mendeley.com/documents/?uuid=c8ed96df-dd7d-43a8-acf1-bd49884d022a"]}],"mendeley":{"formattedCitation":"(Jaleta et al., 2012)","manualFormatting":"Jaleta et al., (2012)","plainTextFormattedCitation":"(Jaleta et al., 2012)","previouslyFormattedCitation":"(Jaleta, Kassie, and Shiferaw 2012)"},"properties":{"noteIndex":0},"schema":"https://github.com/citation-style-language/schema/raw/master/csl-citation.json"}</w:instrText>
      </w:r>
      <w:r w:rsidRPr="00C5457C">
        <w:rPr>
          <w:rFonts w:ascii="Times New Roman" w:hAnsi="Times New Roman" w:cs="Times New Roman"/>
          <w:sz w:val="24"/>
          <w:szCs w:val="24"/>
        </w:rPr>
        <w:fldChar w:fldCharType="separate"/>
      </w:r>
      <w:r w:rsidRPr="00C5457C">
        <w:rPr>
          <w:rFonts w:ascii="Times New Roman" w:hAnsi="Times New Roman" w:cs="Times New Roman"/>
          <w:noProof/>
          <w:sz w:val="24"/>
          <w:szCs w:val="24"/>
        </w:rPr>
        <w:t>Jaleta et al., (2012)</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et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{"citationItems":[{"id":"ITEM-1","itemData":{"DOI":"10.1016/j.agsy.2014.05.013","ISSN":"0308521X","abstract":"Crop residues (CR) have become a limited resource in mixed crop-livestock farms. As a result of the increasing demand and low availability of alternative resources, CR became an essential resource for household activities, especially for livestock keeping; a major livelihood element of smallholder farmers in the developing world. Farmers' decisions on CR use are determined by farmers' preferences, total crop production, availability of alternative resources and demand for CR. Interaction of these determinants can result in pressures and trade-offs of CR use. Determinants, pressures and trade-offs are shaped by the specific socio-economic and agro-ecological context of these mixed farms. The objective of this paper is to provide a comparative analysis of the determinants of CR use and to examine some options to cope with pressures and trade-offs in 12 study sites across Sub-Saharan Africa and South Asia. Drawing on socio-economic data at household and village level, we describe how cereal intensification and livestock feed demand influence use, pressures and trade-offs of CR use across study sites, specifically cereal residue. Our results show that in low cereal production and livestock feed demand sites, despite a low demand for CR and availability of alternative biomass, pressures and trade-offs of CR use are common particularly in the dry season. In sites with moderate cereal production, and low-moderate and moderate livestock feed demand, alternative biomass resources are scarce and most residues are fed to livestock or used to cover household needs. Subsequently, pressures and potential trade-offs are stronger. In sites with low cereal production and high livestock feed demand, pressures and trade-offs depend on the availability of better feed resources. Finally, sites with high cereal production and high livestock feed demand have been able to fulfil most of the demand for CR, limiting pressures and trade-offs. These patterns show that agricultural intensification, better management of communal resources and off-farm activities are plausible development pathways to overcome pressures and trade-offs of CR use. Although technologies can largely improve these trends, research and development should revisit past initiatives so as to develop innovative approaches to tackle the well-known problem of low agricultural production in many smallholder mixed systems, creating more sustainable futures.","author":[{"dropping-particle":"","family":"Valbuena","given":"Diego","non-dropping-particle":"","parse-names":false,"suffix":""},{"dropping-particle":"","family":"Tui","given":"Sabine Homann Kee","non-dropping-particle":"","parse-names":false,"suffix":""},{"dropping-particle":"","family":"Erenstein","given":"Olaf","non-dropping-particle":"","parse-names":false,"suffix":""},{"dropping-particle":"","family":"Teufel","given":"Nils","non-dropping-particle":"","parse-names":false,"suffix":""},{"dropping-particle":"","family":"Duncan","given":"Alan","non-dropping-particle":"","parse-names":false,"suffix":""},{"dropping-particle":"","family":"Abdoulaye","given":"Tahirou","non-dropping-particle":"","parse-names":false,"suffix":""},{"dropping-particle":"","family":"Swain","given":"Braja","non-dropping-particle":"","parse-names":false,"suffix":""},{"dropping-particle":"","family":"Mekonnen","given":"Kindu","non-dropping-particle":"","parse-names":false,"suffix":""},{"dropping-particle":"","family":"Germaine","given":"Ibro","non-dropping-particle":"","parse-names":false,"suffix":""},{"dropping-particle":"","family":"Gérard","given":"Bruno","non-dropping-particle":"","parse-names":false,"suffix":""}],"container-title":"Agricultural Systems","id":"ITEM-1","issued":{"date-parts":[["2015"]]},"page":"107-118","publisher":"Elsevier Ltd","title":"Identifying determinants, pressures and trade-offs of crop residue use in mixed smallholder farms in Sub-Saharan Africa and South Asia","type":"article-journal","volume":"134"},"uris":["http://www.mendeley.com/documents/?uuid=2009c8b2-a61b-491a-b797-c4e6550017e8"]},{"id":"ITEM-2","itemData":{"DOI":"10.1016/j.fcr.2012.02.022","ISSN":"03784290","abstract":"Conservation Agriculture (CA) is being advocated to enhance soil health and sustain long term crop productivity in the developing world. One of CA's key principles is the maintenance of soil cover often by retaining a proportion of crop residues on the field as mulch. Yet smallholder crop-livestock systems across Africa and Asia face trade-offs among various options for crop residue use. Knowledge of the potential trade-offs of leaving more residues as mulch is only partial and the objective of this research is to address some of these knowledge gaps by assessing the trade-offs in contrasting settings with mixed crop-livestock systems. The paper draws from village surveys in 12 sites in 9 different countries across Sub-Sahara Africa and South Asia. Sites were clustered into 3 groups along the combined population and livestock density gradients to assess current crop residue management practices and explore potential challenges to adopting mulching practices in different circumstances. Results show that although high-density sites face higher potential pressure on resources on an area basis, biomass production tends to be more substantial in these sites covering demands for livestock feed and allowing part of the residues to be used as mulch. In medium-density sites, although population and livestock densities are relatively lower, biomass is scarce and pressure on land and feed are high, increasing the pressure on crop residues and their opportunity cost as mulch. In low-density areas, population and livestock densities are relatively low and communal feed and fuel resources exist, resulting in lower potential pressure on residues on an area basis. Yet, biomass production is low and farmers largely rely on crop residues to feed livestock during the long dry season, implying substantial opportunity costs to their use as mulch. Despite its potential benefit for smallholder farmers across the density gradient, the introduction of CA-based mulching practices appears potentially easier in sites where biomass production is high enough to fulfil existing demands for feed and fuel. In sites with relatively high feed and fuel pressure, the eventual introduction of CA needs complementary research and development efforts to increase biomass production and/or develop alternative sources to alleviate the opportunity costs of leaving some crop residues as mulch. © 2012 Elsevier B.V.","author":[{"dropping-particle":"","family":"Valbuena","given":"Diego","non-dropping-particle":"","parse-names":false,"suffix":""},{"dropping-particle":"","family":"Erenstein","given":"Olaf","non-dropping-particle":"","parse-names":false,"suffix":""},{"dropping-particle":"","family":"Homann-Kee Tui","given":"Sabine","non-dropping-particle":"","parse-names":false,"suffix":""},{"dropping-particle":"","family":"Abdoulaye","given":"Tahirou","non-dropping-particle":"","parse-names":false,"suffix":""},{"dropping-particle":"","family":"Claessens","given":"Lieven","non-dropping-particle":"","parse-names":false,"suffix":""},{"dropping-particle":"","family":"Duncan","given":"Alan J.","non-dropping-particle":"","parse-names":false,"suffix":""},{"dropping-particle":"","family":"Gérard","given":"Bruno","non-dropping-particle":"","parse-names":false,"suffix":""},{"dropping-particle":"","family":"Rufino","given":"Mariana C.","non-dropping-particle":"","parse-names":false,"suffix":""},{"dropping-particle":"","family":"Teufel","given":"Nils","non-dropping-particle":"","parse-names":false,"suffix":""},{"dropping-particle":"","family":"Rooyen","given":"André","non-dropping-particle":"van","parse-names":false,"suffix":""},{"dropping-particle":"","family":"Wijk","given":"Mark T.","non-dropping-particle":"van","parse-names":false,"suffix":""}],"container-title":"Field Crops Research","id":"ITEM-2","issued":{"date-parts":[["2012"]]},"page":"175-184","publisher":"Elsevier B.V.","title":"Conservation Agriculture in mixed crop-livestock systems: Scoping crop residue trade-offs in Sub-Saharan Africa and South Asia","type":"article-journal","volume":"132"},"uris":["http://www.mendeley.com/documents/?uuid=e7580348-5088-4b9c-a2f6-d491b681edcd"]}],"mendeley":{"formattedCitation":"(Valbuena et al., 2012, 2015)","manualFormatting":"Valbuena et al., (2012, 2015)","plainTextFormattedCitation":"(Valbuena et al., 2012, 2015)","previouslyFormattedCitation":"(Valbuena et al. 2012, 2015)"},"properties":{"noteIndex":0},"schema":"https://github.com/citation-style-language/schema/raw/master/csl-citation.json"}</w:instrText>
      </w:r>
      <w:r w:rsidRPr="00C5457C">
        <w:rPr>
          <w:rFonts w:ascii="Times New Roman" w:hAnsi="Times New Roman" w:cs="Times New Roman"/>
          <w:sz w:val="24"/>
          <w:szCs w:val="24"/>
        </w:rPr>
        <w:fldChar w:fldCharType="separate"/>
      </w:r>
      <w:r w:rsidRPr="00C5457C">
        <w:rPr>
          <w:rFonts w:ascii="Times New Roman" w:hAnsi="Times New Roman" w:cs="Times New Roman"/>
          <w:noProof/>
          <w:sz w:val="24"/>
          <w:szCs w:val="24"/>
        </w:rPr>
        <w:t>Valbuena et al., (2012, 2015)</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ont établi que l</w:t>
      </w:r>
      <w:r w:rsidR="00C74276" w:rsidRPr="00C5457C">
        <w:rPr>
          <w:rFonts w:ascii="Times New Roman" w:hAnsi="Times New Roman" w:cs="Times New Roman"/>
          <w:sz w:val="24"/>
          <w:szCs w:val="24"/>
        </w:rPr>
        <w:t xml:space="preserve">'existence d'un grand nombre d'arbres adultes dans les parcelles agricoles diminue également la quantité de résidus utilisés pour l'alimentation des animaux. Cela pourrait être dû au fait qu'une partie des feuilles et des pousses de ces arbres pourrait être utilisée pour nourrir le bétail et réduire la pression exercée sur les </w:t>
      </w:r>
      <w:r w:rsidR="00377695" w:rsidRPr="00C5457C">
        <w:rPr>
          <w:rFonts w:ascii="Times New Roman" w:hAnsi="Times New Roman" w:cs="Times New Roman"/>
          <w:sz w:val="24"/>
          <w:szCs w:val="24"/>
        </w:rPr>
        <w:t xml:space="preserve">résidus de culture </w:t>
      </w:r>
      <w:r w:rsidR="00C74276" w:rsidRPr="00C5457C">
        <w:rPr>
          <w:rFonts w:ascii="Times New Roman" w:hAnsi="Times New Roman" w:cs="Times New Roman"/>
          <w:sz w:val="24"/>
          <w:szCs w:val="24"/>
        </w:rPr>
        <w:t>en tant qu'aliments pour animaux.</w:t>
      </w:r>
    </w:p>
    <w:p w14:paraId="3477E448" w14:textId="3DB37B58" w:rsidR="00057374" w:rsidRPr="00C5457C" w:rsidRDefault="003437E0" w:rsidP="00C5457C">
      <w:pPr>
        <w:pStyle w:val="Titre3"/>
        <w:spacing w:line="360" w:lineRule="auto"/>
        <w:jc w:val="both"/>
        <w:rPr>
          <w:rFonts w:ascii="Times New Roman" w:hAnsi="Times New Roman" w:cs="Times New Roman"/>
        </w:rPr>
      </w:pPr>
      <w:r w:rsidRPr="00C5457C">
        <w:rPr>
          <w:rFonts w:ascii="Times New Roman" w:hAnsi="Times New Roman" w:cs="Times New Roman"/>
        </w:rPr>
        <w:lastRenderedPageBreak/>
        <w:t xml:space="preserve">Antagonisme et compromis </w:t>
      </w:r>
      <w:r w:rsidR="00057374" w:rsidRPr="00C5457C">
        <w:rPr>
          <w:rFonts w:ascii="Times New Roman" w:hAnsi="Times New Roman" w:cs="Times New Roman"/>
        </w:rPr>
        <w:t>aux associations de culture</w:t>
      </w:r>
    </w:p>
    <w:p w14:paraId="2EEB4494" w14:textId="3AD12B1A" w:rsidR="00425C93" w:rsidRPr="00C5457C" w:rsidRDefault="00D22F50"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Les cultures intercalaires présentent des avantages, comme indiqué précédemment, Mais la capacité des cultures à être concurrentielles peut avoir un impact sur la performance et le succès des systèmes de culture intercalaire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{"citationItems":[{"id":"ITEM-1","itemData":{"DOI":"10.3390/agronomy11020343","ISSN":"20734395","abstract":"Intensive agriculture is based on the use of high-energy inputs and quality planting materials with assured irrigation, but it has failed to assure agricultural sustainability because of creation of ecological imbalance and degradation of natural resources. On the other hand, intercropping systems, also known as mixed cropping or polyculture, a traditional farming practice with diversified crop cultivation, uses comparatively low inputs and improves the quality of the agro-ecosystem. Intensification of crops can be done spatially and temporally by the adoption of the intercropping system targeting future need. Intercropping ensures multiple benefits like enhancement of yield, environmental security, production sustainability and greater ecosystem services. In intercropping, two or more crop species are grown concurrently as they coexist for a significant part of the crop cycle and interact among themselves and agro-ecosystems. Legumes as component crops in the intercropping system play versatile roles like biological N fixation and soil quality improvement, additional yield output including protein yield, and creation of functional diversity. But growing two or more crops together requires additional care and management for the creation of less competition among the crop species and efficient utilization of natural resources. Research evidence showed beneficial impacts of a properly managed intercropping system in terms of resource utilization and combined yield of crops grown with low-input use. The review highlights the principles and management of an intercropping system and its benefits and usefulness as a low-input agriculture for food and environmental security.","author":[{"dropping-particle":"","family":"Maitra","given":"Sagar","non-dropping-particle":"","parse-names":false,"suffix":""},{"dropping-particle":"","family":"Hossain","given":"Akbar","non-dropping-particle":"","parse-names":false,"suffix":""},{"dropping-particle":"","family":"Brestic","given":"Marian","non-dropping-particle":"","parse-names":false,"suffix":""},{"dropping-particle":"","family":"Skalicky","given":"Milan","non-dropping-particle":"","parse-names":false,"suffix":""},{"dropping-particle":"","family":"Ondrisik","given":"Peter","non-dropping-particle":"","parse-names":false,"suffix":""},{"dropping-particle":"","family":"Gitari","given":"Harun","non-dropping-particle":"","parse-names":false,"suffix":""},{"dropping-particle":"","family":"Brahmachari","given":"Koushik","non-dropping-particle":"","parse-names":false,"suffix":""},{"dropping-particle":"","family":"Shankar","given":"Tanmoy","non-dropping-particle":"","parse-names":false,"suffix":""},{"dropping-particle":"","family":"Bhadra","given":"Preetha","non-dropping-particle":"","parse-names":false,"suffix":""},{"dropping-particle":"","family":"Palai","given":"Jnana Bharati","non-dropping-particle":"","parse-names":false,"suffix":""},{"dropping-particle":"","family":"Jena","given":"Jagadish","non-dropping-particle":"","parse-names":false,"suffix":""},{"dropping-particle":"","family":"Bhattacharya","given":"Urjashi","non-dropping-particle":"","parse-names":false,"suffix":""},{"dropping-particle":"","family":"Duvvada","given":"Sarath Kumar","non-dropping-particle":"","parse-names":false,"suffix":""},{"dropping-particle":"","family":"Lalichetti","given":"Sagar","non-dropping-particle":"","parse-names":false,"suffix":""},{"dropping-particle":"","family":"Sairam","given":"Masina","non-dropping-particle":"","parse-names":false,"suffix":""}],"container-title":"Agronomy","id":"ITEM-1","issue":"2","issued":{"date-parts":[["2021"]]},"page":"343","title":"Intercropping—A Low Input Agricultural Strategy for Food and Environmental Security","type":"article-journal","volume":"11"},"uris":["http://www.mendeley.com/documents/?uuid=232dd15f-767d-43da-af74-7e8e413be869"]}],"mendeley":{"formattedCitation":"(Maitra et al., 2021)","plainTextFormattedCitation":"(Maitra et al., 2021)","previouslyFormattedCitation":"(Maitra et al. 2021)"},"properties":{"noteIndex":0},"schema":"https://github.com/citation-style-language/schema/raw/master/csl-citation.json"}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(Maitra et al., 2021)</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proofErr w:type="spellStart"/>
      <w:r w:rsidR="00114AC8" w:rsidRPr="00C5457C">
        <w:rPr>
          <w:rFonts w:ascii="Times New Roman" w:hAnsi="Times New Roman" w:cs="Times New Roman"/>
          <w:sz w:val="24"/>
          <w:szCs w:val="24"/>
        </w:rPr>
        <w:t>Gliessman</w:t>
      </w:r>
      <w:proofErr w:type="spellEnd"/>
      <w:r w:rsidR="00114AC8" w:rsidRPr="00C5457C">
        <w:rPr>
          <w:rFonts w:ascii="Times New Roman" w:hAnsi="Times New Roman" w:cs="Times New Roman"/>
          <w:sz w:val="24"/>
          <w:szCs w:val="24"/>
        </w:rPr>
        <w:t>, (1985) a constaté que l</w:t>
      </w:r>
      <w:r w:rsidRPr="00C5457C">
        <w:rPr>
          <w:rFonts w:ascii="Times New Roman" w:hAnsi="Times New Roman" w:cs="Times New Roman"/>
          <w:sz w:val="24"/>
          <w:szCs w:val="24"/>
        </w:rPr>
        <w:t xml:space="preserve">e couvert végétal des associations de cultures peut créer un microclimat avec une humidité relative plus élevée, propice à la propagation des maladies, en particulier des pathogènes fongiques. </w:t>
      </w:r>
      <w:r w:rsidR="00BE2128" w:rsidRPr="00C5457C">
        <w:rPr>
          <w:rFonts w:ascii="Times New Roman" w:hAnsi="Times New Roman" w:cs="Times New Roman"/>
          <w:sz w:val="24"/>
          <w:szCs w:val="24"/>
        </w:rPr>
        <w:t xml:space="preserve">Aussi, dans les cultures intercalaires, on observe une concurrence entre les espèces composantes cultivées pendant toute la période de culture ou une partie de la durée de culture pour les ressources disponibles </w:t>
      </w:r>
      <w:r w:rsidR="00BE2128"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{"citationItems":[{"id":"ITEM-1","itemData":{"DOI":"10.1016/S0065-2113(08)60802-0","ISSN":"00652113","abstract":"This chapter describes the various aspects of cereal-legume intercropping systems. Intercropping is the growing of two or more crop species simultaneously in the same field during a growing season. The intercropping of legumes with cereals offers scope for developing energy-efficient and sustainable agriculture. The main types of intercropping include mixed intercropping, row intercropping, and strip intercropping. Crop combinations differ with geographical location and there may be intercropping of tree crops, intercropping of tree and field crops, or intercropping of field crops. Combinations of crops are determined primarily by the length of the growing season and the adaptation of crops to particular environments. Different indices have been suggested for evaluating productivity and efficiency per unit area of land of cereal-legume intercrop systems. These include comparisons of absolute yields, protein yields, caloric equivalent, and in economic terms, gross returns from intercrops and sole crops. Differences in competitive ability affect the relative performance of component crops and thus the land equivalent ratio values of different cereal-legume intercrop systems. It is found that phosphorus is a major nutrient that determines the production potential of most grain legumes usually intercropped with cereals. © 1987, Academic Press Inc. All rights reserved.","author":[{"dropping-particle":"","family":"Ofori","given":"Francis","non-dropping-particle":"","parse-names":false,"suffix":""},{"dropping-particle":"","family":"Stern","given":"W. R.","non-dropping-particle":"","parse-names":false,"suffix":""}],"container-title":"Advances in Agronomy","id":"ITEM-1","issue":"C","issued":{"date-parts":[["1987"]]},"page":"41-90","title":"Cereal–Legume Intercropping Systems","type":"article-journal","volume":"41"},"uris":["http://www.mendeley.com/documents/?uuid=1d68c85a-3461-4529-b6ba-4e767aa97d0f"]}],"mendeley":{"formattedCitation":"(Ofori &amp; Stern, 1987)","plainTextFormattedCitation":"(Ofori &amp; Stern, 1987)","previouslyFormattedCitation":"(Ofori and Stern 1987)"},"properties":{"noteIndex":0},"schema":"https://github.com/citation-style-language/schema/raw/master/csl-citation.json"}</w:instrText>
      </w:r>
      <w:r w:rsidR="00BE2128"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(Ofori &amp; Stern, 1987)</w:t>
      </w:r>
      <w:r w:rsidR="00BE2128"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w:t>
      </w:r>
      <w:r w:rsidR="00AA2B99" w:rsidRPr="00C5457C">
        <w:rPr>
          <w:rFonts w:ascii="Times New Roman" w:hAnsi="Times New Roman" w:cs="Times New Roman"/>
          <w:sz w:val="24"/>
          <w:szCs w:val="24"/>
        </w:rPr>
        <w:t xml:space="preserve">L'un des principaux inconvénients de la culture intercalaire réside dans le fait que lors de la récolte de la culture à maturation précoce, il peut y avoir une perturbation mécanique de la culture de longue durée, ce qui peut entraîner des dommages aux autres cultures </w:t>
      </w:r>
      <w:r w:rsidR="00AA2B99"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{"citationItems":[{"id":"ITEM-1","itemData":{"DOI":"10.30954/0974-1712.03.2019.7","ISSN":"09741712","abstract":"Intercropping, an age old agricultural practice of cultivating two or more crops in the same space at the same time is generally adopted for more production by utilizing available growth resources. Choice of crops is very important to reap a better harvest from intercropping. The selection of a suitable intercropping system is sort of complicated issue as the success of intercropping depends much on the interactions between the component crop species, proper management practices and favorable environmental conditions. Intercropping has a huge potential and multiple advantages. The advantages are like efficient utilization of resources, enhancement of soil fertility by including legumes as component in mixture and soil conservation through covering the greater ground cover. Moreover, intercropping reduces attack of insect pest, checks the incidence of diseases and restricts weed population and thus minimizes the use of protection plant chemicals. This article addresses an overall view with a focus on prime advantages supported by evidences from the literature based on earlier research. Highlights m Types and advantages of intercropping m Crop choice in intercropping","author":[{"dropping-particle":"","family":"Maitra,","given":"Sagar","non-dropping-particle":"","parse-names":false,"suffix":""},{"dropping-particle":"","family":"Palai","given":"Jnana Bharati","non-dropping-particle":"","parse-names":false,"suffix":""},{"dropping-particle":"","family":"Kumar","given":"Pilli Manasa and Dibbagandla Prasanna","non-dropping-particle":"","parse-names":false,"suffix":""}],"container-title":"International Journal of Agriculture Environment and Biotechnology","id":"ITEM-1","issue":"01","issued":{"date-parts":[["2019"]]},"title":"Potential of Intercropping System in Sustaining Crop Productivity","type":"article-journal","volume":"12"},"uris":["http://www.mendeley.com/documents/?uuid=9cb112d6-cca9-4022-bcaf-521bd62b2df4"]}],"mendeley":{"formattedCitation":"(Maitra, et al., 2019)","plainTextFormattedCitation":"(Maitra, et al., 2019)","previouslyFormattedCitation":"(Maitra, Palai, and Kumar 2019)"},"properties":{"noteIndex":0},"schema":"https://github.com/citation-style-language/schema/raw/master/csl-citation.json"}</w:instrText>
      </w:r>
      <w:r w:rsidR="00AA2B99"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(Maitra, et al., 2019)</w:t>
      </w:r>
      <w:r w:rsidR="00AA2B99" w:rsidRPr="00C5457C">
        <w:rPr>
          <w:rFonts w:ascii="Times New Roman" w:hAnsi="Times New Roman" w:cs="Times New Roman"/>
          <w:sz w:val="24"/>
          <w:szCs w:val="24"/>
        </w:rPr>
        <w:fldChar w:fldCharType="end"/>
      </w:r>
      <w:r w:rsidR="00AA2B99" w:rsidRPr="00C5457C">
        <w:rPr>
          <w:rFonts w:ascii="Times New Roman" w:hAnsi="Times New Roman" w:cs="Times New Roman"/>
          <w:sz w:val="24"/>
          <w:szCs w:val="24"/>
        </w:rPr>
        <w:t>. Il a été observé dans de nombreux cas que les cultures intercalaires diminuaient le rendement de la culture principale/de base par rapport à la culture pure, en raison de la concurrence entre les plantes intercalaires pour la lumière, les nutriments du sol et l'eau (</w:t>
      </w:r>
      <w:proofErr w:type="spellStart"/>
      <w:r w:rsidR="00AA2B99" w:rsidRPr="00C5457C">
        <w:rPr>
          <w:rFonts w:ascii="Times New Roman" w:hAnsi="Times New Roman" w:cs="Times New Roman"/>
          <w:sz w:val="24"/>
          <w:szCs w:val="24"/>
        </w:rPr>
        <w:t>Gliessman</w:t>
      </w:r>
      <w:proofErr w:type="spellEnd"/>
      <w:r w:rsidR="00AA2B99" w:rsidRPr="00C5457C">
        <w:rPr>
          <w:rFonts w:ascii="Times New Roman" w:hAnsi="Times New Roman" w:cs="Times New Roman"/>
          <w:sz w:val="24"/>
          <w:szCs w:val="24"/>
        </w:rPr>
        <w:t>, 1985</w:t>
      </w:r>
      <w:r w:rsidR="001C2462" w:rsidRPr="00C5457C">
        <w:rPr>
          <w:rFonts w:ascii="Times New Roman" w:hAnsi="Times New Roman" w:cs="Times New Roman"/>
          <w:sz w:val="24"/>
          <w:szCs w:val="24"/>
        </w:rPr>
        <w:t xml:space="preserve">; </w:t>
      </w:r>
      <w:r w:rsidR="005D3BA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{"citationItems":[{"id":"ITEM-1","itemData":{"DOI":"10.5539/jas.v2n3p229","ISSN":"1916-9752","abstract":"The competitive behaviour of sorghum-cowpea intercrops at different planting patterns were studied at the Abubakar Tafawa Balewa University Teaching and Research farm, Bauchi in the northern Guinea savanna of Nigeria during the 2005 and 2006 growing seasons. The treatments comprised of three row arrangements of sorghum/cowpea mixtures; one row of sorghum for one row of cowpea (1S:1C), two rows of sorghum for one row of cowpea (2S:1C) and one row of sorghum for two rows of cowpea (1S:2C), respectively. Sole crops of sorghum and cowpea were included as check to compare yields of intercropped mixtures. Results indicated that grain and straw yields of both sorghum and cowpea were higher in sole cropping than in the intercropping mixtures. However, the 2S:1C planting arrangement exhibited higher LER, competitive indices values, SPI and MAI (Naira 7857.11) compared to the other planting arrangements and the sole crops. From this study, it is inferred that intercropping of sorghum with cowpea at 2S:1C planting pattern will give higher income, better land use efficiency and thus enhancing sustainability of crop production than sole culture of each crop species.","author":[{"dropping-particle":"","family":"Oseni","given":"Tajudeen Olusegun","non-dropping-particle":"","parse-names":false,"suffix":""}],"container-title":"Journal of Agricultural Science","id":"ITEM-1","issue":"3","issued":{"date-parts":[["2010"]]},"page":"229-234","title":"Evaluation of Sorghum-Cowpea Intercrop Productivity in Savanna Agro-ecology using Competition Indices","type":"article-journal","volume":"2"},"uris":["http://www.mendeley.com/documents/?uuid=ab0d3e54-bee6-42e0-93ed-4da93125c2cc"]}],"mendeley":{"formattedCitation":"(Oseni, 2010)","manualFormatting":"Oseni, 2010","plainTextFormattedCitation":"(Oseni, 2010)","previouslyFormattedCitation":"(Oseni 2010)"},"properties":{"noteIndex":0},"schema":"https://github.com/citation-style-language/schema/raw/master/csl-citation.json"}</w:instrText>
      </w:r>
      <w:r w:rsidR="005D3BAF" w:rsidRPr="00C5457C">
        <w:rPr>
          <w:rFonts w:ascii="Times New Roman" w:hAnsi="Times New Roman" w:cs="Times New Roman"/>
          <w:sz w:val="24"/>
          <w:szCs w:val="24"/>
        </w:rPr>
        <w:fldChar w:fldCharType="separate"/>
      </w:r>
      <w:r w:rsidR="005D3BAF" w:rsidRPr="00C5457C">
        <w:rPr>
          <w:rFonts w:ascii="Times New Roman" w:hAnsi="Times New Roman" w:cs="Times New Roman"/>
          <w:noProof/>
          <w:sz w:val="24"/>
          <w:szCs w:val="24"/>
        </w:rPr>
        <w:t>Oseni, 2010</w:t>
      </w:r>
      <w:r w:rsidR="005D3BAF" w:rsidRPr="00C5457C">
        <w:rPr>
          <w:rFonts w:ascii="Times New Roman" w:hAnsi="Times New Roman" w:cs="Times New Roman"/>
          <w:sz w:val="24"/>
          <w:szCs w:val="24"/>
        </w:rPr>
        <w:fldChar w:fldCharType="end"/>
      </w:r>
      <w:r w:rsidR="005D3BAF" w:rsidRPr="00C5457C">
        <w:rPr>
          <w:rFonts w:ascii="Times New Roman" w:hAnsi="Times New Roman" w:cs="Times New Roman"/>
          <w:sz w:val="24"/>
          <w:szCs w:val="24"/>
        </w:rPr>
        <w:t xml:space="preserve"> ; </w:t>
      </w:r>
      <w:r w:rsidR="005D3BA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{"citationItems":[{"id":"ITEM-1","itemData":{"DOI":"10.1017/S1742170507002025","ISSN":"17421705","abstract":"Intercropping is the simultaneous cultivation of more than one crop species on the same piece of land and is regarded as the practical application of basic ecological principles such as diversity, competition and facilitation. Field experiments were carried out on a sandy loam soil and a sandy soil in Denmark over three consecutive cropping seasons including dual grain legume (pea, faba bean and lupin)-barley intercropping as compared to the respective sole crops (SC). Yield stability of intercrops (IC) was not greater than that of grain legume SC, with the exception of the IC containing faba bean. Faba bean and lupin had lower yield stability than pea and fertilized barley. However, the different IC used environmental resources for plant growth up to 50% (LER=0.91-1.51) more effectively as compared to the respective SC, but with considerable variation over location, years and crops. The SC performance supported the interspecific interactions within the IC stand. On the sandy loam 13% greater grain yield of pea cv. Agadir (520 g m-2) was observed as compared to cv. Bohatyr. Faba bean and lupin yielded similarly (340 g m-2) in the sandy loam soil, with decreasing yields on the sandy soil (320-270 g m-2). Nitrogen fixation was very constant in grain legume SC over species and location, varying from 13.2 to 15.8 g N m-2, being lowest in peas and highest in faba bean and lupin. The intercropped grain legumes increased the proportion of plant N derived from N2-fixation by on average 10-15% compared to the corresponding SC. However, especially lupin was suppressed when intercropping, with a reduced N2-fixation from 15 to 5-6 g N m-2. The IC were particularly effective at suppressing weeds, capturing a greater share of available resources than SC. Weed infestation in the different crops was comparable; however, it tended to be the highest in sole cropped faba bean, lupin and unfertilized barley, where the application of urea to barley reduced the weed infestation by around 50%. Reduction in disease was observed in all IC systems compared to the corresponding SC, with a general disease reduction in the range of 20-40%. For one disease in particular (brown spot on lupin) disease reduction was almost 80% in the IC. Intercropping practices offer many advantages but improved understanding of the ecological mechanisms associated with planned spatial diversity, including additional benefits with associated diversity, is needed to enhance the benefits achieved. © 2008…","author":[{"dropping-particle":"","family":"Hauggaard-Nielsen","given":"Henrik","non-dropping-particle":"","parse-names":false,"suffix":""},{"dropping-particle":"","family":"Jørnsgaard","given":"Bjarne","non-dropping-particle":"","parse-names":false,"suffix":""},{"dropping-particle":"","family":"Kinane","given":"Julia","non-dropping-particle":"","parse-names":false,"suffix":""},{"dropping-particle":"","family":"Jensen","given":"Erik Steen","non-dropping-particle":"","parse-names":false,"suffix":""}],"container-title":"Renewable Agriculture and Food Systems","id":"ITEM-1","issue":"1","issued":{"date-parts":[["2008"]]},"page":"3-12","title":"Grain legume - Cereal intercropping: The practical application of diversity, competition and facilitation in arable and organic cropping systems","type":"article-journal","volume":"23"},"uris":["http://www.mendeley.com/documents/?uuid=bad02cdf-5171-4d80-bde1-ab59bb115f12"]}],"mendeley":{"formattedCitation":"(Hauggaard-Nielsen et al., 2008)","manualFormatting":"Hauggaard-Nielsen et al., 2008)","plainTextFormattedCitation":"(Hauggaard-Nielsen et al., 2008)","previouslyFormattedCitation":"(Hauggaard-Nielsen et al. 2008)"},"properties":{"noteIndex":0},"schema":"https://github.com/citation-style-language/schema/raw/master/csl-citation.json"}</w:instrText>
      </w:r>
      <w:r w:rsidR="005D3BAF" w:rsidRPr="00C5457C">
        <w:rPr>
          <w:rFonts w:ascii="Times New Roman" w:hAnsi="Times New Roman" w:cs="Times New Roman"/>
          <w:sz w:val="24"/>
          <w:szCs w:val="24"/>
        </w:rPr>
        <w:fldChar w:fldCharType="separate"/>
      </w:r>
      <w:r w:rsidR="005D3BAF" w:rsidRPr="00C5457C">
        <w:rPr>
          <w:rFonts w:ascii="Times New Roman" w:hAnsi="Times New Roman" w:cs="Times New Roman"/>
          <w:noProof/>
          <w:sz w:val="24"/>
          <w:szCs w:val="24"/>
        </w:rPr>
        <w:t>Hauggaard-Nielsen et al., 2008)</w:t>
      </w:r>
      <w:r w:rsidR="005D3BAF" w:rsidRPr="00C5457C">
        <w:rPr>
          <w:rFonts w:ascii="Times New Roman" w:hAnsi="Times New Roman" w:cs="Times New Roman"/>
          <w:sz w:val="24"/>
          <w:szCs w:val="24"/>
        </w:rPr>
        <w:fldChar w:fldCharType="end"/>
      </w:r>
      <w:r w:rsidR="00AA2B99" w:rsidRPr="00C5457C">
        <w:rPr>
          <w:rFonts w:ascii="Times New Roman" w:hAnsi="Times New Roman" w:cs="Times New Roman"/>
          <w:sz w:val="24"/>
          <w:szCs w:val="24"/>
        </w:rPr>
        <w:t>.</w:t>
      </w:r>
      <w:r w:rsidR="00DC396B" w:rsidRPr="00C5457C">
        <w:rPr>
          <w:rFonts w:ascii="Times New Roman" w:hAnsi="Times New Roman" w:cs="Times New Roman"/>
          <w:sz w:val="24"/>
          <w:szCs w:val="24"/>
        </w:rPr>
        <w:t xml:space="preserve"> </w:t>
      </w:r>
      <w:r w:rsidR="00DC396B"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{"citationItems":[{"id":"ITEM-1","itemData":{"DOI":"10.1016/0378-4290(93)90120-C","ISSN":"03784290","abstract":"The capture and utilization of P and K, two non-mobile soil resources, were examined by decomposing crop production/unit area into uptake/unit area (capture) and production/unit uptake (utilization efficiency). Resource capture and utilization efficiencies by intercrops were compared to those of sole crops by contrasting intercrop means against the weighted means of sole crops. Weightings were based on the proportion of each species in the intercrop. On average, intercrops took up 43% more P (-4 to 83%) and 35% more K (- 10 to 87%) than the sole crops. Where nutrients were not limiting, P and K uptake increased as dry-matter yield increased, evidence that uptake was a function of crop growth rather than conversely. Even where soil P was deficient, uptake by a dominated crop was decided more by factors that determined the outcome of competition than by P availability. The combined root systems, likely to be larger and functional for a longer duration under intercrops than under either sole crop, were postulated to explain the greater capture of non-mobile nutrients like P and K. An enlarged root system provides an expanded root surface area to which non-mobile nutrients can diffuse. For mobile nutrients which move to root surfaces largely by mass flow, shading of the dominated canopy may explain the positive association observed between intecrop dry-matter accumulation and Ca capture. Shading reduces carbon assimilation and transpiration of the understory canopy and, therefore, would reduce mass flow of Ca as well. Competition for P and K by intercropped species, even when nutrient supplies were abundant, was affected by degree of growth concurrency, canopy domination and planting geometry. When a dominating species was harvested much earlier than the dominated species, the uptake rate of the longer-duration crop usually recovered from competition after the first crop was harvested. Exceptions occurred when development of the dominated crop was so badly impaired during concurrent growth that vegetative enlargement was inhibited after harvest of the early species. Uptake rates by pigeon pea and cassava, which are exceptionally long-maturing species that have relatively low daily P and K uptake requirements, appeared capable of fully recovering even on soils in which nutrient availabilities were marginal for other species. © 1993.","author":[{"dropping-particle":"","family":"Morris","given":"R. A.","non-dropping-particle":"","parse-names":false,"suffix":""},{"dropping-particle":"","family":"Garrity","given":"D. P.","non-dropping-particle":"","parse-names":false,"suffix":""}],"container-title":"Field Crops Research","id":"ITEM-1","issue":"3-4","issued":{"date-parts":[["1993"]]},"page":"319-334","title":"Resource capture and utilization in intercropping; non-nitrogen nutrients","type":"article-journal","volume":"34"},"uris":["http://www.mendeley.com/documents/?uuid=a14d6ac2-4a2a-4183-bfa9-70904a666d9b"]}],"mendeley":{"formattedCitation":"(Morris &amp; Garrity, 1993)","manualFormatting":"Morris &amp; Garrity, (1993)","plainTextFormattedCitation":"(Morris &amp; Garrity, 1993)","previouslyFormattedCitation":"(Morris and Garrity 1993)"},"properties":{"noteIndex":0},"schema":"https://github.com/citation-style-language/schema/raw/master/csl-citation.json"}</w:instrText>
      </w:r>
      <w:r w:rsidR="00DC396B" w:rsidRPr="00C5457C">
        <w:rPr>
          <w:rFonts w:ascii="Times New Roman" w:hAnsi="Times New Roman" w:cs="Times New Roman"/>
          <w:sz w:val="24"/>
          <w:szCs w:val="24"/>
        </w:rPr>
        <w:fldChar w:fldCharType="separate"/>
      </w:r>
      <w:r w:rsidR="00DC396B" w:rsidRPr="00C5457C">
        <w:rPr>
          <w:rFonts w:ascii="Times New Roman" w:hAnsi="Times New Roman" w:cs="Times New Roman"/>
          <w:noProof/>
          <w:sz w:val="24"/>
          <w:szCs w:val="24"/>
        </w:rPr>
        <w:t>Morris &amp; Garrity, (1993)</w:t>
      </w:r>
      <w:r w:rsidR="00DC396B" w:rsidRPr="00C5457C">
        <w:rPr>
          <w:rFonts w:ascii="Times New Roman" w:hAnsi="Times New Roman" w:cs="Times New Roman"/>
          <w:sz w:val="24"/>
          <w:szCs w:val="24"/>
        </w:rPr>
        <w:fldChar w:fldCharType="end"/>
      </w:r>
      <w:r w:rsidR="00DC396B" w:rsidRPr="00C5457C">
        <w:rPr>
          <w:rFonts w:ascii="Times New Roman" w:hAnsi="Times New Roman" w:cs="Times New Roman"/>
          <w:sz w:val="24"/>
          <w:szCs w:val="24"/>
        </w:rPr>
        <w:t xml:space="preserve"> ont établis que l</w:t>
      </w:r>
      <w:r w:rsidR="00425C93" w:rsidRPr="00C5457C">
        <w:rPr>
          <w:rFonts w:ascii="Times New Roman" w:hAnsi="Times New Roman" w:cs="Times New Roman"/>
          <w:sz w:val="24"/>
          <w:szCs w:val="24"/>
        </w:rPr>
        <w:t xml:space="preserve">es </w:t>
      </w:r>
      <w:r w:rsidR="00DC396B" w:rsidRPr="00C5457C">
        <w:rPr>
          <w:rFonts w:ascii="Times New Roman" w:hAnsi="Times New Roman" w:cs="Times New Roman"/>
          <w:sz w:val="24"/>
          <w:szCs w:val="24"/>
        </w:rPr>
        <w:t>caractéristiques principales</w:t>
      </w:r>
      <w:r w:rsidR="00425C93" w:rsidRPr="00C5457C">
        <w:rPr>
          <w:rFonts w:ascii="Times New Roman" w:hAnsi="Times New Roman" w:cs="Times New Roman"/>
          <w:sz w:val="24"/>
          <w:szCs w:val="24"/>
        </w:rPr>
        <w:t xml:space="preserve"> des cultures qui contrôlent la concurrence </w:t>
      </w:r>
      <w:r w:rsidR="00DC396B" w:rsidRPr="00C5457C">
        <w:rPr>
          <w:rFonts w:ascii="Times New Roman" w:hAnsi="Times New Roman" w:cs="Times New Roman"/>
          <w:sz w:val="24"/>
          <w:szCs w:val="24"/>
        </w:rPr>
        <w:t>sont liées à l’effet des espèces en association</w:t>
      </w:r>
      <w:r w:rsidR="006305A3" w:rsidRPr="00C5457C">
        <w:rPr>
          <w:rFonts w:ascii="Times New Roman" w:hAnsi="Times New Roman" w:cs="Times New Roman"/>
          <w:sz w:val="24"/>
          <w:szCs w:val="24"/>
        </w:rPr>
        <w:t>.</w:t>
      </w:r>
      <w:r w:rsidR="00153710" w:rsidRPr="00C5457C">
        <w:rPr>
          <w:rFonts w:ascii="Times New Roman" w:hAnsi="Times New Roman" w:cs="Times New Roman"/>
          <w:sz w:val="24"/>
          <w:szCs w:val="24"/>
        </w:rPr>
        <w:t xml:space="preserve"> </w:t>
      </w:r>
      <w:r w:rsidR="00DC396B" w:rsidRPr="00C5457C">
        <w:rPr>
          <w:rFonts w:ascii="Times New Roman" w:hAnsi="Times New Roman" w:cs="Times New Roman"/>
          <w:sz w:val="24"/>
          <w:szCs w:val="24"/>
        </w:rPr>
        <w:t xml:space="preserve">En effet, selon ces chercheurs dans une association où une culture domine l’autre en taille. </w:t>
      </w:r>
      <w:r w:rsidR="00153710" w:rsidRPr="00C5457C">
        <w:rPr>
          <w:rFonts w:ascii="Times New Roman" w:hAnsi="Times New Roman" w:cs="Times New Roman"/>
          <w:sz w:val="24"/>
          <w:szCs w:val="24"/>
        </w:rPr>
        <w:t xml:space="preserve">L'ombre diminue l'absorption </w:t>
      </w:r>
      <w:r w:rsidR="00C33B9E" w:rsidRPr="00C5457C">
        <w:rPr>
          <w:rFonts w:ascii="Times New Roman" w:hAnsi="Times New Roman" w:cs="Times New Roman"/>
          <w:sz w:val="24"/>
          <w:szCs w:val="24"/>
        </w:rPr>
        <w:t xml:space="preserve">de P, de K, </w:t>
      </w:r>
      <w:r w:rsidR="00153710" w:rsidRPr="00C5457C">
        <w:rPr>
          <w:rFonts w:ascii="Times New Roman" w:hAnsi="Times New Roman" w:cs="Times New Roman"/>
          <w:sz w:val="24"/>
          <w:szCs w:val="24"/>
        </w:rPr>
        <w:t>du carbone et la transpiration de la canopée du sous-étage</w:t>
      </w:r>
      <w:r w:rsidR="005D0759" w:rsidRPr="00C5457C">
        <w:rPr>
          <w:rFonts w:ascii="Times New Roman" w:hAnsi="Times New Roman" w:cs="Times New Roman"/>
          <w:sz w:val="24"/>
          <w:szCs w:val="24"/>
        </w:rPr>
        <w:t xml:space="preserve">. </w:t>
      </w:r>
      <w:r w:rsidR="00853E5A" w:rsidRPr="00C5457C">
        <w:rPr>
          <w:rFonts w:ascii="Times New Roman" w:hAnsi="Times New Roman" w:cs="Times New Roman"/>
          <w:sz w:val="24"/>
          <w:szCs w:val="24"/>
        </w:rPr>
        <w:t>D’après</w:t>
      </w:r>
      <w:r w:rsidR="005D0759" w:rsidRPr="00C5457C">
        <w:rPr>
          <w:rFonts w:ascii="Times New Roman" w:hAnsi="Times New Roman" w:cs="Times New Roman"/>
          <w:sz w:val="24"/>
          <w:szCs w:val="24"/>
        </w:rPr>
        <w:t xml:space="preserve"> </w:t>
      </w:r>
      <w:r w:rsidR="005D0759"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{"citationItems":[{"id":"ITEM-1","itemData":{"DOI":"10.5539/jas.v2n3p229","ISSN":"1916-9752","abstract":"The competitive behaviour of sorghum-cowpea intercrops at different planting patterns were studied at the Abubakar Tafawa Balewa University Teaching and Research farm, Bauchi in the northern Guinea savanna of Nigeria during the 2005 and 2006 growing seasons. The treatments comprised of three row arrangements of sorghum/cowpea mixtures; one row of sorghum for one row of cowpea (1S:1C), two rows of sorghum for one row of cowpea (2S:1C) and one row of sorghum for two rows of cowpea (1S:2C), respectively. Sole crops of sorghum and cowpea were included as check to compare yields of intercropped mixtures. Results indicated that grain and straw yields of both sorghum and cowpea were higher in sole cropping than in the intercropping mixtures. However, the 2S:1C planting arrangement exhibited higher LER, competitive indices values, SPI and MAI (Naira 7857.11) compared to the other planting arrangements and the sole crops. From this study, it is inferred that intercropping of sorghum with cowpea at 2S:1C planting pattern will give higher income, better land use efficiency and thus enhancing sustainability of crop production than sole culture of each crop species.","author":[{"dropping-particle":"","family":"Oseni","given":"Tajudeen Olusegun","non-dropping-particle":"","parse-names":false,"suffix":""}],"container-title":"Journal of Agricultural Science","id":"ITEM-1","issue":"3","issued":{"date-parts":[["2010"]]},"page":"229-234","title":"Evaluation of Sorghum-Cowpea Intercrop Productivity in Savanna Agro-ecology using Competition Indices","type":"article-journal","volume":"2"},"uris":["http://www.mendeley.com/documents/?uuid=ab0d3e54-bee6-42e0-93ed-4da93125c2cc"]}],"mendeley":{"formattedCitation":"(Oseni, 2010)","manualFormatting":"Oseni, (2010)","plainTextFormattedCitation":"(Oseni, 2010)","previouslyFormattedCitation":"(Oseni 2010)"},"properties":{"noteIndex":0},"schema":"https://github.com/citation-style-language/schema/raw/master/csl-citation.json"}</w:instrText>
      </w:r>
      <w:r w:rsidR="005D0759" w:rsidRPr="00C5457C">
        <w:rPr>
          <w:rFonts w:ascii="Times New Roman" w:hAnsi="Times New Roman" w:cs="Times New Roman"/>
          <w:sz w:val="24"/>
          <w:szCs w:val="24"/>
        </w:rPr>
        <w:fldChar w:fldCharType="separate"/>
      </w:r>
      <w:r w:rsidR="00097F24" w:rsidRPr="00C5457C">
        <w:rPr>
          <w:rFonts w:ascii="Times New Roman" w:hAnsi="Times New Roman" w:cs="Times New Roman"/>
          <w:noProof/>
          <w:sz w:val="24"/>
          <w:szCs w:val="24"/>
        </w:rPr>
        <w:t xml:space="preserve">Oseni, </w:t>
      </w:r>
      <w:r w:rsidR="00853E5A" w:rsidRPr="00C5457C">
        <w:rPr>
          <w:rFonts w:ascii="Times New Roman" w:hAnsi="Times New Roman" w:cs="Times New Roman"/>
          <w:noProof/>
          <w:sz w:val="24"/>
          <w:szCs w:val="24"/>
        </w:rPr>
        <w:t>(</w:t>
      </w:r>
      <w:r w:rsidR="00097F24" w:rsidRPr="00C5457C">
        <w:rPr>
          <w:rFonts w:ascii="Times New Roman" w:hAnsi="Times New Roman" w:cs="Times New Roman"/>
          <w:noProof/>
          <w:sz w:val="24"/>
          <w:szCs w:val="24"/>
        </w:rPr>
        <w:t>2010)</w:t>
      </w:r>
      <w:r w:rsidR="005D0759" w:rsidRPr="00C5457C">
        <w:rPr>
          <w:rFonts w:ascii="Times New Roman" w:hAnsi="Times New Roman" w:cs="Times New Roman"/>
          <w:sz w:val="24"/>
          <w:szCs w:val="24"/>
        </w:rPr>
        <w:fldChar w:fldCharType="end"/>
      </w:r>
      <w:r w:rsidR="005D0759" w:rsidRPr="00C5457C">
        <w:rPr>
          <w:rFonts w:ascii="Times New Roman" w:hAnsi="Times New Roman" w:cs="Times New Roman"/>
          <w:sz w:val="24"/>
          <w:szCs w:val="24"/>
        </w:rPr>
        <w:t xml:space="preserve"> </w:t>
      </w:r>
      <w:r w:rsidR="006305A3" w:rsidRPr="00C5457C">
        <w:rPr>
          <w:rFonts w:ascii="Times New Roman" w:hAnsi="Times New Roman" w:cs="Times New Roman"/>
          <w:sz w:val="24"/>
          <w:szCs w:val="24"/>
        </w:rPr>
        <w:t>dans les cultures intercalaires céréales légumineuses, les céréales</w:t>
      </w:r>
      <w:r w:rsidR="00853E5A" w:rsidRPr="00C5457C">
        <w:rPr>
          <w:rFonts w:ascii="Times New Roman" w:hAnsi="Times New Roman" w:cs="Times New Roman"/>
          <w:sz w:val="24"/>
          <w:szCs w:val="24"/>
        </w:rPr>
        <w:t xml:space="preserve"> qui sont plus grand</w:t>
      </w:r>
      <w:r w:rsidR="006305A3" w:rsidRPr="00C5457C">
        <w:rPr>
          <w:rFonts w:ascii="Times New Roman" w:hAnsi="Times New Roman" w:cs="Times New Roman"/>
          <w:sz w:val="24"/>
          <w:szCs w:val="24"/>
        </w:rPr>
        <w:t xml:space="preserve"> sont généralement plus compétitives que les légumineuses.</w:t>
      </w:r>
      <w:r w:rsidR="00853E5A" w:rsidRPr="00C5457C">
        <w:rPr>
          <w:rFonts w:ascii="Times New Roman" w:hAnsi="Times New Roman" w:cs="Times New Roman"/>
          <w:sz w:val="24"/>
          <w:szCs w:val="24"/>
        </w:rPr>
        <w:t xml:space="preserve"> </w:t>
      </w:r>
      <w:r w:rsidR="00DC1805" w:rsidRPr="00C5457C">
        <w:rPr>
          <w:rFonts w:ascii="Times New Roman" w:hAnsi="Times New Roman" w:cs="Times New Roman"/>
          <w:sz w:val="24"/>
          <w:szCs w:val="24"/>
        </w:rPr>
        <w:t>L</w:t>
      </w:r>
      <w:r w:rsidR="00181E9D" w:rsidRPr="00C5457C">
        <w:rPr>
          <w:rFonts w:ascii="Times New Roman" w:hAnsi="Times New Roman" w:cs="Times New Roman"/>
          <w:sz w:val="24"/>
          <w:szCs w:val="24"/>
        </w:rPr>
        <w:t xml:space="preserve">'étude de </w:t>
      </w:r>
      <w:r w:rsidR="00BE2128"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{"citationItems":[{"id":"ITEM-1","itemData":{"DOI":"10.29321/maj.10.a02944","ISSN":"00249602","abstract":"Studies were conducted during kharif. 1975 to determine the most profitable system of intercropping in sorghum under rainted conditions. The results indicated that the dry matter production of sorghum was favourably influenced by intercropping with legumes. However, uptake of N.P and K by sorghum was found to be unaffected due to intercropping.","author":[{"dropping-particle":"","family":"P.K","given":"RAVICHANDRAN","non-dropping-particle":"","parse-names":false,"suffix":""},{"dropping-particle":"","family":"S.P","given":"PALANIAPPAN","non-dropping-particle":"","parse-names":false,"suffix":""}],"container-title":"Madras Agricultural Journal","id":"ITEM-1","issue":"April","issued":{"date-parts":[["1979"]]},"page":"222-229","title":"Effect of Inter Cropping on Dry Matter Production and Nutrient Uptake in Sorghum (CSH.5) Under Rainfed Condition","type":"article-journal","volume":"66"},"uris":["http://www.mendeley.com/documents/?uuid=75cc1d59-1555-42c7-822e-1fa91e846aea"]}],"mendeley":{"formattedCitation":"(P.K &amp; S.P, 1979)","manualFormatting":"Ravichandran &amp; Palaniappan, (1979 )","plainTextFormattedCitation":"(P.K &amp; S.P, 1979)","previouslyFormattedCitation":"(P.K and S.P 1979)"},"properties":{"noteIndex":0},"schema":"https://github.com/citation-style-language/schema/raw/master/csl-citation.json"}</w:instrText>
      </w:r>
      <w:r w:rsidR="00BE2128" w:rsidRPr="00C5457C">
        <w:rPr>
          <w:rFonts w:ascii="Times New Roman" w:hAnsi="Times New Roman" w:cs="Times New Roman"/>
          <w:sz w:val="24"/>
          <w:szCs w:val="24"/>
        </w:rPr>
        <w:fldChar w:fldCharType="separate"/>
      </w:r>
      <w:r w:rsidR="00BE2128" w:rsidRPr="00C5457C">
        <w:rPr>
          <w:rFonts w:ascii="Times New Roman" w:hAnsi="Times New Roman" w:cs="Times New Roman"/>
          <w:noProof/>
          <w:sz w:val="24"/>
          <w:szCs w:val="24"/>
        </w:rPr>
        <w:t>Ravichandran &amp; Palaniappan, (1979 )</w:t>
      </w:r>
      <w:r w:rsidR="00BE2128" w:rsidRPr="00C5457C">
        <w:rPr>
          <w:rFonts w:ascii="Times New Roman" w:hAnsi="Times New Roman" w:cs="Times New Roman"/>
          <w:sz w:val="24"/>
          <w:szCs w:val="24"/>
        </w:rPr>
        <w:fldChar w:fldCharType="end"/>
      </w:r>
      <w:r w:rsidR="009E5F65" w:rsidRPr="00C5457C">
        <w:rPr>
          <w:rFonts w:ascii="Times New Roman" w:hAnsi="Times New Roman" w:cs="Times New Roman"/>
          <w:sz w:val="24"/>
          <w:szCs w:val="24"/>
        </w:rPr>
        <w:t xml:space="preserve"> </w:t>
      </w:r>
      <w:r w:rsidR="00181E9D" w:rsidRPr="00C5457C">
        <w:rPr>
          <w:rFonts w:ascii="Times New Roman" w:hAnsi="Times New Roman" w:cs="Times New Roman"/>
          <w:sz w:val="24"/>
          <w:szCs w:val="24"/>
        </w:rPr>
        <w:t xml:space="preserve">sur le sorgho en </w:t>
      </w:r>
      <w:r w:rsidR="00DC1805" w:rsidRPr="00C5457C">
        <w:rPr>
          <w:rFonts w:ascii="Times New Roman" w:hAnsi="Times New Roman" w:cs="Times New Roman"/>
          <w:sz w:val="24"/>
          <w:szCs w:val="24"/>
        </w:rPr>
        <w:t>association</w:t>
      </w:r>
      <w:r w:rsidR="00181E9D" w:rsidRPr="00C5457C">
        <w:rPr>
          <w:rFonts w:ascii="Times New Roman" w:hAnsi="Times New Roman" w:cs="Times New Roman"/>
          <w:sz w:val="24"/>
          <w:szCs w:val="24"/>
        </w:rPr>
        <w:t xml:space="preserve"> avec trois légumineuses indiquai</w:t>
      </w:r>
      <w:r w:rsidR="00DC1805" w:rsidRPr="00C5457C">
        <w:rPr>
          <w:rFonts w:ascii="Times New Roman" w:hAnsi="Times New Roman" w:cs="Times New Roman"/>
          <w:sz w:val="24"/>
          <w:szCs w:val="24"/>
        </w:rPr>
        <w:t>t</w:t>
      </w:r>
      <w:r w:rsidR="00181E9D" w:rsidRPr="00C5457C">
        <w:rPr>
          <w:rFonts w:ascii="Times New Roman" w:hAnsi="Times New Roman" w:cs="Times New Roman"/>
          <w:sz w:val="24"/>
          <w:szCs w:val="24"/>
        </w:rPr>
        <w:t xml:space="preserve"> des avantages en faveur du sorgho dans toutes les comparaisons</w:t>
      </w:r>
      <w:r w:rsidR="00BE2128" w:rsidRPr="00C5457C">
        <w:rPr>
          <w:rFonts w:ascii="Times New Roman" w:hAnsi="Times New Roman" w:cs="Times New Roman"/>
          <w:sz w:val="24"/>
          <w:szCs w:val="24"/>
        </w:rPr>
        <w:t xml:space="preserve">. </w:t>
      </w:r>
      <w:r w:rsidR="004F6E65" w:rsidRPr="00C5457C">
        <w:rPr>
          <w:rFonts w:ascii="Times New Roman" w:hAnsi="Times New Roman" w:cs="Times New Roman"/>
          <w:sz w:val="24"/>
          <w:szCs w:val="24"/>
        </w:rPr>
        <w:t xml:space="preserve">Toutefois, selon </w:t>
      </w:r>
      <w:r w:rsidR="004F6E65"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{"citationItems":[{"id":"ITEM-1","itemData":{"DOI":"10.1016/0378-4290(93)90120-C","ISSN":"03784290","abstract":"The capture and utilization of P and K, two non-mobile soil resources, were examined by decomposing crop production/unit area into uptake/unit area (capture) and production/unit uptake (utilization efficiency). Resource capture and utilization efficiencies by intercrops were compared to those of sole crops by contrasting intercrop means against the weighted means of sole crops. Weightings were based on the proportion of each species in the intercrop. On average, intercrops took up 43% more P (-4 to 83%) and 35% more K (- 10 to 87%) than the sole crops. Where nutrients were not limiting, P and K uptake increased as dry-matter yield increased, evidence that uptake was a function of crop growth rather than conversely. Even where soil P was deficient, uptake by a dominated crop was decided more by factors that determined the outcome of competition than by P availability. The combined root systems, likely to be larger and functional for a longer duration under intercrops than under either sole crop, were postulated to explain the greater capture of non-mobile nutrients like P and K. An enlarged root system provides an expanded root surface area to which non-mobile nutrients can diffuse. For mobile nutrients which move to root surfaces largely by mass flow, shading of the dominated canopy may explain the positive association observed between intecrop dry-matter accumulation and Ca capture. Shading reduces carbon assimilation and transpiration of the understory canopy and, therefore, would reduce mass flow of Ca as well. Competition for P and K by intercropped species, even when nutrient supplies were abundant, was affected by degree of growth concurrency, canopy domination and planting geometry. When a dominating species was harvested much earlier than the dominated species, the uptake rate of the longer-duration crop usually recovered from competition after the first crop was harvested. Exceptions occurred when development of the dominated crop was so badly impaired during concurrent growth that vegetative enlargement was inhibited after harvest of the early species. Uptake rates by pigeon pea and cassava, which are exceptionally long-maturing species that have relatively low daily P and K uptake requirements, appeared capable of fully recovering even on soils in which nutrient availabilities were marginal for other species. © 1993.","author":[{"dropping-particle":"","family":"Morris","given":"R. A.","non-dropping-particle":"","parse-names":false,"suffix":""},{"dropping-particle":"","family":"Garrity","given":"D. P.","non-dropping-particle":"","parse-names":false,"suffix":""}],"container-title":"Field Crops Research","id":"ITEM-1","issue":"3-4","issued":{"date-parts":[["1993"]]},"page":"319-334","title":"Resource capture and utilization in intercropping; non-nitrogen nutrients","type":"article-journal","volume":"34"},"uris":["http://www.mendeley.com/documents/?uuid=a14d6ac2-4a2a-4183-bfa9-70904a666d9b"]}],"mendeley":{"formattedCitation":"(Morris &amp; Garrity, 1993)","manualFormatting":"Morris &amp; Garrity, (1993)","plainTextFormattedCitation":"(Morris &amp; Garrity, 1993)","previouslyFormattedCitation":"(Morris and Garrity 1993)"},"properties":{"noteIndex":0},"schema":"https://github.com/citation-style-language/schema/raw/master/csl-citation.json"}</w:instrText>
      </w:r>
      <w:r w:rsidR="004F6E65" w:rsidRPr="00C5457C">
        <w:rPr>
          <w:rFonts w:ascii="Times New Roman" w:hAnsi="Times New Roman" w:cs="Times New Roman"/>
          <w:sz w:val="24"/>
          <w:szCs w:val="24"/>
        </w:rPr>
        <w:fldChar w:fldCharType="separate"/>
      </w:r>
      <w:r w:rsidR="004F6E65" w:rsidRPr="00C5457C">
        <w:rPr>
          <w:rFonts w:ascii="Times New Roman" w:hAnsi="Times New Roman" w:cs="Times New Roman"/>
          <w:noProof/>
          <w:sz w:val="24"/>
          <w:szCs w:val="24"/>
        </w:rPr>
        <w:t>Morris &amp; Garrity, (1993)</w:t>
      </w:r>
      <w:r w:rsidR="004F6E65" w:rsidRPr="00C5457C">
        <w:rPr>
          <w:rFonts w:ascii="Times New Roman" w:hAnsi="Times New Roman" w:cs="Times New Roman"/>
          <w:sz w:val="24"/>
          <w:szCs w:val="24"/>
        </w:rPr>
        <w:fldChar w:fldCharType="end"/>
      </w:r>
      <w:r w:rsidR="004F6E65" w:rsidRPr="00C5457C">
        <w:rPr>
          <w:rFonts w:ascii="Times New Roman" w:hAnsi="Times New Roman" w:cs="Times New Roman"/>
          <w:sz w:val="24"/>
          <w:szCs w:val="24"/>
        </w:rPr>
        <w:t xml:space="preserve">, lorsque l'espèce dominante était récoltée beaucoup plus tôt que l'espèce dominée, le taux d'absorption de la culture de plus longue durée se rétablirait généralement de la concurrence après la récolte de la première culture. Suite à leurs recherches, </w:t>
      </w:r>
      <w:r w:rsidR="004F6E65" w:rsidRPr="00C5457C">
        <w:rPr>
          <w:rFonts w:ascii="Times New Roman" w:hAnsi="Times New Roman" w:cs="Times New Roman"/>
          <w:kern w:val="0"/>
          <w:sz w:val="24"/>
          <w:szCs w:val="24"/>
          <w14:ligatures w14:val="none"/>
        </w:rPr>
        <w:fldChar w:fldCharType="begin" w:fldLock="1"/>
      </w:r>
      <w:r w:rsidR="009E6C60" w:rsidRPr="00C5457C">
        <w:rPr>
          <w:rFonts w:ascii="Times New Roman" w:hAnsi="Times New Roman" w:cs="Times New Roman"/>
          <w:kern w:val="0"/>
          <w:sz w:val="24"/>
          <w:szCs w:val="24"/>
          <w14:ligatures w14:val="none"/>
        </w:rPr>
        <w:instrText>ADDIN CSL_CITATION {"citationItems":[{"id":"ITEM-1","itemData":{"DOI":"10.29321/maj.10.a02944","ISSN":"00249602","abstract":"Studies were conducted during kharif. 1975 to determine the most profitable system of intercropping in sorghum under rainted conditions. The results indicated that the dry matter production of sorghum was favourably influenced by intercropping with legumes. However, uptake of N.P and K by sorghum was found to be unaffected due to intercropping.","author":[{"dropping-particle":"","family":"P.K","given":"RAVICHANDRAN","non-dropping-particle":"","parse-names":false,"suffix":""},{"dropping-particle":"","family":"S.P","given":"PALANIAPPAN","non-dropping-particle":"","parse-names":false,"suffix":""}],"container-title":"Madras Agricultural Journal","id":"ITEM-1","issue":"April","issued":{"date-parts":[["1979"]]},"page":"222-229","title":"Effect of Inter Cropping on Dry Matter Production and Nutrient Uptake in Sorghum (CSH.5) Under Rainfed Condition","type":"article-journal","volume":"66"},"uris":["http://www.mendeley.com/documents/?uuid=75cc1d59-1555-42c7-822e-1fa91e846aea"]}],"mendeley":{"formattedCitation":"(P.K &amp; S.P, 1979)","manualFormatting":"Ravichandran &amp; Palaniappan, (1979 )","plainTextFormattedCitation":"(P.K &amp; S.P, 1979)","previouslyFormattedCitation":"(P.K and S.P 1979)"},"properties":{"noteIndex":0},"schema":"https://github.com/citation-style-language/schema/raw/master/csl-citation.json"}</w:instrText>
      </w:r>
      <w:r w:rsidR="004F6E65" w:rsidRPr="00C5457C">
        <w:rPr>
          <w:rFonts w:ascii="Times New Roman" w:hAnsi="Times New Roman" w:cs="Times New Roman"/>
          <w:kern w:val="0"/>
          <w:sz w:val="24"/>
          <w:szCs w:val="24"/>
          <w14:ligatures w14:val="none"/>
        </w:rPr>
        <w:fldChar w:fldCharType="separate"/>
      </w:r>
      <w:r w:rsidR="004F6E65" w:rsidRPr="00C5457C">
        <w:rPr>
          <w:rFonts w:ascii="Times New Roman" w:hAnsi="Times New Roman" w:cs="Times New Roman"/>
          <w:noProof/>
          <w:kern w:val="0"/>
          <w:sz w:val="24"/>
          <w:szCs w:val="24"/>
          <w14:ligatures w14:val="none"/>
        </w:rPr>
        <w:t>Ravichandran &amp; Palaniappan, (1979 )</w:t>
      </w:r>
      <w:r w:rsidR="004F6E65" w:rsidRPr="00C5457C">
        <w:rPr>
          <w:rFonts w:ascii="Times New Roman" w:hAnsi="Times New Roman" w:cs="Times New Roman"/>
          <w:kern w:val="0"/>
          <w:sz w:val="24"/>
          <w:szCs w:val="24"/>
          <w14:ligatures w14:val="none"/>
        </w:rPr>
        <w:fldChar w:fldCharType="end"/>
      </w:r>
      <w:r w:rsidR="004F6E65" w:rsidRPr="00C5457C">
        <w:rPr>
          <w:rFonts w:ascii="Times New Roman" w:hAnsi="Times New Roman" w:cs="Times New Roman"/>
          <w:sz w:val="24"/>
          <w:szCs w:val="24"/>
        </w:rPr>
        <w:t xml:space="preserve"> ont obtenu la même conclusion. Ils ont également constaté que la géométrie (rangs jumelés) diminue la prédominance du sorgho sur les légumineuses. Par conséquent, l’absorption de P et de K par les légumineuses a augmenté. </w:t>
      </w:r>
    </w:p>
    <w:p w14:paraId="0676A4D9" w14:textId="61B04C13" w:rsidR="00A6358F" w:rsidRPr="00C5457C" w:rsidRDefault="003437E0" w:rsidP="00C5457C">
      <w:pPr>
        <w:pStyle w:val="Titre3"/>
        <w:spacing w:line="360" w:lineRule="auto"/>
        <w:jc w:val="both"/>
        <w:rPr>
          <w:rFonts w:ascii="Times New Roman" w:hAnsi="Times New Roman" w:cs="Times New Roman"/>
        </w:rPr>
      </w:pPr>
      <w:r w:rsidRPr="00C5457C">
        <w:rPr>
          <w:rFonts w:ascii="Times New Roman" w:hAnsi="Times New Roman" w:cs="Times New Roman"/>
        </w:rPr>
        <w:t xml:space="preserve">Antagonisme et compromis </w:t>
      </w:r>
      <w:r w:rsidR="00A6358F" w:rsidRPr="00C5457C">
        <w:rPr>
          <w:rFonts w:ascii="Times New Roman" w:hAnsi="Times New Roman" w:cs="Times New Roman"/>
        </w:rPr>
        <w:t>à l’application des résidus de culture</w:t>
      </w:r>
    </w:p>
    <w:p w14:paraId="52BC0BD6" w14:textId="6AD6B991" w:rsidR="00447F2C" w:rsidRPr="00C5457C" w:rsidRDefault="008B79B1"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La gestion des résidus de culture est une question importante après la récolte. Trois principaux usages des résidus de récoltes sont la fertilisation des exploitations agricoles, l'alimentation du bétail et l'énergie de cuisine</w:t>
      </w:r>
      <w:r w:rsidR="00C0083D" w:rsidRPr="00C5457C">
        <w:rPr>
          <w:rFonts w:ascii="Times New Roman" w:hAnsi="Times New Roman" w:cs="Times New Roman"/>
          <w:sz w:val="24"/>
          <w:szCs w:val="24"/>
        </w:rPr>
        <w:t xml:space="preserve"> </w:t>
      </w:r>
      <w:r w:rsidR="00E75834"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{"citationItems":[{"id":"ITEM-1","itemData":{"ISBN":"9781784318208","author":[{"dropping-particle":"","family":"Zongo","given":"W C Alex-fabrice","non-dropping-particle":"","parse-names":false,"suffix":""},{"dropping-particle":"","family":"Allen","given":"Mary","non-dropping-particle":"","parse-names":false,"suffix":""},{"dropping-particle":"","family":"Batchéné","given":"Hié","non-dropping-particle":"","parse-names":false,"suffix":""},{"dropping-particle":"","family":"Bourgou","given":"Tsuamba","non-dropping-particle":"","parse-names":false,"suffix":""},{"dropping-particle":"","family":"Sigué","given":"Hamadé","non-dropping-particle":"","parse-names":false,"suffix":""}],"id":"ITEM-1","issued":{"date-parts":[["2020"]]},"number-of-pages":"60","publisher-place":"Burkina Faso","title":"Compromis dans l ’ intensification durable de l ’ agriculture : Études de cas dans deux villages du Burkina Faso","type":"report"},"uris":["http://www.mendeley.com/documents/?uuid=70127ab1-d04c-4386-a43a-88b89795903a"]}],"mendeley":{"formattedCitation":"(Zongo et al., 2020)","plainTextFormattedCitation":"(Zongo et al., 2020)","previouslyFormattedCitation":"(Zongo et al. 2020)"},"properties":{"noteIndex":0},"schema":"https://github.com/citation-style-language/schema/raw/master/csl-citation.json"}</w:instrText>
      </w:r>
      <w:r w:rsidR="00E75834"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(Zongo et al., 2020)</w:t>
      </w:r>
      <w:r w:rsidR="00E75834"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Les résidus peuvent être déplacés vers les </w:t>
      </w:r>
      <w:r w:rsidRPr="00C5457C">
        <w:rPr>
          <w:rFonts w:ascii="Times New Roman" w:hAnsi="Times New Roman" w:cs="Times New Roman"/>
          <w:sz w:val="24"/>
          <w:szCs w:val="24"/>
        </w:rPr>
        <w:lastRenderedPageBreak/>
        <w:t>zones dénudées ou laissés sur place dans les champs pour fertiliser les champs. En début de saison, les résidus laissés aux champs peuvent également protéger le sol contre le soleil, le vent et les pluies torrentielles</w:t>
      </w:r>
      <w:r w:rsidR="00C7168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{"citationItems":[{"id":"ITEM-1","itemData":{"DOI":"10.1016/j.agsy.2014.05.013","ISSN":"0308521X","abstract":"Crop residues (CR) have become a limited resource in mixed crop-livestock farms. As a result of the increasing demand and low availability of alternative resources, CR became an essential resource for household activities, especially for livestock keeping; a major livelihood element of smallholder farmers in the developing world. Farmers' decisions on CR use are determined by farmers' preferences, total crop production, availability of alternative resources and demand for CR. Interaction of these determinants can result in pressures and trade-offs of CR use. Determinants, pressures and trade-offs are shaped by the specific socio-economic and agro-ecological context of these mixed farms. The objective of this paper is to provide a comparative analysis of the determinants of CR use and to examine some options to cope with pressures and trade-offs in 12 study sites across Sub-Saharan Africa and South Asia. Drawing on socio-economic data at household and village level, we describe how cereal intensification and livestock feed demand influence use, pressures and trade-offs of CR use across study sites, specifically cereal residue. Our results show that in low cereal production and livestock feed demand sites, despite a low demand for CR and availability of alternative biomass, pressures and trade-offs of CR use are common particularly in the dry season. In sites with moderate cereal production, and low-moderate and moderate livestock feed demand, alternative biomass resources are scarce and most residues are fed to livestock or used to cover household needs. Subsequently, pressures and potential trade-offs are stronger. In sites with low cereal production and high livestock feed demand, pressures and trade-offs depend on the availability of better feed resources. Finally, sites with high cereal production and high livestock feed demand have been able to fulfil most of the demand for CR, limiting pressures and trade-offs. These patterns show that agricultural intensification, better management of communal resources and off-farm activities are plausible development pathways to overcome pressures and trade-offs of CR use. Although technologies can largely improve these trends, research and development should revisit past initiatives so as to develop innovative approaches to tackle the well-known problem of low agricultural production in many smallholder mixed systems, creating more sustainable futures.","author":[{"dropping-particle":"","family":"Valbuena","given":"Diego","non-dropping-particle":"","parse-names":false,"suffix":""},{"dropping-particle":"","family":"Tui","given":"Sabine Homann Kee","non-dropping-particle":"","parse-names":false,"suffix":""},{"dropping-particle":"","family":"Erenstein","given":"Olaf","non-dropping-particle":"","parse-names":false,"suffix":""},{"dropping-particle":"","family":"Teufel","given":"Nils","non-dropping-particle":"","parse-names":false,"suffix":""},{"dropping-particle":"","family":"Duncan","given":"Alan","non-dropping-particle":"","parse-names":false,"suffix":""},{"dropping-particle":"","family":"Abdoulaye","given":"Tahirou","non-dropping-particle":"","parse-names":false,"suffix":""},{"dropping-particle":"","family":"Swain","given":"Braja","non-dropping-particle":"","parse-names":false,"suffix":""},{"dropping-particle":"","family":"Mekonnen","given":"Kindu","non-dropping-particle":"","parse-names":false,"suffix":""},{"dropping-particle":"","family":"Germaine","given":"Ibro","non-dropping-particle":"","parse-names":false,"suffix":""},{"dropping-particle":"","family":"Gérard","given":"Bruno","non-dropping-particle":"","parse-names":false,"suffix":""}],"container-title":"Agricultural Systems","id":"ITEM-1","issued":{"date-parts":[["2015"]]},"page":"107-118","publisher":"Elsevier Ltd","title":"Identifying determinants, pressures and trade-offs of crop residue use in mixed smallholder farms in Sub-Saharan Africa and South Asia","type":"article-journal","volume":"134"},"uris":["http://www.mendeley.com/documents/?uuid=2009c8b2-a61b-491a-b797-c4e6550017e8"]},{"id":"ITEM-2","itemData":{"DOI":"10.1016/j.fcr.2012.02.022","ISSN":"03784290","abstract":"Conservation Agriculture (CA) is being advocated to enhance soil health and sustain long term crop productivity in the developing world. One of CA's key principles is the maintenance of soil cover often by retaining a proportion of crop residues on the field as mulch. Yet smallholder crop-livestock systems across Africa and Asia face trade-offs among various options for crop residue use. Knowledge of the potential trade-offs of leaving more residues as mulch is only partial and the objective of this research is to address some of these knowledge gaps by assessing the trade-offs in contrasting settings with mixed crop-livestock systems. The paper draws from village surveys in 12 sites in 9 different countries across Sub-Sahara Africa and South Asia. Sites were clustered into 3 groups along the combined population and livestock density gradients to assess current crop residue management practices and explore potential challenges to adopting mulching practices in different circumstances. Results show that although high-density sites face higher potential pressure on resources on an area basis, biomass production tends to be more substantial in these sites covering demands for livestock feed and allowing part of the residues to be used as mulch. In medium-density sites, although population and livestock densities are relatively lower, biomass is scarce and pressure on land and feed are high, increasing the pressure on crop residues and their opportunity cost as mulch. In low-density areas, population and livestock densities are relatively low and communal feed and fuel resources exist, resulting in lower potential pressure on residues on an area basis. Yet, biomass production is low and farmers largely rely on crop residues to feed livestock during the long dry season, implying substantial opportunity costs to their use as mulch. Despite its potential benefit for smallholder farmers across the density gradient, the introduction of CA-based mulching practices appears potentially easier in sites where biomass production is high enough to fulfil existing demands for feed and fuel. In sites with relatively high feed and fuel pressure, the eventual introduction of CA needs complementary research and development efforts to increase biomass production and/or develop alternative sources to alleviate the opportunity costs of leaving some crop residues as mulch. © 2012 Elsevier B.V.","author":[{"dropping-particle":"","family":"Valbuena","given":"Diego","non-dropping-particle":"","parse-names":false,"suffix":""},{"dropping-particle":"","family":"Erenstein","given":"Olaf","non-dropping-particle":"","parse-names":false,"suffix":""},{"dropping-particle":"","family":"Homann-Kee Tui","given":"Sabine","non-dropping-particle":"","parse-names":false,"suffix":""},{"dropping-particle":"","family":"Abdoulaye","given":"Tahirou","non-dropping-particle":"","parse-names":false,"suffix":""},{"dropping-particle":"","family":"Claessens","given":"Lieven","non-dropping-particle":"","parse-names":false,"suffix":""},{"dropping-particle":"","family":"Duncan","given":"Alan J.","non-dropping-particle":"","parse-names":false,"suffix":""},{"dropping-particle":"","family":"Gérard","given":"Bruno","non-dropping-particle":"","parse-names":false,"suffix":""},{"dropping-particle":"","family":"Rufino","given":"Mariana C.","non-dropping-particle":"","parse-names":false,"suffix":""},{"dropping-particle":"","family":"Teufel","given":"Nils","non-dropping-particle":"","parse-names":false,"suffix":""},{"dropping-particle":"","family":"Rooyen","given":"André","non-dropping-particle":"van","parse-names":false,"suffix":""},{"dropping-particle":"","family":"Wijk","given":"Mark T.","non-dropping-particle":"van","parse-names":false,"suffix":""}],"container-title":"Field Crops Research","id":"ITEM-2","issued":{"date-parts":[["2012"]]},"page":"175-184","publisher":"Elsevier B.V.","title":"Conservation Agriculture in mixed crop-livestock systems: Scoping crop residue trade-offs in Sub-Saharan Africa and South Asia","type":"article-journal","volume":"132"},"uris":["http://www.mendeley.com/documents/?uuid=e7580348-5088-4b9c-a2f6-d491b681edcd"]},{"id":"ITEM-3","itemData":{"ISBN":"9781784318208","author":[{"dropping-particle":"","family":"Zongo","given":"W C Alex-fabrice","non-dropping-particle":"","parse-names":false,"suffix":""},{"dropping-particle":"","family":"Allen","given":"Mary","non-dropping-particle":"","parse-names":false,"suffix":""},{"dropping-particle":"","family":"Batchéné","given":"Hié","non-dropping-particle":"","parse-names":false,"suffix":""},{"dropping-particle":"","family":"Bourgou","given":"Tsuamba","non-dropping-particle":"","parse-names":false,"suffix":""},{"dropping-particle":"","family":"Sigué","given":"Hamadé","non-dropping-particle":"","parse-names":false,"suffix":""}],"id":"ITEM-3","issued":{"date-parts":[["2020"]]},"number-of-pages":"60","publisher-place":"Burkina Faso","title":"Compromis dans l ’ intensification durable de l ’ agriculture : Études de cas dans deux villages du Burkina Faso","type":"report"},"uris":["http://www.mendeley.com/documents/?uuid=70127ab1-d04c-4386-a43a-88b89795903a"]},{"id":"ITEM-4","itemData":{"DOI":"10.1016/j.agsy.2015.02.003","ISSN":"0308521X","abstract":"Much has been written on the tradeoffs that smallholder farmers face when having to allocate their biomass resources among competing objectives such as feed, fuel, mulch, compost or the market. This paper summarises yet a new body of evidence from 10 studies on tradeoffs in the allocation of cereal crop residue biomass between soil management and livestock feeding in developing regions, published in the special issue of Agricultural Systems 'Biomass use tradeoffs in cereal cropping systems: Lessons and implications from the developing world'. The studies cover a diversity of socio-ecological contexts, farming system types and scales of analysis. We reflect on their main findings and methodological progress, and on the new and not-so-new implications of these findings for research and action in the development agenda. We propose stylised graphical models to portray tradeoffs and plausible trajectories towards synergies, in the hope that such generalisations would prevent further efforts to 'reinvent the wheel' in the realm of tradeoffs analysis. We advocate an ex-post impact assessment of recent investments in systems research to help focus such research further and clearly define its future role in prioritizing and targeting development interventions.","author":[{"dropping-particle":"","family":"Tittonell","given":"Pablo","non-dropping-particle":"","parse-names":false,"suffix":""},{"dropping-particle":"","family":"Gérard","given":"Bruno","non-dropping-particle":"","parse-names":false,"suffix":""},{"dropping-particle":"","family":"Erenstein","given":"Olaf","non-dropping-particle":"","parse-names":false,"suffix":""}],"container-title":"Agricultural Systems","id":"ITEM-4","issued":{"date-parts":[["2015"]]},"page":"119-128","publisher":"Elsevier Ltd","title":"Tradeoffs around crop residue biomass in smallholder crop-livestock systems - What's next?","type":"article-journal","volume":"134"},"uris":["http://www.mendeley.com/documents/?uuid=0c17c6c6-4f11-4ff3-a54a-51ecddfb0563"]}],"mendeley":{"formattedCitation":"(Tittonell et al., 2015; Valbuena et al., 2012, 2015; Zongo et al., 2020)","plainTextFormattedCitation":"(Tittonell et al., 2015; Valbuena et al., 2012, 2015; Zongo et al., 2020)","previouslyFormattedCitation":"(Tittonell, Gérard, and Erenstein 2015; Valbuena et al. 2012, 2015; Zongo et al. 2020)"},"properties":{"noteIndex":0},"schema":"https://github.com/citation-style-language/schema/raw/master/csl-citation.json"}</w:instrText>
      </w:r>
      <w:r w:rsidR="00C7168F"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(Tittonell et al., 2015; Valbuena et al., 2012, 2015; Zongo et al., 2020)</w:t>
      </w:r>
      <w:r w:rsidR="00C7168F"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Cependant, pendant la saison sèche, le bétail en pâture libre broute les résidus de récolte qui sont restés sur place, ce qui laisse souvent le sol intact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{"citationItems":[{"id":"ITEM-1","itemData":{"DOI":"10.1016/j.agsy.2014.05.013","ISSN":"0308521X","abstract":"Crop residues (CR) have become a limited resource in mixed crop-livestock farms. As a result of the increasing demand and low availability of alternative resources, CR became an essential resource for household activities, especially for livestock keeping; a major livelihood element of smallholder farmers in the developing world. Farmers' decisions on CR use are determined by farmers' preferences, total crop production, availability of alternative resources and demand for CR. Interaction of these determinants can result in pressures and trade-offs of CR use. Determinants, pressures and trade-offs are shaped by the specific socio-economic and agro-ecological context of these mixed farms. The objective of this paper is to provide a comparative analysis of the determinants of CR use and to examine some options to cope with pressures and trade-offs in 12 study sites across Sub-Saharan Africa and South Asia. Drawing on socio-economic data at household and village level, we describe how cereal intensification and livestock feed demand influence use, pressures and trade-offs of CR use across study sites, specifically cereal residue. Our results show that in low cereal production and livestock feed demand sites, despite a low demand for CR and availability of alternative biomass, pressures and trade-offs of CR use are common particularly in the dry season. In sites with moderate cereal production, and low-moderate and moderate livestock feed demand, alternative biomass resources are scarce and most residues are fed to livestock or used to cover household needs. Subsequently, pressures and potential trade-offs are stronger. In sites with low cereal production and high livestock feed demand, pressures and trade-offs depend on the availability of better feed resources. Finally, sites with high cereal production and high livestock feed demand have been able to fulfil most of the demand for CR, limiting pressures and trade-offs. These patterns show that agricultural intensification, better management of communal resources and off-farm activities are plausible development pathways to overcome pressures and trade-offs of CR use. Although technologies can largely improve these trends, research and development should revisit past initiatives so as to develop innovative approaches to tackle the well-known problem of low agricultural production in many smallholder mixed systems, creating more sustainable futures.","author":[{"dropping-particle":"","family":"Valbuena","given":"Diego","non-dropping-particle":"","parse-names":false,"suffix":""},{"dropping-particle":"","family":"Tui","given":"Sabine Homann Kee","non-dropping-particle":"","parse-names":false,"suffix":""},{"dropping-particle":"","family":"Erenstein","given":"Olaf","non-dropping-particle":"","parse-names":false,"suffix":""},{"dropping-particle":"","family":"Teufel","given":"Nils","non-dropping-particle":"","parse-names":false,"suffix":""},{"dropping-particle":"","family":"Duncan","given":"Alan","non-dropping-particle":"","parse-names":false,"suffix":""},{"dropping-particle":"","family":"Abdoulaye","given":"Tahirou","non-dropping-particle":"","parse-names":false,"suffix":""},{"dropping-particle":"","family":"Swain","given":"Braja","non-dropping-particle":"","parse-names":false,"suffix":""},{"dropping-particle":"","family":"Mekonnen","given":"Kindu","non-dropping-particle":"","parse-names":false,"suffix":""},{"dropping-particle":"","family":"Germaine","given":"Ibro","non-dropping-particle":"","parse-names":false,"suffix":""},{"dropping-particle":"","family":"Gérard","given":"Bruno","non-dropping-particle":"","parse-names":false,"suffix":""}],"container-title":"Agricultural Systems","id":"ITEM-1","issued":{"date-parts":[["2015"]]},"page":"107-118","publisher":"Elsevier Ltd","title":"Identifying determinants, pressures and trade-offs of crop residue use in mixed smallholder farms in Sub-Saharan Africa and South Asia","type":"article-journal","volume":"134"},"uris":["http://www.mendeley.com/documents/?uuid=2009c8b2-a61b-491a-b797-c4e6550017e8"]},{"id":"ITEM-2","itemData":{"DOI":"10.1016/j.agsy.2014.09.003","ISSN":"0308521X","abstract":"Conservation agriculture (CA) is promoted worldwide to enhance soil quality, improve farmers' incomes and increase the resilience of rainfed agro-ecosystems under climate change. A major constraint to the adoption of CA is crop residue management in mixed crop-livestock systems. Farmers have competing uses of crop residues - for soil cover, as fodder or as additional income source - which may explain low CA adoption rates in some countries. This paper describes the social and income trade-offs of different crop residue uses in Mexico at regional, community and household level associated with the introduction of CA. We first spatially analyze the importance of crop residues for fodder supply and identify municipalities with fodder surplus at national and regional level. Second, we assess the likely social trade-offs and implications for farming communities of changing a typical farm households' residue allocation. Third, we identify the effects of crop residue uses on gross margins of maize and barley and assess the economic optimal crop residue allocation at the farm level with short planning horizons. The paper focuses on maize and barley producers in the central Mexican highlands and combines primary quantitative and qualitative data with secondary data.Analysis shows that at a national level, Mexico has a fodder surplus while the central highlands have a deficit. Crop residues are a major fodder source in Mexico, contributing up to 40% of fodder availability. Crop residues are also an important income source which implies costs for introducing CA in the central highlands. Our analysis indicates that retaining crop residues in-situ influences gross margins and that retention of roughly 45% of residues maximizes gross margins in situations where opportunity costs for the use of crop residues exist. Partial residue retention, sequential introduction and combination of technologies may facilitate CA uptake but CA remains a challenge for resource-poor farmers given their limited liquidity, risky production environment and difficulty to forego current income for future benefits. More interdisciplinary research is needed around economic optimal residue retention levels under different farming and production conditions, to identify the ecological needed minimum cover of crop residues for CA and to develop alternative low-cost sustainable technologies with short-term benefits.","author":[{"dropping-particle":"","family":"Beuchelt","given":"Tina D.","non-dropping-particle":"","parse-names":false,"suffix":""},{"dropping-particle":"","family":"Camacho Villa","given":"Carolina T.","non-dropping-particle":"","parse-names":false,"suffix":""},{"dropping-particle":"","family":"Göhring","given":"Lutz","non-dropping-particle":"","parse-names":false,"suffix":""},{"dropping-particle":"","family":"Hernández Rodríguez","given":"Víctor M.","non-dropping-particle":"","parse-names":false,"suffix":""},{"dropping-particle":"","family":"Hellin","given":"Jon","non-dropping-particle":"","parse-names":false,"suffix":""},{"dropping-particle":"","family":"Sonder","given":"Kai","non-dropping-particle":"","parse-names":false,"suffix":""},{"dropping-particle":"","family":"Erenstein","given":"Olaf","non-dropping-particle":"","parse-names":false,"suffix":""}],"container-title":"Agricultural Systems","id":"ITEM-2","issued":{"date-parts":[["2015"]]},"page":"61-75","publisher":"Elsevier Ltd","title":"Social and income trade-offs of conservation agriculture practices on crop residue use in Mexico's central highlands","type":"article-journal","volume":"134"},"uris":["http://www.mendeley.com/documents/?uuid=daf7399f-215f-4795-831c-ded1fe925661"]}],"mendeley":{"formattedCitation":"(Beuchelt et al., 2015; Valbuena et al., 2015)","plainTextFormattedCitation":"(Beuchelt et al., 2015; Valbuena et al., 2015)","previouslyFormattedCitation":"(Beuchelt et al. 2015; Valbuena et al. 2015)"},"properties":{"noteIndex":0},"schema":"https://github.com/citation-style-language/schema/raw/master/csl-citation.json"}</w:instrText>
      </w:r>
      <w:r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(Beuchelt et al., 2015; Valbuena et al., 2015)</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w:t>
      </w:r>
      <w:r w:rsidR="00812498" w:rsidRPr="00C5457C">
        <w:rPr>
          <w:rFonts w:ascii="Times New Roman" w:hAnsi="Times New Roman" w:cs="Times New Roman"/>
          <w:sz w:val="24"/>
          <w:szCs w:val="24"/>
        </w:rPr>
        <w:t xml:space="preserve"> </w:t>
      </w:r>
      <w:r w:rsidR="00546B38" w:rsidRPr="00C5457C">
        <w:rPr>
          <w:rFonts w:ascii="Times New Roman" w:hAnsi="Times New Roman" w:cs="Times New Roman"/>
          <w:sz w:val="24"/>
          <w:szCs w:val="24"/>
        </w:rPr>
        <w:t xml:space="preserve">Selon </w:t>
      </w:r>
      <w:r w:rsidR="00546B38"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author":[{"dropping-particle":"","family":"Jaleta","given":"Moti","non-dropping-particle":"","parse-names":false,"suffix":""},{"dropping-particle":"","family":"Kassie","given":"Menale","non-dropping-particle":"","parse-names":false,"suffix":""},{"dropping-particle":"","family":"Shiferaw","given":"Bekele","non-dropping-particle":"","parse-names":false,"suffix":""}],"container-title":"AgEcon Search","id":"ITEM-1","issued":{"date-parts":[["2012"]]},"page":"30","title":"Tradeoffs in Crop Residue Utilization in Mixed Crop-Livestock Systems and Implications for Conservation Agriculture and Sustainable Land Management","type":"article-journal"},"uris":["http://www.mendeley.com/documents/?uuid=c8ed96df-dd7d-43a8-acf1-bd49884d022a"]}],"mendeley":{"formattedCitation":"(Jaleta et al., 2012)","manualFormatting":"Jaleta et al., (2012)","plainTextFormattedCitation":"(Jaleta et al., 2012)","previouslyFormattedCitation":"(Jaleta et al. 2012)"},"properties":{"noteIndex":0},"schema":"https://github.com/citation-style-language/schema/raw/master/csl-citation.json"}</w:instrText>
      </w:r>
      <w:r w:rsidR="00546B38" w:rsidRPr="00C5457C">
        <w:rPr>
          <w:rFonts w:ascii="Times New Roman" w:hAnsi="Times New Roman" w:cs="Times New Roman"/>
          <w:sz w:val="24"/>
          <w:szCs w:val="24"/>
        </w:rPr>
        <w:fldChar w:fldCharType="separate"/>
      </w:r>
      <w:r w:rsidR="00546B38" w:rsidRPr="00C5457C">
        <w:rPr>
          <w:rFonts w:ascii="Times New Roman" w:hAnsi="Times New Roman" w:cs="Times New Roman"/>
          <w:noProof/>
          <w:sz w:val="24"/>
          <w:szCs w:val="24"/>
        </w:rPr>
        <w:t>Jaleta et al., (2012)</w:t>
      </w:r>
      <w:r w:rsidR="00546B38" w:rsidRPr="00C5457C">
        <w:rPr>
          <w:rFonts w:ascii="Times New Roman" w:hAnsi="Times New Roman" w:cs="Times New Roman"/>
          <w:sz w:val="24"/>
          <w:szCs w:val="24"/>
        </w:rPr>
        <w:fldChar w:fldCharType="end"/>
      </w:r>
      <w:r w:rsidR="00546B38" w:rsidRPr="00C5457C">
        <w:rPr>
          <w:rFonts w:ascii="Times New Roman" w:hAnsi="Times New Roman" w:cs="Times New Roman"/>
          <w:sz w:val="24"/>
          <w:szCs w:val="24"/>
        </w:rPr>
        <w:t xml:space="preserve"> en fonction de divers facteurs tels que la région, la taille des parcelles, la distance par rapport à la maison et la composition de leur cheptel, les agriculteurs font des choix complexes pour optimiser l’utilisation des résidus de culture. </w:t>
      </w:r>
      <w:r w:rsidRPr="00C5457C">
        <w:rPr>
          <w:rFonts w:ascii="Times New Roman" w:hAnsi="Times New Roman" w:cs="Times New Roman"/>
          <w:sz w:val="24"/>
          <w:szCs w:val="24"/>
        </w:rPr>
        <w:t>Les résidus de récoltes tels que les fans de niébé sont collectés pour nourrir les animaux pendant la période sèche pour l'alimentation du bétail. Les résidus de céréales sont également collectés pour nourrir le gros bétail. Pour produire du compost, les restes de ces résidus de récolte sont ensuite mélangés aux déjections des animaux (parqués ou en divagation)</w:t>
      </w:r>
      <w:r w:rsidR="00C7168F" w:rsidRPr="00C5457C">
        <w:rPr>
          <w:rFonts w:ascii="Times New Roman" w:hAnsi="Times New Roman" w:cs="Times New Roman"/>
          <w:sz w:val="24"/>
          <w:szCs w:val="24"/>
        </w:rPr>
        <w:t xml:space="preserve"> </w:t>
      </w:r>
      <w:r w:rsidR="00C7168F"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{"citationItems":[{"id":"ITEM-1","itemData":{"ISBN":"9781784318208","author":[{"dropping-particle":"","family":"Zongo","given":"W C Alex-fabrice","non-dropping-particle":"","parse-names":false,"suffix":""},{"dropping-particle":"","family":"Allen","given":"Mary","non-dropping-particle":"","parse-names":false,"suffix":""},{"dropping-particle":"","family":"Batchéné","given":"Hié","non-dropping-particle":"","parse-names":false,"suffix":""},{"dropping-particle":"","family":"Bourgou","given":"Tsuamba","non-dropping-particle":"","parse-names":false,"suffix":""},{"dropping-particle":"","family":"Sigué","given":"Hamadé","non-dropping-particle":"","parse-names":false,"suffix":""}],"id":"ITEM-1","issued":{"date-parts":[["2020"]]},"number-of-pages":"60","publisher-place":"Burkina Faso","title":"Compromis dans l ’ intensification durable de l ’ agriculture : Études de cas dans deux villages du Burkina Faso","type":"report"},"uris":["http://www.mendeley.com/documents/?uuid=70127ab1-d04c-4386-a43a-88b89795903a"]}],"mendeley":{"formattedCitation":"(Zongo et al., 2020)","plainTextFormattedCitation":"(Zongo et al., 2020)","previouslyFormattedCitation":"(Zongo et al. 2020)"},"properties":{"noteIndex":0},"schema":"https://github.com/citation-style-language/schema/raw/master/csl-citation.json"}</w:instrText>
      </w:r>
      <w:r w:rsidR="00C7168F" w:rsidRPr="00C5457C">
        <w:rPr>
          <w:rFonts w:ascii="Times New Roman" w:hAnsi="Times New Roman" w:cs="Times New Roman"/>
          <w:sz w:val="24"/>
          <w:szCs w:val="24"/>
        </w:rPr>
        <w:fldChar w:fldCharType="separate"/>
      </w:r>
      <w:r w:rsidR="009E6C60" w:rsidRPr="00C5457C">
        <w:rPr>
          <w:rFonts w:ascii="Times New Roman" w:hAnsi="Times New Roman" w:cs="Times New Roman"/>
          <w:noProof/>
          <w:sz w:val="24"/>
          <w:szCs w:val="24"/>
        </w:rPr>
        <w:t>(Zongo et al., 2020)</w:t>
      </w:r>
      <w:r w:rsidR="00C7168F" w:rsidRPr="00C5457C">
        <w:rPr>
          <w:rFonts w:ascii="Times New Roman" w:hAnsi="Times New Roman" w:cs="Times New Roman"/>
          <w:sz w:val="24"/>
          <w:szCs w:val="24"/>
        </w:rPr>
        <w:fldChar w:fldCharType="end"/>
      </w:r>
      <w:r w:rsidRPr="00C5457C">
        <w:rPr>
          <w:rFonts w:ascii="Times New Roman" w:hAnsi="Times New Roman" w:cs="Times New Roman"/>
          <w:sz w:val="24"/>
          <w:szCs w:val="24"/>
        </w:rPr>
        <w:t>.</w:t>
      </w:r>
      <w:r w:rsidR="00546B38" w:rsidRPr="00C5457C">
        <w:rPr>
          <w:rFonts w:ascii="Times New Roman" w:hAnsi="Times New Roman" w:cs="Times New Roman"/>
          <w:sz w:val="24"/>
          <w:szCs w:val="24"/>
        </w:rPr>
        <w:t xml:space="preserve"> </w:t>
      </w:r>
    </w:p>
    <w:p w14:paraId="0AD5807B" w14:textId="5574998B" w:rsidR="00910C17" w:rsidRPr="00C5457C" w:rsidRDefault="00AC74E9"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D’après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{"citationItems":[{"id":"ITEM-1","itemData":{"DOI":"10.1016/j.agsy.2015.02.003","ISSN":"0308521X","abstract":"Much has been written on the tradeoffs that smallholder farmers face when having to allocate their biomass resources among competing objectives such as feed, fuel, mulch, compost or the market. This paper summarises yet a new body of evidence from 10 studies on tradeoffs in the allocation of cereal crop residue biomass between soil management and livestock feeding in developing regions, published in the special issue of Agricultural Systems 'Biomass use tradeoffs in cereal cropping systems: Lessons and implications from the developing world'. The studies cover a diversity of socio-ecological contexts, farming system types and scales of analysis. We reflect on their main findings and methodological progress, and on the new and not-so-new implications of these findings for research and action in the development agenda. We propose stylised graphical models to portray tradeoffs and plausible trajectories towards synergies, in the hope that such generalisations would prevent further efforts to 'reinvent the wheel' in the realm of tradeoffs analysis. We advocate an ex-post impact assessment of recent investments in systems research to help focus such research further and clearly define its future role in prioritizing and targeting development interventions.","author":[{"dropping-particle":"","family":"Tittonell","given":"Pablo","non-dropping-particle":"","parse-names":false,"suffix":""},{"dropping-particle":"","family":"Gérard","given":"Bruno","non-dropping-particle":"","parse-names":false,"suffix":""},{"dropping-particle":"","family":"Erenstein","given":"Olaf","non-dropping-particle":"","parse-names":false,"suffix":""}],"container-title":"Agricultural Systems","id":"ITEM-1","issued":{"date-parts":[["2015"]]},"page":"119-128","publisher":"Elsevier Ltd","title":"Tradeoffs around crop residue biomass in smallholder crop-livestock systems - What's next?","type":"article-journal","volume":"134"},"uris":["http://www.mendeley.com/documents/?uuid=0c17c6c6-4f11-4ff3-a54a-51ecddfb0563"]}],"mendeley":{"formattedCitation":"(Tittonell et al., 2015)","manualFormatting":"Tittonell et al., (2015)","plainTextFormattedCitation":"(Tittonell et al., 2015)","previouslyFormattedCitation":"(Tittonell et al. 2015)"},"properties":{"noteIndex":0},"schema":"https://github.com/citation-style-language/schema/raw/master/csl-citation.json"}</w:instrText>
      </w:r>
      <w:r w:rsidRPr="00C5457C">
        <w:rPr>
          <w:rFonts w:ascii="Times New Roman" w:hAnsi="Times New Roman" w:cs="Times New Roman"/>
          <w:sz w:val="24"/>
          <w:szCs w:val="24"/>
        </w:rPr>
        <w:fldChar w:fldCharType="separate"/>
      </w:r>
      <w:r w:rsidRPr="00C5457C">
        <w:rPr>
          <w:rFonts w:ascii="Times New Roman" w:hAnsi="Times New Roman" w:cs="Times New Roman"/>
          <w:noProof/>
          <w:sz w:val="24"/>
          <w:szCs w:val="24"/>
        </w:rPr>
        <w:t>Tittonell et al., (2015)</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pour </w:t>
      </w:r>
      <w:r w:rsidR="008F00C5" w:rsidRPr="00C5457C">
        <w:rPr>
          <w:rFonts w:ascii="Times New Roman" w:hAnsi="Times New Roman" w:cs="Times New Roman"/>
          <w:sz w:val="24"/>
          <w:szCs w:val="24"/>
        </w:rPr>
        <w:t xml:space="preserve">faire face aux chocs, </w:t>
      </w:r>
      <w:r w:rsidRPr="00C5457C">
        <w:rPr>
          <w:rFonts w:ascii="Times New Roman" w:hAnsi="Times New Roman" w:cs="Times New Roman"/>
          <w:sz w:val="24"/>
          <w:szCs w:val="24"/>
        </w:rPr>
        <w:t>des agriculteurs privilégient souvent les rendement à court terme comme l'alimentation</w:t>
      </w:r>
      <w:r w:rsidR="005B55DB" w:rsidRPr="00C5457C">
        <w:rPr>
          <w:rFonts w:ascii="Times New Roman" w:hAnsi="Times New Roman" w:cs="Times New Roman"/>
          <w:sz w:val="24"/>
          <w:szCs w:val="24"/>
        </w:rPr>
        <w:t xml:space="preserve"> animal</w:t>
      </w:r>
      <w:r w:rsidRPr="00C5457C">
        <w:rPr>
          <w:rFonts w:ascii="Times New Roman" w:hAnsi="Times New Roman" w:cs="Times New Roman"/>
          <w:sz w:val="24"/>
          <w:szCs w:val="24"/>
        </w:rPr>
        <w:t>, qui a des fonctions multiples essentielles, au détriment de</w:t>
      </w:r>
      <w:r w:rsidR="00F75276" w:rsidRPr="00C5457C">
        <w:rPr>
          <w:rFonts w:ascii="Times New Roman" w:hAnsi="Times New Roman" w:cs="Times New Roman"/>
          <w:sz w:val="24"/>
          <w:szCs w:val="24"/>
        </w:rPr>
        <w:t xml:space="preserve"> </w:t>
      </w:r>
      <w:r w:rsidRPr="00C5457C">
        <w:rPr>
          <w:rFonts w:ascii="Times New Roman" w:hAnsi="Times New Roman" w:cs="Times New Roman"/>
          <w:sz w:val="24"/>
          <w:szCs w:val="24"/>
        </w:rPr>
        <w:t>la productivité à long terme.</w:t>
      </w:r>
      <w:r w:rsidR="008F00C5" w:rsidRPr="00C5457C">
        <w:rPr>
          <w:rFonts w:ascii="Times New Roman" w:hAnsi="Times New Roman" w:cs="Times New Roman"/>
          <w:sz w:val="24"/>
          <w:szCs w:val="24"/>
        </w:rPr>
        <w:t xml:space="preserve"> </w:t>
      </w:r>
      <w:r w:rsidR="00910C17" w:rsidRPr="00C5457C">
        <w:rPr>
          <w:rFonts w:ascii="Times New Roman" w:hAnsi="Times New Roman" w:cs="Times New Roman"/>
          <w:sz w:val="24"/>
          <w:szCs w:val="24"/>
        </w:rPr>
        <w:t xml:space="preserve">D'après les enquêtes menées par </w:t>
      </w:r>
      <w:r w:rsidR="00910C17"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{"citationItems":[{"id":"ITEM-1","itemData":{"DOI":"10.1016/j.agsy.2014.05.013","ISSN":"0308521X","abstract":"Crop residues (CR) have become a limited resource in mixed crop-livestock farms. As a result of the increasing demand and low availability of alternative resources, CR became an essential resource for household activities, especially for livestock keeping; a major livelihood element of smallholder farmers in the developing world. Farmers' decisions on CR use are determined by farmers' preferences, total crop production, availability of alternative resources and demand for CR. Interaction of these determinants can result in pressures and trade-offs of CR use. Determinants, pressures and trade-offs are shaped by the specific socio-economic and agro-ecological context of these mixed farms. The objective of this paper is to provide a comparative analysis of the determinants of CR use and to examine some options to cope with pressures and trade-offs in 12 study sites across Sub-Saharan Africa and South Asia. Drawing on socio-economic data at household and village level, we describe how cereal intensification and livestock feed demand influence use, pressures and trade-offs of CR use across study sites, specifically cereal residue. Our results show that in low cereal production and livestock feed demand sites, despite a low demand for CR and availability of alternative biomass, pressures and trade-offs of CR use are common particularly in the dry season. In sites with moderate cereal production, and low-moderate and moderate livestock feed demand, alternative biomass resources are scarce and most residues are fed to livestock or used to cover household needs. Subsequently, pressures and potential trade-offs are stronger. In sites with low cereal production and high livestock feed demand, pressures and trade-offs depend on the availability of better feed resources. Finally, sites with high cereal production and high livestock feed demand have been able to fulfil most of the demand for CR, limiting pressures and trade-offs. These patterns show that agricultural intensification, better management of communal resources and off-farm activities are plausible development pathways to overcome pressures and trade-offs of CR use. Although technologies can largely improve these trends, research and development should revisit past initiatives so as to develop innovative approaches to tackle the well-known problem of low agricultural production in many smallholder mixed systems, creating more sustainable futures.","author":[{"dropping-particle":"","family":"Valbuena","given":"Diego","non-dropping-particle":"","parse-names":false,"suffix":""},{"dropping-particle":"","family":"Tui","given":"Sabine Homann Kee","non-dropping-particle":"","parse-names":false,"suffix":""},{"dropping-particle":"","family":"Erenstein","given":"Olaf","non-dropping-particle":"","parse-names":false,"suffix":""},{"dropping-particle":"","family":"Teufel","given":"Nils","non-dropping-particle":"","parse-names":false,"suffix":""},{"dropping-particle":"","family":"Duncan","given":"Alan","non-dropping-particle":"","parse-names":false,"suffix":""},{"dropping-particle":"","family":"Abdoulaye","given":"Tahirou","non-dropping-particle":"","parse-names":false,"suffix":""},{"dropping-particle":"","family":"Swain","given":"Braja","non-dropping-particle":"","parse-names":false,"suffix":""},{"dropping-particle":"","family":"Mekonnen","given":"Kindu","non-dropping-particle":"","parse-names":false,"suffix":""},{"dropping-particle":"","family":"Germaine","given":"Ibro","non-dropping-particle":"","parse-names":false,"suffix":""},{"dropping-particle":"","family":"Gérard","given":"Bruno","non-dropping-particle":"","parse-names":false,"suffix":""}],"container-title":"Agricultural Systems","id":"ITEM-1","issued":{"date-parts":[["2015"]]},"page":"107-118","publisher":"Elsevier Ltd","title":"Identifying determinants, pressures and trade-offs of crop residue use in mixed smallholder farms in Sub-Saharan Africa and South Asia","type":"article-journal","volume":"134"},"uris":["http://www.mendeley.com/documents/?uuid=2009c8b2-a61b-491a-b797-c4e6550017e8"]}],"mendeley":{"formattedCitation":"(Valbuena et al., 2015)","manualFormatting":"Valbuena et al., (2015)","plainTextFormattedCitation":"(Valbuena et al., 2015)","previouslyFormattedCitation":"(Valbuena et al. 2015)"},"properties":{"noteIndex":0},"schema":"https://github.com/citation-style-language/schema/raw/master/csl-citation.json"}</w:instrText>
      </w:r>
      <w:r w:rsidR="00910C17" w:rsidRPr="00C5457C">
        <w:rPr>
          <w:rFonts w:ascii="Times New Roman" w:hAnsi="Times New Roman" w:cs="Times New Roman"/>
          <w:sz w:val="24"/>
          <w:szCs w:val="24"/>
        </w:rPr>
        <w:fldChar w:fldCharType="separate"/>
      </w:r>
      <w:r w:rsidR="00910C17" w:rsidRPr="00C5457C">
        <w:rPr>
          <w:rFonts w:ascii="Times New Roman" w:hAnsi="Times New Roman" w:cs="Times New Roman"/>
          <w:noProof/>
          <w:sz w:val="24"/>
          <w:szCs w:val="24"/>
        </w:rPr>
        <w:t>Valbuena et al., (2015)</w:t>
      </w:r>
      <w:r w:rsidR="00910C17" w:rsidRPr="00C5457C">
        <w:rPr>
          <w:rFonts w:ascii="Times New Roman" w:hAnsi="Times New Roman" w:cs="Times New Roman"/>
          <w:sz w:val="24"/>
          <w:szCs w:val="24"/>
        </w:rPr>
        <w:fldChar w:fldCharType="end"/>
      </w:r>
      <w:r w:rsidR="00910C17" w:rsidRPr="00C5457C">
        <w:rPr>
          <w:rFonts w:ascii="Times New Roman" w:hAnsi="Times New Roman" w:cs="Times New Roman"/>
          <w:sz w:val="24"/>
          <w:szCs w:val="24"/>
        </w:rPr>
        <w:t xml:space="preserve"> sur 12 sites en Afrique subsaharienne et en Asie du Sud, il a été démontré que sur les sites</w:t>
      </w:r>
      <w:r w:rsidR="00F75276" w:rsidRPr="00C5457C">
        <w:rPr>
          <w:rFonts w:ascii="Times New Roman" w:hAnsi="Times New Roman" w:cs="Times New Roman"/>
          <w:sz w:val="24"/>
          <w:szCs w:val="24"/>
        </w:rPr>
        <w:t xml:space="preserve"> des zones arides, en particulier ceux</w:t>
      </w:r>
      <w:r w:rsidR="00910C17" w:rsidRPr="00C5457C">
        <w:rPr>
          <w:rFonts w:ascii="Times New Roman" w:hAnsi="Times New Roman" w:cs="Times New Roman"/>
          <w:sz w:val="24"/>
          <w:szCs w:val="24"/>
        </w:rPr>
        <w:t xml:space="preserve"> du Niger</w:t>
      </w:r>
      <w:r w:rsidR="00F75276" w:rsidRPr="00C5457C">
        <w:rPr>
          <w:rFonts w:ascii="Times New Roman" w:hAnsi="Times New Roman" w:cs="Times New Roman"/>
          <w:sz w:val="24"/>
          <w:szCs w:val="24"/>
        </w:rPr>
        <w:t>,</w:t>
      </w:r>
      <w:r w:rsidR="00910C17" w:rsidRPr="00C5457C">
        <w:rPr>
          <w:rFonts w:ascii="Times New Roman" w:hAnsi="Times New Roman" w:cs="Times New Roman"/>
          <w:sz w:val="24"/>
          <w:szCs w:val="24"/>
        </w:rPr>
        <w:t xml:space="preserve"> où la densité de bétail est modérée à </w:t>
      </w:r>
      <w:proofErr w:type="spellStart"/>
      <w:r w:rsidR="00910C17" w:rsidRPr="00C5457C">
        <w:rPr>
          <w:rFonts w:ascii="Times New Roman" w:hAnsi="Times New Roman" w:cs="Times New Roman"/>
          <w:sz w:val="24"/>
          <w:szCs w:val="24"/>
        </w:rPr>
        <w:t>élevée</w:t>
      </w:r>
      <w:proofErr w:type="spellEnd"/>
      <w:r w:rsidR="00910C17" w:rsidRPr="00C5457C">
        <w:rPr>
          <w:rFonts w:ascii="Times New Roman" w:hAnsi="Times New Roman" w:cs="Times New Roman"/>
          <w:sz w:val="24"/>
          <w:szCs w:val="24"/>
        </w:rPr>
        <w:t xml:space="preserve">, avec une fréquence de culture des terres variant de 88 à 96%, les résidus de culture constituent une source importante d'aliments pour les animaux et sont rarement utilisés comme amendement du sol. </w:t>
      </w:r>
      <w:r w:rsidRPr="00C5457C">
        <w:rPr>
          <w:rFonts w:ascii="Times New Roman" w:hAnsi="Times New Roman" w:cs="Times New Roman"/>
          <w:sz w:val="24"/>
          <w:szCs w:val="24"/>
        </w:rPr>
        <w:t xml:space="preserve">En Éthiopie, </w:t>
      </w:r>
      <w:proofErr w:type="spellStart"/>
      <w:r w:rsidRPr="00C5457C">
        <w:rPr>
          <w:rFonts w:ascii="Times New Roman" w:hAnsi="Times New Roman" w:cs="Times New Roman"/>
          <w:sz w:val="24"/>
          <w:szCs w:val="24"/>
        </w:rPr>
        <w:t>Jaleta</w:t>
      </w:r>
      <w:proofErr w:type="spellEnd"/>
      <w:r w:rsidRPr="00C5457C">
        <w:rPr>
          <w:rFonts w:ascii="Times New Roman" w:hAnsi="Times New Roman" w:cs="Times New Roman"/>
          <w:sz w:val="24"/>
          <w:szCs w:val="24"/>
        </w:rPr>
        <w:t xml:space="preserve"> et al. (2015)</w:t>
      </w:r>
      <w:r w:rsidR="00CF5732" w:rsidRPr="00C5457C">
        <w:rPr>
          <w:rFonts w:ascii="Times New Roman" w:hAnsi="Times New Roman" w:cs="Times New Roman"/>
          <w:sz w:val="24"/>
          <w:szCs w:val="24"/>
        </w:rPr>
        <w:t xml:space="preserve"> ont établi</w:t>
      </w:r>
      <w:r w:rsidRPr="00C5457C">
        <w:rPr>
          <w:rFonts w:ascii="Times New Roman" w:hAnsi="Times New Roman" w:cs="Times New Roman"/>
          <w:sz w:val="24"/>
          <w:szCs w:val="24"/>
        </w:rPr>
        <w:t xml:space="preserve"> que l'utilisation des résidus de culture comme amendement du sol ou comme paillis reste un défi majeur, 56 % des tiges de maïs étant utilisées comme aliments pour animaux, 31 % comme combustible et seule une fraction négligeable étant laissée dans les champs.</w:t>
      </w:r>
      <w:r w:rsidR="00447FDF" w:rsidRPr="00C5457C">
        <w:rPr>
          <w:rFonts w:ascii="Times New Roman" w:hAnsi="Times New Roman" w:cs="Times New Roman"/>
          <w:sz w:val="24"/>
          <w:szCs w:val="24"/>
        </w:rPr>
        <w:t xml:space="preserve"> </w:t>
      </w:r>
      <w:proofErr w:type="spellStart"/>
      <w:r w:rsidR="00447FDF" w:rsidRPr="00C5457C">
        <w:rPr>
          <w:rFonts w:ascii="Times New Roman" w:hAnsi="Times New Roman" w:cs="Times New Roman"/>
          <w:sz w:val="24"/>
          <w:szCs w:val="24"/>
        </w:rPr>
        <w:t>Castellanos-Navarrete</w:t>
      </w:r>
      <w:proofErr w:type="spellEnd"/>
      <w:r w:rsidR="00447FDF" w:rsidRPr="00C5457C">
        <w:rPr>
          <w:rFonts w:ascii="Times New Roman" w:hAnsi="Times New Roman" w:cs="Times New Roman"/>
          <w:sz w:val="24"/>
          <w:szCs w:val="24"/>
        </w:rPr>
        <w:t xml:space="preserve"> et al., (2015)</w:t>
      </w:r>
      <w:r w:rsidRPr="00C5457C">
        <w:rPr>
          <w:rFonts w:ascii="Times New Roman" w:hAnsi="Times New Roman" w:cs="Times New Roman"/>
          <w:sz w:val="24"/>
          <w:szCs w:val="24"/>
        </w:rPr>
        <w:t xml:space="preserve"> </w:t>
      </w:r>
      <w:r w:rsidR="00447FDF" w:rsidRPr="00C5457C">
        <w:rPr>
          <w:rFonts w:ascii="Times New Roman" w:hAnsi="Times New Roman" w:cs="Times New Roman"/>
          <w:sz w:val="24"/>
          <w:szCs w:val="24"/>
        </w:rPr>
        <w:t>ont observés dans l'ouest du Kenya, en moyenne 72 % des résidus de maïs ont été utilisés pour nourrir le bétail, 22 % ont été conservés dans les champs et seulement 5 % ont été ajoutés à un tas de compost avec le fumier. En outre, la majeure partie du foin des légumineuses cultivées en intercalaire avec le maïs a été récoltée et donnée au bétail.</w:t>
      </w:r>
      <w:r w:rsidR="00910C17" w:rsidRPr="00C5457C">
        <w:rPr>
          <w:rFonts w:ascii="Times New Roman" w:hAnsi="Times New Roman" w:cs="Times New Roman"/>
          <w:sz w:val="24"/>
          <w:szCs w:val="24"/>
        </w:rPr>
        <w:t xml:space="preserve"> </w:t>
      </w:r>
      <w:r w:rsidR="007608CE"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{"citationItems":[{"id":"ITEM-1","itemData":{"DOI":"10.1016/j.agsy.2014.09.003","ISSN":"0308521X","abstract":"Conservation agriculture (CA) is promoted worldwide to enhance soil quality, improve farmers' incomes and increase the resilience of rainfed agro-ecosystems under climate change. A major constraint to the adoption of CA is crop residue management in mixed crop-livestock systems. Farmers have competing uses of crop residues - for soil cover, as fodder or as additional income source - which may explain low CA adoption rates in some countries. This paper describes the social and income trade-offs of different crop residue uses in Mexico at regional, community and household level associated with the introduction of CA. We first spatially analyze the importance of crop residues for fodder supply and identify municipalities with fodder surplus at national and regional level. Second, we assess the likely social trade-offs and implications for farming communities of changing a typical farm households' residue allocation. Third, we identify the effects of crop residue uses on gross margins of maize and barley and assess the economic optimal crop residue allocation at the farm level with short planning horizons. The paper focuses on maize and barley producers in the central Mexican highlands and combines primary quantitative and qualitative data with secondary data.Analysis shows that at a national level, Mexico has a fodder surplus while the central highlands have a deficit. Crop residues are a major fodder source in Mexico, contributing up to 40% of fodder availability. Crop residues are also an important income source which implies costs for introducing CA in the central highlands. Our analysis indicates that retaining crop residues in-situ influences gross margins and that retention of roughly 45% of residues maximizes gross margins in situations where opportunity costs for the use of crop residues exist. Partial residue retention, sequential introduction and combination of technologies may facilitate CA uptake but CA remains a challenge for resource-poor farmers given their limited liquidity, risky production environment and difficulty to forego current income for future benefits. More interdisciplinary research is needed around economic optimal residue retention levels under different farming and production conditions, to identify the ecological needed minimum cover of crop residues for CA and to develop alternative low-cost sustainable technologies with short-term benefits.","author":[{"dropping-particle":"","family":"Beuchelt","given":"Tina D.","non-dropping-particle":"","parse-names":false,"suffix":""},{"dropping-particle":"","family":"Camacho Villa","given":"Carolina T.","non-dropping-particle":"","parse-names":false,"suffix":""},{"dropping-particle":"","family":"Göhring","given":"Lutz","non-dropping-particle":"","parse-names":false,"suffix":""},{"dropping-particle":"","family":"Hernández Rodríguez","given":"Víctor M.","non-dropping-particle":"","parse-names":false,"suffix":""},{"dropping-particle":"","family":"Hellin","given":"Jon","non-dropping-particle":"","parse-names":false,"suffix":""},{"dropping-particle":"","family":"Sonder","given":"Kai","non-dropping-particle":"","parse-names":false,"suffix":""},{"dropping-particle":"","family":"Erenstein","given":"Olaf","non-dropping-particle":"","parse-names":false,"suffix":""}],"container-title":"Agricultural Systems","id":"ITEM-1","issued":{"date-parts":[["2015"]]},"page":"61-75","publisher":"Elsevier Ltd","title":"Social and income trade-offs of conservation agriculture practices on crop residue use in Mexico's central highlands","type":"article-journal","volume":"134"},"uris":["http://www.mendeley.com/documents/?uuid=daf7399f-215f-4795-831c-ded1fe925661"]}],"mendeley":{"formattedCitation":"(Beuchelt et al., 2015)","manualFormatting":"Beuchelt et al., (2015)","plainTextFormattedCitation":"(Beuchelt et al., 2015)","previouslyFormattedCitation":"(Beuchelt et al. 2015)"},"properties":{"noteIndex":0},"schema":"https://github.com/citation-style-language/schema/raw/master/csl-citation.json"}</w:instrText>
      </w:r>
      <w:r w:rsidR="007608CE" w:rsidRPr="00C5457C">
        <w:rPr>
          <w:rFonts w:ascii="Times New Roman" w:hAnsi="Times New Roman" w:cs="Times New Roman"/>
          <w:sz w:val="24"/>
          <w:szCs w:val="24"/>
        </w:rPr>
        <w:fldChar w:fldCharType="separate"/>
      </w:r>
      <w:r w:rsidR="007608CE" w:rsidRPr="00C5457C">
        <w:rPr>
          <w:rFonts w:ascii="Times New Roman" w:hAnsi="Times New Roman" w:cs="Times New Roman"/>
          <w:noProof/>
          <w:sz w:val="24"/>
          <w:szCs w:val="24"/>
        </w:rPr>
        <w:t>Beuchelt et al., (2015)</w:t>
      </w:r>
      <w:r w:rsidR="007608CE" w:rsidRPr="00C5457C">
        <w:rPr>
          <w:rFonts w:ascii="Times New Roman" w:hAnsi="Times New Roman" w:cs="Times New Roman"/>
          <w:sz w:val="24"/>
          <w:szCs w:val="24"/>
        </w:rPr>
        <w:fldChar w:fldCharType="end"/>
      </w:r>
      <w:r w:rsidR="00910C17" w:rsidRPr="00C5457C">
        <w:rPr>
          <w:rFonts w:ascii="Times New Roman" w:hAnsi="Times New Roman" w:cs="Times New Roman"/>
          <w:sz w:val="24"/>
          <w:szCs w:val="24"/>
        </w:rPr>
        <w:t xml:space="preserve"> font le même constat au Mexique où 70 à 95 % des résidus de culture de maïs sont utilisés pour nourrir le bétail en plein air et 1 à 30 % pour le pâturage des chaumes, ce qui laisse très peu de résidus comme paillis.</w:t>
      </w:r>
      <w:r w:rsidR="00F75276" w:rsidRPr="00C5457C">
        <w:rPr>
          <w:rFonts w:ascii="Times New Roman" w:hAnsi="Times New Roman" w:cs="Times New Roman"/>
          <w:sz w:val="24"/>
          <w:szCs w:val="24"/>
        </w:rPr>
        <w:t xml:space="preserve"> </w:t>
      </w:r>
    </w:p>
    <w:p w14:paraId="6141C7BA" w14:textId="3809F46D" w:rsidR="009F0CA7" w:rsidRPr="00C5457C" w:rsidRDefault="009F0CA7"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En outre, </w:t>
      </w:r>
      <w:r w:rsidR="002655B0"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{"citationItems":[{"id":"ITEM-1","itemData":{"DOI":"10.1016/j.fcr.2012.02.022","ISSN":"03784290","abstract":"Conservation Agriculture (CA) is being advocated to enhance soil health and sustain long term crop productivity in the developing world. One of CA's key principles is the maintenance of soil cover often by retaining a proportion of crop residues on the field as mulch. Yet smallholder crop-livestock systems across Africa and Asia face trade-offs among various options for crop residue use. Knowledge of the potential trade-offs of leaving more residues as mulch is only partial and the objective of this research is to address some of these knowledge gaps by assessing the trade-offs in contrasting settings with mixed crop-livestock systems. The paper draws from village surveys in 12 sites in 9 different countries across Sub-Sahara Africa and South Asia. Sites were clustered into 3 groups along the combined population and livestock density gradients to assess current crop residue management practices and explore potential challenges to adopting mulching practices in different circumstances. Results show that although high-density sites face higher potential pressure on resources on an area basis, biomass production tends to be more substantial in these sites covering demands for livestock feed and allowing part of the residues to be used as mulch. In medium-density sites, although population and livestock densities are relatively lower, biomass is scarce and pressure on land and feed are high, increasing the pressure on crop residues and their opportunity cost as mulch. In low-density areas, population and livestock densities are relatively low and communal feed and fuel resources exist, resulting in lower potential pressure on residues on an area basis. Yet, biomass production is low and farmers largely rely on crop residues to feed livestock during the long dry season, implying substantial opportunity costs to their use as mulch. Despite its potential benefit for smallholder farmers across the density gradient, the introduction of CA-based mulching practices appears potentially easier in sites where biomass production is high enough to fulfil existing demands for feed and fuel. In sites with relatively high feed and fuel pressure, the eventual introduction of CA needs complementary research and development efforts to increase biomass production and/or develop alternative sources to alleviate the opportunity costs of leaving some crop residues as mulch. © 2012 Elsevier B.V.","author":[{"dropping-particle":"","family":"Valbuena","given":"Diego","non-dropping-particle":"","parse-names":false,"suffix":""},{"dropping-particle":"","family":"Erenstein","given":"Olaf","non-dropping-particle":"","parse-names":false,"suffix":""},{"dropping-particle":"","family":"Homann-Kee Tui","given":"Sabine","non-dropping-particle":"","parse-names":false,"suffix":""},{"dropping-particle":"","family":"Abdoulaye","given":"Tahirou","non-dropping-particle":"","parse-names":false,"suffix":""},{"dropping-particle":"","family":"Claessens","given":"Lieven","non-dropping-particle":"","parse-names":false,"suffix":""},{"dropping-particle":"","family":"Duncan","given":"Alan J.","non-dropping-particle":"","parse-names":false,"suffix":""},{"dropping-particle":"","family":"Gérard","given":"Bruno","non-dropping-particle":"","parse-names":false,"suffix":""},{"dropping-particle":"","family":"Rufino","given":"Mariana C.","non-dropping-particle":"","parse-names":false,"suffix":""},{"dropping-particle":"","family":"Teufel","given":"Nils","non-dropping-particle":"","parse-names":false,"suffix":""},{"dropping-particle":"","family":"Rooyen","given":"André","non-dropping-particle":"van","parse-names":false,"suffix":""},{"dropping-particle":"","family":"Wijk","given":"Mark T.","non-dropping-particle":"van","parse-names":false,"suffix":""}],"container-title":"Field Crops Research","id":"ITEM-1","issued":{"date-parts":[["2012"]]},"page":"175-184","publisher":"Elsevier B.V.","title":"Conservation Agriculture in mixed crop-livestock systems: Scoping crop residue trade-offs in Sub-Saharan Africa and South Asia","type":"article-journal","volume":"132"},"uris":["http://www.mendeley.com/documents/?uuid=e7580348-5088-4b9c-a2f6-d491b681edcd"]}],"mendeley":{"formattedCitation":"(Valbuena et al., 2012)","manualFormatting":"Valbuena et al., (2012)","plainTextFormattedCitation":"(Valbuena et al., 2012)","previouslyFormattedCitation":"(Valbuena et al. 2012)"},"properties":{"noteIndex":0},"schema":"https://github.com/citation-style-language/schema/raw/master/csl-citation.json"}</w:instrText>
      </w:r>
      <w:r w:rsidR="002655B0" w:rsidRPr="00C5457C">
        <w:rPr>
          <w:rFonts w:ascii="Times New Roman" w:hAnsi="Times New Roman" w:cs="Times New Roman"/>
          <w:sz w:val="24"/>
          <w:szCs w:val="24"/>
        </w:rPr>
        <w:fldChar w:fldCharType="separate"/>
      </w:r>
      <w:r w:rsidR="002655B0" w:rsidRPr="00C5457C">
        <w:rPr>
          <w:rFonts w:ascii="Times New Roman" w:hAnsi="Times New Roman" w:cs="Times New Roman"/>
          <w:noProof/>
          <w:sz w:val="24"/>
          <w:szCs w:val="24"/>
        </w:rPr>
        <w:t>Valbuena et al., (2012)</w:t>
      </w:r>
      <w:r w:rsidR="002655B0" w:rsidRPr="00C5457C">
        <w:rPr>
          <w:rFonts w:ascii="Times New Roman" w:hAnsi="Times New Roman" w:cs="Times New Roman"/>
          <w:sz w:val="24"/>
          <w:szCs w:val="24"/>
        </w:rPr>
        <w:fldChar w:fldCharType="end"/>
      </w:r>
      <w:r w:rsidR="00133079" w:rsidRPr="00C5457C">
        <w:rPr>
          <w:rFonts w:ascii="Times New Roman" w:hAnsi="Times New Roman" w:cs="Times New Roman"/>
          <w:sz w:val="24"/>
          <w:szCs w:val="24"/>
        </w:rPr>
        <w:t xml:space="preserve"> </w:t>
      </w:r>
      <w:r w:rsidR="002655B0" w:rsidRPr="00C5457C">
        <w:rPr>
          <w:rFonts w:ascii="Times New Roman" w:hAnsi="Times New Roman" w:cs="Times New Roman"/>
          <w:sz w:val="24"/>
          <w:szCs w:val="24"/>
        </w:rPr>
        <w:t>ont constaté qu’une grande quantité de résidus de céréales sont utilisés en Afrique de l’ouest comme combustible dans les ménages. D</w:t>
      </w:r>
      <w:r w:rsidRPr="00C5457C">
        <w:rPr>
          <w:rFonts w:ascii="Times New Roman" w:hAnsi="Times New Roman" w:cs="Times New Roman"/>
          <w:sz w:val="24"/>
          <w:szCs w:val="24"/>
        </w:rPr>
        <w:t xml:space="preserve">'après </w:t>
      </w:r>
      <w:r w:rsidRPr="00C5457C">
        <w:rPr>
          <w:rFonts w:ascii="Times New Roman" w:hAnsi="Times New Roman" w:cs="Times New Roman"/>
          <w:sz w:val="24"/>
          <w:szCs w:val="24"/>
        </w:rPr>
        <w:fldChar w:fldCharType="begin" w:fldLock="1"/>
      </w:r>
      <w:r w:rsidR="009E6C60" w:rsidRPr="00C5457C">
        <w:rPr>
          <w:rFonts w:ascii="Times New Roman" w:hAnsi="Times New Roman" w:cs="Times New Roman"/>
          <w:sz w:val="24"/>
          <w:szCs w:val="24"/>
        </w:rPr>
        <w:instrText>ADDIN CSL_CITATION {"citationItems":[{"id":"ITEM-1","itemData":{"ISBN":"9781784318208","author":[{"dropping-particle":"","family":"Zongo","given":"W C Alex-fabrice","non-dropping-particle":"","parse-names":false,"suffix":""},{"dropping-particle":"","family":"Allen","given":"Mary","non-dropping-particle":"","parse-names":false,"suffix":""},{"dropping-particle":"","family":"Batchéné","given":"Hié","non-dropping-particle":"","parse-names":false,"suffix":""},{"dropping-particle":"","family":"Bourgou","given":"Tsuamba","non-dropping-particle":"","parse-names":false,"suffix":""},{"dropping-particle":"","family":"Sigué","given":"Hamadé","non-dropping-particle":"","parse-names":false,"suffix":""}],"id":"ITEM-1","issued":{"date-parts":[["2020"]]},"number-of-pages":"60","publisher-place":"Burkina Faso","title":"Compromis dans l ’ intensification durable de l ’ agriculture : Études de cas dans deux villages du Burkina Faso","type":"report"},"uris":["http://www.mendeley.com/documents/?uuid=70127ab1-d04c-4386-a43a-88b89795903a"]}],"mendeley":{"formattedCitation":"(Zongo et al., 2020)","manualFormatting":"Zongo et al., (2020)","plainTextFormattedCitation":"(Zongo et al., 2020)","previouslyFormattedCitation":"(Zongo et al. 2020)"},"properties":{"noteIndex":0},"schema":"https://github.com/citation-style-language/schema/raw/master/csl-citation.json"}</w:instrText>
      </w:r>
      <w:r w:rsidRPr="00C5457C">
        <w:rPr>
          <w:rFonts w:ascii="Times New Roman" w:hAnsi="Times New Roman" w:cs="Times New Roman"/>
          <w:sz w:val="24"/>
          <w:szCs w:val="24"/>
        </w:rPr>
        <w:fldChar w:fldCharType="separate"/>
      </w:r>
      <w:r w:rsidRPr="00C5457C">
        <w:rPr>
          <w:rFonts w:ascii="Times New Roman" w:hAnsi="Times New Roman" w:cs="Times New Roman"/>
          <w:noProof/>
          <w:sz w:val="24"/>
          <w:szCs w:val="24"/>
        </w:rPr>
        <w:t>Zongo et al., (2020)</w:t>
      </w:r>
      <w:r w:rsidRPr="00C5457C">
        <w:rPr>
          <w:rFonts w:ascii="Times New Roman" w:hAnsi="Times New Roman" w:cs="Times New Roman"/>
          <w:sz w:val="24"/>
          <w:szCs w:val="24"/>
        </w:rPr>
        <w:fldChar w:fldCharType="end"/>
      </w:r>
      <w:r w:rsidRPr="00C5457C">
        <w:rPr>
          <w:rFonts w:ascii="Times New Roman" w:hAnsi="Times New Roman" w:cs="Times New Roman"/>
          <w:sz w:val="24"/>
          <w:szCs w:val="24"/>
        </w:rPr>
        <w:t xml:space="preserve">, le bois et les tiges des céréales représentent les principales sources d'énergie pour la </w:t>
      </w:r>
      <w:r w:rsidRPr="00C5457C">
        <w:rPr>
          <w:rFonts w:ascii="Times New Roman" w:hAnsi="Times New Roman" w:cs="Times New Roman"/>
          <w:sz w:val="24"/>
          <w:szCs w:val="24"/>
        </w:rPr>
        <w:lastRenderedPageBreak/>
        <w:t>cuisine en milieu rural au Burkina Faso.</w:t>
      </w:r>
      <w:r w:rsidR="002655B0" w:rsidRPr="00C5457C">
        <w:rPr>
          <w:rFonts w:ascii="Times New Roman" w:hAnsi="Times New Roman" w:cs="Times New Roman"/>
          <w:sz w:val="24"/>
          <w:szCs w:val="24"/>
        </w:rPr>
        <w:t xml:space="preserve"> L’</w:t>
      </w:r>
      <w:r w:rsidRPr="00C5457C">
        <w:rPr>
          <w:rFonts w:ascii="Times New Roman" w:hAnsi="Times New Roman" w:cs="Times New Roman"/>
          <w:sz w:val="24"/>
          <w:szCs w:val="24"/>
        </w:rPr>
        <w:t xml:space="preserve">études de cas, </w:t>
      </w:r>
      <w:r w:rsidR="002655B0" w:rsidRPr="00C5457C">
        <w:rPr>
          <w:rFonts w:ascii="Times New Roman" w:hAnsi="Times New Roman" w:cs="Times New Roman"/>
          <w:sz w:val="24"/>
          <w:szCs w:val="24"/>
        </w:rPr>
        <w:t xml:space="preserve">a démontré que </w:t>
      </w:r>
      <w:r w:rsidRPr="00C5457C">
        <w:rPr>
          <w:rFonts w:ascii="Times New Roman" w:hAnsi="Times New Roman" w:cs="Times New Roman"/>
          <w:sz w:val="24"/>
          <w:szCs w:val="24"/>
        </w:rPr>
        <w:t xml:space="preserve">les femmes des foyers ramassent les tiges des céréales, en commençant par les champs de case puis les champs de brousse, pour les cuisines de petites marmites. </w:t>
      </w:r>
    </w:p>
    <w:p w14:paraId="66BC630C" w14:textId="28A49841" w:rsidR="00366769" w:rsidRPr="00C5457C" w:rsidRDefault="00366769" w:rsidP="00C5457C">
      <w:pPr>
        <w:pStyle w:val="Titre3"/>
        <w:spacing w:line="360" w:lineRule="auto"/>
        <w:jc w:val="both"/>
        <w:rPr>
          <w:rFonts w:ascii="Times New Roman" w:hAnsi="Times New Roman" w:cs="Times New Roman"/>
        </w:rPr>
      </w:pPr>
      <w:r w:rsidRPr="00C5457C">
        <w:rPr>
          <w:rFonts w:ascii="Times New Roman" w:hAnsi="Times New Roman" w:cs="Times New Roman"/>
        </w:rPr>
        <w:t>Compromis lié à l’apport des engrais (organiques et chimiques)</w:t>
      </w:r>
    </w:p>
    <w:p w14:paraId="44879CBC" w14:textId="77777777" w:rsidR="009F0CA7" w:rsidRPr="00C5457C" w:rsidRDefault="009F0CA7" w:rsidP="00C5457C">
      <w:pPr>
        <w:spacing w:line="360" w:lineRule="auto"/>
        <w:jc w:val="both"/>
        <w:rPr>
          <w:rFonts w:ascii="Times New Roman" w:hAnsi="Times New Roman" w:cs="Times New Roman"/>
          <w:sz w:val="24"/>
          <w:szCs w:val="24"/>
        </w:rPr>
      </w:pPr>
    </w:p>
    <w:p w14:paraId="5F45DFD3" w14:textId="3BAE9A71" w:rsidR="008F00C5" w:rsidRPr="00C5457C" w:rsidRDefault="00910C17" w:rsidP="00C5457C">
      <w:pPr>
        <w:spacing w:line="360" w:lineRule="auto"/>
        <w:jc w:val="both"/>
        <w:rPr>
          <w:rFonts w:ascii="Times New Roman" w:hAnsi="Times New Roman" w:cs="Times New Roman"/>
          <w:sz w:val="24"/>
          <w:szCs w:val="24"/>
        </w:rPr>
      </w:pPr>
      <w:r w:rsidRPr="00C5457C">
        <w:rPr>
          <w:rFonts w:ascii="Times New Roman" w:hAnsi="Times New Roman" w:cs="Times New Roman"/>
          <w:sz w:val="24"/>
          <w:szCs w:val="24"/>
        </w:rPr>
        <w:t xml:space="preserve"> </w:t>
      </w:r>
    </w:p>
    <w:p w14:paraId="29E43927" w14:textId="77777777" w:rsidR="00C815C7" w:rsidRPr="00C5457C" w:rsidRDefault="00C815C7" w:rsidP="00C5457C">
      <w:pPr>
        <w:spacing w:line="360" w:lineRule="auto"/>
        <w:jc w:val="both"/>
        <w:rPr>
          <w:rFonts w:ascii="Times New Roman" w:hAnsi="Times New Roman" w:cs="Times New Roman"/>
          <w:sz w:val="24"/>
          <w:szCs w:val="24"/>
        </w:rPr>
      </w:pPr>
    </w:p>
    <w:p w14:paraId="16C7F754" w14:textId="77777777" w:rsidR="007C6E79" w:rsidRPr="00C5457C" w:rsidRDefault="007C6E79" w:rsidP="00C5457C">
      <w:pPr>
        <w:spacing w:line="360" w:lineRule="auto"/>
        <w:jc w:val="both"/>
        <w:rPr>
          <w:rFonts w:ascii="Times New Roman" w:hAnsi="Times New Roman" w:cs="Times New Roman"/>
          <w:sz w:val="24"/>
          <w:szCs w:val="24"/>
        </w:rPr>
      </w:pPr>
    </w:p>
    <w:p w14:paraId="0E79E174" w14:textId="77777777" w:rsidR="00C815C7" w:rsidRPr="00C5457C" w:rsidRDefault="00C815C7" w:rsidP="00C5457C">
      <w:pPr>
        <w:spacing w:line="360" w:lineRule="auto"/>
        <w:jc w:val="both"/>
        <w:rPr>
          <w:rFonts w:ascii="Times New Roman" w:hAnsi="Times New Roman" w:cs="Times New Roman"/>
          <w:sz w:val="24"/>
          <w:szCs w:val="24"/>
        </w:rPr>
      </w:pPr>
    </w:p>
    <w:p w14:paraId="2343F17B" w14:textId="77777777" w:rsidR="00C815C7" w:rsidRPr="00C5457C" w:rsidRDefault="00C815C7" w:rsidP="00C5457C">
      <w:pPr>
        <w:spacing w:line="360" w:lineRule="auto"/>
        <w:jc w:val="both"/>
        <w:rPr>
          <w:rFonts w:ascii="Times New Roman" w:hAnsi="Times New Roman" w:cs="Times New Roman"/>
          <w:sz w:val="24"/>
          <w:szCs w:val="24"/>
        </w:rPr>
      </w:pPr>
    </w:p>
    <w:bookmarkEnd w:id="0"/>
    <w:p w14:paraId="0BC75EB3" w14:textId="2A731AAE" w:rsidR="0059704C" w:rsidRPr="00C5457C" w:rsidRDefault="0059704C" w:rsidP="00C5457C">
      <w:pPr>
        <w:spacing w:line="360" w:lineRule="auto"/>
        <w:jc w:val="both"/>
        <w:rPr>
          <w:rFonts w:ascii="Times New Roman" w:hAnsi="Times New Roman" w:cs="Times New Roman"/>
          <w:sz w:val="24"/>
          <w:szCs w:val="24"/>
        </w:rPr>
      </w:pPr>
    </w:p>
    <w:sectPr w:rsidR="0059704C" w:rsidRPr="00C5457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B1F52C" w14:textId="77777777" w:rsidR="00BF3915" w:rsidRDefault="00BF3915" w:rsidP="00B17802">
      <w:pPr>
        <w:spacing w:after="0" w:line="240" w:lineRule="auto"/>
      </w:pPr>
      <w:r>
        <w:separator/>
      </w:r>
    </w:p>
  </w:endnote>
  <w:endnote w:type="continuationSeparator" w:id="0">
    <w:p w14:paraId="7254D20B" w14:textId="77777777" w:rsidR="00BF3915" w:rsidRDefault="00BF3915" w:rsidP="00B17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9EB5B0" w14:textId="77777777" w:rsidR="00BF3915" w:rsidRDefault="00BF3915" w:rsidP="00B17802">
      <w:pPr>
        <w:spacing w:after="0" w:line="240" w:lineRule="auto"/>
      </w:pPr>
      <w:r>
        <w:separator/>
      </w:r>
    </w:p>
  </w:footnote>
  <w:footnote w:type="continuationSeparator" w:id="0">
    <w:p w14:paraId="3CAE6012" w14:textId="77777777" w:rsidR="00BF3915" w:rsidRDefault="00BF3915" w:rsidP="00B178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9337A0"/>
    <w:multiLevelType w:val="hybridMultilevel"/>
    <w:tmpl w:val="74E0254E"/>
    <w:lvl w:ilvl="0" w:tplc="C2E43C1C">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42E09C1"/>
    <w:multiLevelType w:val="hybridMultilevel"/>
    <w:tmpl w:val="C5F83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FB00255"/>
    <w:multiLevelType w:val="multilevel"/>
    <w:tmpl w:val="36A0FB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6244208">
    <w:abstractNumId w:val="2"/>
  </w:num>
  <w:num w:numId="2" w16cid:durableId="1185556698">
    <w:abstractNumId w:val="1"/>
  </w:num>
  <w:num w:numId="3" w16cid:durableId="1097139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215"/>
    <w:rsid w:val="00002D2A"/>
    <w:rsid w:val="000218EF"/>
    <w:rsid w:val="00035446"/>
    <w:rsid w:val="00035706"/>
    <w:rsid w:val="00036A8F"/>
    <w:rsid w:val="00037A49"/>
    <w:rsid w:val="0004065C"/>
    <w:rsid w:val="000524AE"/>
    <w:rsid w:val="0005625D"/>
    <w:rsid w:val="00057044"/>
    <w:rsid w:val="00057374"/>
    <w:rsid w:val="00060E1A"/>
    <w:rsid w:val="00066DB5"/>
    <w:rsid w:val="00080CB2"/>
    <w:rsid w:val="00097F24"/>
    <w:rsid w:val="000A2144"/>
    <w:rsid w:val="000A41A7"/>
    <w:rsid w:val="000A45AE"/>
    <w:rsid w:val="000A7DDE"/>
    <w:rsid w:val="000B235C"/>
    <w:rsid w:val="000B2D0D"/>
    <w:rsid w:val="000B3682"/>
    <w:rsid w:val="000B4051"/>
    <w:rsid w:val="000C01B7"/>
    <w:rsid w:val="000C4948"/>
    <w:rsid w:val="000D0EBD"/>
    <w:rsid w:val="000D5FEE"/>
    <w:rsid w:val="000F490F"/>
    <w:rsid w:val="000F4ECD"/>
    <w:rsid w:val="000F4FB9"/>
    <w:rsid w:val="00106B43"/>
    <w:rsid w:val="00112F76"/>
    <w:rsid w:val="001145B9"/>
    <w:rsid w:val="00114AC8"/>
    <w:rsid w:val="00120233"/>
    <w:rsid w:val="00133079"/>
    <w:rsid w:val="0014039A"/>
    <w:rsid w:val="00146F59"/>
    <w:rsid w:val="001477FA"/>
    <w:rsid w:val="00150D0F"/>
    <w:rsid w:val="00153710"/>
    <w:rsid w:val="00162AE1"/>
    <w:rsid w:val="00162E5C"/>
    <w:rsid w:val="00170472"/>
    <w:rsid w:val="001725E7"/>
    <w:rsid w:val="00175C68"/>
    <w:rsid w:val="00181E9D"/>
    <w:rsid w:val="00183035"/>
    <w:rsid w:val="001845A2"/>
    <w:rsid w:val="00185859"/>
    <w:rsid w:val="001904E1"/>
    <w:rsid w:val="001963FB"/>
    <w:rsid w:val="001A2BC3"/>
    <w:rsid w:val="001A3091"/>
    <w:rsid w:val="001A6C82"/>
    <w:rsid w:val="001C2462"/>
    <w:rsid w:val="001C2EEB"/>
    <w:rsid w:val="001C5EBD"/>
    <w:rsid w:val="001D0833"/>
    <w:rsid w:val="001D3C44"/>
    <w:rsid w:val="001E1E82"/>
    <w:rsid w:val="001F0041"/>
    <w:rsid w:val="001F54AF"/>
    <w:rsid w:val="001F65ED"/>
    <w:rsid w:val="001F73F8"/>
    <w:rsid w:val="002033B9"/>
    <w:rsid w:val="002033D2"/>
    <w:rsid w:val="00206C04"/>
    <w:rsid w:val="00212A21"/>
    <w:rsid w:val="00214A1F"/>
    <w:rsid w:val="00215527"/>
    <w:rsid w:val="00215D1E"/>
    <w:rsid w:val="00222352"/>
    <w:rsid w:val="002227F3"/>
    <w:rsid w:val="00224870"/>
    <w:rsid w:val="00227A26"/>
    <w:rsid w:val="00261728"/>
    <w:rsid w:val="002617C9"/>
    <w:rsid w:val="00262903"/>
    <w:rsid w:val="002655B0"/>
    <w:rsid w:val="00265896"/>
    <w:rsid w:val="00276D1E"/>
    <w:rsid w:val="002977A0"/>
    <w:rsid w:val="002A7861"/>
    <w:rsid w:val="002A7DC7"/>
    <w:rsid w:val="002C0815"/>
    <w:rsid w:val="002C6CBD"/>
    <w:rsid w:val="002D7A38"/>
    <w:rsid w:val="002E7514"/>
    <w:rsid w:val="002F0B79"/>
    <w:rsid w:val="002F1AC1"/>
    <w:rsid w:val="002F4CAF"/>
    <w:rsid w:val="00311018"/>
    <w:rsid w:val="003219DD"/>
    <w:rsid w:val="00335CD0"/>
    <w:rsid w:val="003437E0"/>
    <w:rsid w:val="00353F4C"/>
    <w:rsid w:val="00356862"/>
    <w:rsid w:val="00356E69"/>
    <w:rsid w:val="00357332"/>
    <w:rsid w:val="003628A0"/>
    <w:rsid w:val="00363306"/>
    <w:rsid w:val="00366769"/>
    <w:rsid w:val="00370D01"/>
    <w:rsid w:val="0037179E"/>
    <w:rsid w:val="00374187"/>
    <w:rsid w:val="00377695"/>
    <w:rsid w:val="00395A02"/>
    <w:rsid w:val="00395BED"/>
    <w:rsid w:val="003A2B0D"/>
    <w:rsid w:val="003B0E54"/>
    <w:rsid w:val="003B0FAB"/>
    <w:rsid w:val="003B388E"/>
    <w:rsid w:val="003B439C"/>
    <w:rsid w:val="003C28F6"/>
    <w:rsid w:val="003C3D65"/>
    <w:rsid w:val="003C5480"/>
    <w:rsid w:val="003D25E6"/>
    <w:rsid w:val="003D5C4E"/>
    <w:rsid w:val="003E0FDB"/>
    <w:rsid w:val="003F3ED0"/>
    <w:rsid w:val="00401D7B"/>
    <w:rsid w:val="004029A3"/>
    <w:rsid w:val="00406215"/>
    <w:rsid w:val="00415986"/>
    <w:rsid w:val="0041798D"/>
    <w:rsid w:val="00417C6D"/>
    <w:rsid w:val="00425C93"/>
    <w:rsid w:val="00434A86"/>
    <w:rsid w:val="00436043"/>
    <w:rsid w:val="0043716C"/>
    <w:rsid w:val="00440040"/>
    <w:rsid w:val="0044277E"/>
    <w:rsid w:val="004442FF"/>
    <w:rsid w:val="00447F2C"/>
    <w:rsid w:val="00447FDF"/>
    <w:rsid w:val="00457FAD"/>
    <w:rsid w:val="0046453A"/>
    <w:rsid w:val="00482574"/>
    <w:rsid w:val="0048459E"/>
    <w:rsid w:val="004A215B"/>
    <w:rsid w:val="004A47CC"/>
    <w:rsid w:val="004B5DEB"/>
    <w:rsid w:val="004C34B7"/>
    <w:rsid w:val="004C3AD1"/>
    <w:rsid w:val="004D1D9C"/>
    <w:rsid w:val="004D334A"/>
    <w:rsid w:val="004D3F04"/>
    <w:rsid w:val="004D5918"/>
    <w:rsid w:val="004D6B0A"/>
    <w:rsid w:val="004E39ED"/>
    <w:rsid w:val="004F4620"/>
    <w:rsid w:val="004F52C9"/>
    <w:rsid w:val="004F6E65"/>
    <w:rsid w:val="004F7C78"/>
    <w:rsid w:val="0050060F"/>
    <w:rsid w:val="00501AF6"/>
    <w:rsid w:val="00507B26"/>
    <w:rsid w:val="0051033A"/>
    <w:rsid w:val="00510CB4"/>
    <w:rsid w:val="00513D46"/>
    <w:rsid w:val="005212E5"/>
    <w:rsid w:val="00531AF8"/>
    <w:rsid w:val="00534FEE"/>
    <w:rsid w:val="00543172"/>
    <w:rsid w:val="00546B38"/>
    <w:rsid w:val="00551103"/>
    <w:rsid w:val="00552FC7"/>
    <w:rsid w:val="00556A93"/>
    <w:rsid w:val="005634E1"/>
    <w:rsid w:val="005636A9"/>
    <w:rsid w:val="00567F78"/>
    <w:rsid w:val="005719FB"/>
    <w:rsid w:val="00572DE3"/>
    <w:rsid w:val="0057316A"/>
    <w:rsid w:val="0058066B"/>
    <w:rsid w:val="00580F14"/>
    <w:rsid w:val="00584CFE"/>
    <w:rsid w:val="00596C21"/>
    <w:rsid w:val="0059704C"/>
    <w:rsid w:val="005A0D38"/>
    <w:rsid w:val="005A1D6F"/>
    <w:rsid w:val="005A44C9"/>
    <w:rsid w:val="005A7099"/>
    <w:rsid w:val="005B239C"/>
    <w:rsid w:val="005B55DB"/>
    <w:rsid w:val="005B6DE7"/>
    <w:rsid w:val="005D0759"/>
    <w:rsid w:val="005D3BAF"/>
    <w:rsid w:val="005E38E2"/>
    <w:rsid w:val="005F08EC"/>
    <w:rsid w:val="005F69E1"/>
    <w:rsid w:val="00601ED0"/>
    <w:rsid w:val="00613D90"/>
    <w:rsid w:val="006220FF"/>
    <w:rsid w:val="00624E48"/>
    <w:rsid w:val="006305A3"/>
    <w:rsid w:val="00632D00"/>
    <w:rsid w:val="00640040"/>
    <w:rsid w:val="006460FC"/>
    <w:rsid w:val="00646F08"/>
    <w:rsid w:val="00650A2E"/>
    <w:rsid w:val="00653D47"/>
    <w:rsid w:val="0065486E"/>
    <w:rsid w:val="006632B5"/>
    <w:rsid w:val="006758FC"/>
    <w:rsid w:val="00682250"/>
    <w:rsid w:val="00683C07"/>
    <w:rsid w:val="00687C35"/>
    <w:rsid w:val="00690123"/>
    <w:rsid w:val="006924CB"/>
    <w:rsid w:val="006A3D02"/>
    <w:rsid w:val="006A78FF"/>
    <w:rsid w:val="006B09E6"/>
    <w:rsid w:val="006B2E0B"/>
    <w:rsid w:val="006B49A6"/>
    <w:rsid w:val="006B793B"/>
    <w:rsid w:val="006D1CD9"/>
    <w:rsid w:val="006D4034"/>
    <w:rsid w:val="006E02AC"/>
    <w:rsid w:val="006F0A69"/>
    <w:rsid w:val="006F4A41"/>
    <w:rsid w:val="00700743"/>
    <w:rsid w:val="00704485"/>
    <w:rsid w:val="007116EE"/>
    <w:rsid w:val="0071742D"/>
    <w:rsid w:val="007203BF"/>
    <w:rsid w:val="00724764"/>
    <w:rsid w:val="0072612C"/>
    <w:rsid w:val="00726159"/>
    <w:rsid w:val="00742895"/>
    <w:rsid w:val="00744A05"/>
    <w:rsid w:val="0075292F"/>
    <w:rsid w:val="00755504"/>
    <w:rsid w:val="007608CE"/>
    <w:rsid w:val="00761C51"/>
    <w:rsid w:val="00765B1F"/>
    <w:rsid w:val="00766099"/>
    <w:rsid w:val="00771462"/>
    <w:rsid w:val="00780847"/>
    <w:rsid w:val="00785269"/>
    <w:rsid w:val="00786F60"/>
    <w:rsid w:val="0078777F"/>
    <w:rsid w:val="00787EC0"/>
    <w:rsid w:val="00796ECF"/>
    <w:rsid w:val="007A4A14"/>
    <w:rsid w:val="007A612B"/>
    <w:rsid w:val="007B1D27"/>
    <w:rsid w:val="007B2EE5"/>
    <w:rsid w:val="007B5756"/>
    <w:rsid w:val="007C056F"/>
    <w:rsid w:val="007C6E79"/>
    <w:rsid w:val="007D1398"/>
    <w:rsid w:val="007E3F8D"/>
    <w:rsid w:val="007E7D3A"/>
    <w:rsid w:val="007F38C1"/>
    <w:rsid w:val="00812498"/>
    <w:rsid w:val="00835587"/>
    <w:rsid w:val="00851F5A"/>
    <w:rsid w:val="00853E5A"/>
    <w:rsid w:val="00855E9D"/>
    <w:rsid w:val="00860765"/>
    <w:rsid w:val="00874EDF"/>
    <w:rsid w:val="00882F59"/>
    <w:rsid w:val="00887259"/>
    <w:rsid w:val="0089216C"/>
    <w:rsid w:val="00895E58"/>
    <w:rsid w:val="008A1229"/>
    <w:rsid w:val="008A3EC5"/>
    <w:rsid w:val="008A5C6D"/>
    <w:rsid w:val="008A63EC"/>
    <w:rsid w:val="008B79B1"/>
    <w:rsid w:val="008C422F"/>
    <w:rsid w:val="008D0A9A"/>
    <w:rsid w:val="008D3459"/>
    <w:rsid w:val="008D57BA"/>
    <w:rsid w:val="008D7435"/>
    <w:rsid w:val="008F00C5"/>
    <w:rsid w:val="008F2213"/>
    <w:rsid w:val="008F4BD2"/>
    <w:rsid w:val="0090012D"/>
    <w:rsid w:val="00910C17"/>
    <w:rsid w:val="009228D6"/>
    <w:rsid w:val="00922C84"/>
    <w:rsid w:val="00934C24"/>
    <w:rsid w:val="009434E9"/>
    <w:rsid w:val="00944036"/>
    <w:rsid w:val="009452EB"/>
    <w:rsid w:val="00955106"/>
    <w:rsid w:val="0096080E"/>
    <w:rsid w:val="009657C7"/>
    <w:rsid w:val="009677D3"/>
    <w:rsid w:val="00977FD7"/>
    <w:rsid w:val="00980592"/>
    <w:rsid w:val="0098498C"/>
    <w:rsid w:val="00990642"/>
    <w:rsid w:val="00995BA8"/>
    <w:rsid w:val="00997744"/>
    <w:rsid w:val="00997975"/>
    <w:rsid w:val="009A0DA4"/>
    <w:rsid w:val="009A3072"/>
    <w:rsid w:val="009B49ED"/>
    <w:rsid w:val="009B7BB4"/>
    <w:rsid w:val="009C669E"/>
    <w:rsid w:val="009D381A"/>
    <w:rsid w:val="009E12A9"/>
    <w:rsid w:val="009E4144"/>
    <w:rsid w:val="009E5F65"/>
    <w:rsid w:val="009E6C60"/>
    <w:rsid w:val="009F01B2"/>
    <w:rsid w:val="009F0CA7"/>
    <w:rsid w:val="009F66E1"/>
    <w:rsid w:val="00A044A9"/>
    <w:rsid w:val="00A052B3"/>
    <w:rsid w:val="00A0691A"/>
    <w:rsid w:val="00A1033E"/>
    <w:rsid w:val="00A117F7"/>
    <w:rsid w:val="00A1715D"/>
    <w:rsid w:val="00A2109C"/>
    <w:rsid w:val="00A23B94"/>
    <w:rsid w:val="00A24ED2"/>
    <w:rsid w:val="00A309EF"/>
    <w:rsid w:val="00A34CA7"/>
    <w:rsid w:val="00A36E2B"/>
    <w:rsid w:val="00A40711"/>
    <w:rsid w:val="00A44283"/>
    <w:rsid w:val="00A551A1"/>
    <w:rsid w:val="00A55D9D"/>
    <w:rsid w:val="00A57590"/>
    <w:rsid w:val="00A6358F"/>
    <w:rsid w:val="00A64920"/>
    <w:rsid w:val="00A64F92"/>
    <w:rsid w:val="00A6573F"/>
    <w:rsid w:val="00A7019C"/>
    <w:rsid w:val="00A7279E"/>
    <w:rsid w:val="00A8094D"/>
    <w:rsid w:val="00A811F7"/>
    <w:rsid w:val="00A879B5"/>
    <w:rsid w:val="00A95908"/>
    <w:rsid w:val="00A97082"/>
    <w:rsid w:val="00AA00CB"/>
    <w:rsid w:val="00AA2B99"/>
    <w:rsid w:val="00AB1D92"/>
    <w:rsid w:val="00AB2FFF"/>
    <w:rsid w:val="00AC68C2"/>
    <w:rsid w:val="00AC74E9"/>
    <w:rsid w:val="00AF7ED9"/>
    <w:rsid w:val="00B03152"/>
    <w:rsid w:val="00B04A73"/>
    <w:rsid w:val="00B1458D"/>
    <w:rsid w:val="00B14E62"/>
    <w:rsid w:val="00B17802"/>
    <w:rsid w:val="00B27BB6"/>
    <w:rsid w:val="00B34BCF"/>
    <w:rsid w:val="00B40A93"/>
    <w:rsid w:val="00B45FC1"/>
    <w:rsid w:val="00B47714"/>
    <w:rsid w:val="00B52191"/>
    <w:rsid w:val="00B61FD1"/>
    <w:rsid w:val="00B62E56"/>
    <w:rsid w:val="00B64EE4"/>
    <w:rsid w:val="00B6747C"/>
    <w:rsid w:val="00B73B34"/>
    <w:rsid w:val="00B819F6"/>
    <w:rsid w:val="00B8655C"/>
    <w:rsid w:val="00B92D26"/>
    <w:rsid w:val="00BA407D"/>
    <w:rsid w:val="00BD0E20"/>
    <w:rsid w:val="00BE0C1B"/>
    <w:rsid w:val="00BE0C8F"/>
    <w:rsid w:val="00BE110E"/>
    <w:rsid w:val="00BE2128"/>
    <w:rsid w:val="00BE6547"/>
    <w:rsid w:val="00BF1B01"/>
    <w:rsid w:val="00BF3915"/>
    <w:rsid w:val="00BF3E38"/>
    <w:rsid w:val="00BF4FFB"/>
    <w:rsid w:val="00BF703E"/>
    <w:rsid w:val="00C0083D"/>
    <w:rsid w:val="00C06591"/>
    <w:rsid w:val="00C071A8"/>
    <w:rsid w:val="00C07FE9"/>
    <w:rsid w:val="00C131A2"/>
    <w:rsid w:val="00C16FE1"/>
    <w:rsid w:val="00C24D79"/>
    <w:rsid w:val="00C276F6"/>
    <w:rsid w:val="00C33B9E"/>
    <w:rsid w:val="00C3494B"/>
    <w:rsid w:val="00C3647F"/>
    <w:rsid w:val="00C40134"/>
    <w:rsid w:val="00C4545E"/>
    <w:rsid w:val="00C46284"/>
    <w:rsid w:val="00C47DA2"/>
    <w:rsid w:val="00C5457C"/>
    <w:rsid w:val="00C55DCF"/>
    <w:rsid w:val="00C609E3"/>
    <w:rsid w:val="00C624A2"/>
    <w:rsid w:val="00C6767A"/>
    <w:rsid w:val="00C70E90"/>
    <w:rsid w:val="00C7168F"/>
    <w:rsid w:val="00C74276"/>
    <w:rsid w:val="00C815C7"/>
    <w:rsid w:val="00C83830"/>
    <w:rsid w:val="00C85277"/>
    <w:rsid w:val="00C95B42"/>
    <w:rsid w:val="00C975BC"/>
    <w:rsid w:val="00CA389C"/>
    <w:rsid w:val="00CA5B1C"/>
    <w:rsid w:val="00CA6BC9"/>
    <w:rsid w:val="00CB2F27"/>
    <w:rsid w:val="00CC0AE6"/>
    <w:rsid w:val="00CC15DF"/>
    <w:rsid w:val="00CC2DDA"/>
    <w:rsid w:val="00CD091B"/>
    <w:rsid w:val="00CE0834"/>
    <w:rsid w:val="00CE7323"/>
    <w:rsid w:val="00CF0A40"/>
    <w:rsid w:val="00CF0E55"/>
    <w:rsid w:val="00CF22BA"/>
    <w:rsid w:val="00CF386F"/>
    <w:rsid w:val="00CF5732"/>
    <w:rsid w:val="00D03406"/>
    <w:rsid w:val="00D04283"/>
    <w:rsid w:val="00D04AAC"/>
    <w:rsid w:val="00D10A69"/>
    <w:rsid w:val="00D10F37"/>
    <w:rsid w:val="00D22F50"/>
    <w:rsid w:val="00D2667D"/>
    <w:rsid w:val="00D459A8"/>
    <w:rsid w:val="00D460CF"/>
    <w:rsid w:val="00D4765E"/>
    <w:rsid w:val="00D51AC6"/>
    <w:rsid w:val="00D55D87"/>
    <w:rsid w:val="00D61F4C"/>
    <w:rsid w:val="00D72130"/>
    <w:rsid w:val="00D7734E"/>
    <w:rsid w:val="00D81254"/>
    <w:rsid w:val="00D82E11"/>
    <w:rsid w:val="00D843BD"/>
    <w:rsid w:val="00D8753E"/>
    <w:rsid w:val="00D95DA4"/>
    <w:rsid w:val="00DC1805"/>
    <w:rsid w:val="00DC396B"/>
    <w:rsid w:val="00DC79BD"/>
    <w:rsid w:val="00DC7A3D"/>
    <w:rsid w:val="00DD07B7"/>
    <w:rsid w:val="00DD399D"/>
    <w:rsid w:val="00DD45F1"/>
    <w:rsid w:val="00DD59C4"/>
    <w:rsid w:val="00DD6E14"/>
    <w:rsid w:val="00DE2A06"/>
    <w:rsid w:val="00DF03EA"/>
    <w:rsid w:val="00DF2C2C"/>
    <w:rsid w:val="00DF6877"/>
    <w:rsid w:val="00E0663C"/>
    <w:rsid w:val="00E160C0"/>
    <w:rsid w:val="00E1640D"/>
    <w:rsid w:val="00E23577"/>
    <w:rsid w:val="00E26DF4"/>
    <w:rsid w:val="00E30C54"/>
    <w:rsid w:val="00E31025"/>
    <w:rsid w:val="00E32609"/>
    <w:rsid w:val="00E413EF"/>
    <w:rsid w:val="00E6147F"/>
    <w:rsid w:val="00E61CE7"/>
    <w:rsid w:val="00E75834"/>
    <w:rsid w:val="00E7680A"/>
    <w:rsid w:val="00E903B1"/>
    <w:rsid w:val="00E97B1D"/>
    <w:rsid w:val="00EA43B3"/>
    <w:rsid w:val="00EB1ED4"/>
    <w:rsid w:val="00EB426E"/>
    <w:rsid w:val="00EB7207"/>
    <w:rsid w:val="00EB77A0"/>
    <w:rsid w:val="00EC0F87"/>
    <w:rsid w:val="00EC7AE9"/>
    <w:rsid w:val="00ED1BAF"/>
    <w:rsid w:val="00ED2FB7"/>
    <w:rsid w:val="00ED68EA"/>
    <w:rsid w:val="00EE5590"/>
    <w:rsid w:val="00EF0622"/>
    <w:rsid w:val="00EF74AC"/>
    <w:rsid w:val="00EF7E0A"/>
    <w:rsid w:val="00F00793"/>
    <w:rsid w:val="00F01D93"/>
    <w:rsid w:val="00F06292"/>
    <w:rsid w:val="00F1041F"/>
    <w:rsid w:val="00F11B3A"/>
    <w:rsid w:val="00F204D4"/>
    <w:rsid w:val="00F225C1"/>
    <w:rsid w:val="00F31E75"/>
    <w:rsid w:val="00F372A1"/>
    <w:rsid w:val="00F37584"/>
    <w:rsid w:val="00F56AF5"/>
    <w:rsid w:val="00F5733D"/>
    <w:rsid w:val="00F579CF"/>
    <w:rsid w:val="00F75276"/>
    <w:rsid w:val="00F758EF"/>
    <w:rsid w:val="00F76FEC"/>
    <w:rsid w:val="00F83A2F"/>
    <w:rsid w:val="00F96F60"/>
    <w:rsid w:val="00FA665B"/>
    <w:rsid w:val="00FC7BC4"/>
    <w:rsid w:val="00FD1231"/>
    <w:rsid w:val="00FD1D7C"/>
    <w:rsid w:val="00FD4BB2"/>
    <w:rsid w:val="00FD60E3"/>
    <w:rsid w:val="00FE7A88"/>
    <w:rsid w:val="00FF0815"/>
    <w:rsid w:val="00FF41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8DFD3"/>
  <w15:chartTrackingRefBased/>
  <w15:docId w15:val="{8A7D6C77-B0E0-4FD0-8C3B-898BBA8DE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838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A117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3D25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89216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3667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06215"/>
    <w:pPr>
      <w:ind w:left="720"/>
      <w:contextualSpacing/>
    </w:pPr>
  </w:style>
  <w:style w:type="character" w:customStyle="1" w:styleId="fontstyle01">
    <w:name w:val="fontstyle01"/>
    <w:basedOn w:val="Policepardfaut"/>
    <w:rsid w:val="00D460CF"/>
    <w:rPr>
      <w:rFonts w:ascii="TimesNewRomanPSMT" w:hAnsi="TimesNewRomanPSMT" w:hint="default"/>
      <w:b w:val="0"/>
      <w:bCs w:val="0"/>
      <w:i w:val="0"/>
      <w:iCs w:val="0"/>
      <w:color w:val="000000"/>
      <w:sz w:val="24"/>
      <w:szCs w:val="24"/>
    </w:rPr>
  </w:style>
  <w:style w:type="character" w:styleId="Accentuation">
    <w:name w:val="Emphasis"/>
    <w:basedOn w:val="Policepardfaut"/>
    <w:uiPriority w:val="20"/>
    <w:qFormat/>
    <w:rsid w:val="00F37584"/>
    <w:rPr>
      <w:i/>
      <w:iCs/>
    </w:rPr>
  </w:style>
  <w:style w:type="character" w:customStyle="1" w:styleId="Titre1Car">
    <w:name w:val="Titre 1 Car"/>
    <w:basedOn w:val="Policepardfaut"/>
    <w:link w:val="Titre1"/>
    <w:uiPriority w:val="9"/>
    <w:rsid w:val="00C83830"/>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A117F7"/>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3D25E6"/>
    <w:rPr>
      <w:rFonts w:asciiTheme="majorHAnsi" w:eastAsiaTheme="majorEastAsia" w:hAnsiTheme="majorHAnsi" w:cstheme="majorBidi"/>
      <w:color w:val="1F3763" w:themeColor="accent1" w:themeShade="7F"/>
      <w:sz w:val="24"/>
      <w:szCs w:val="24"/>
    </w:rPr>
  </w:style>
  <w:style w:type="table" w:styleId="Grilledutableau">
    <w:name w:val="Table Grid"/>
    <w:basedOn w:val="TableauNormal"/>
    <w:uiPriority w:val="39"/>
    <w:rsid w:val="003D25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B17802"/>
    <w:pPr>
      <w:tabs>
        <w:tab w:val="center" w:pos="4536"/>
        <w:tab w:val="right" w:pos="9072"/>
      </w:tabs>
      <w:spacing w:after="0" w:line="240" w:lineRule="auto"/>
    </w:pPr>
  </w:style>
  <w:style w:type="character" w:customStyle="1" w:styleId="En-tteCar">
    <w:name w:val="En-tête Car"/>
    <w:basedOn w:val="Policepardfaut"/>
    <w:link w:val="En-tte"/>
    <w:uiPriority w:val="99"/>
    <w:rsid w:val="00B17802"/>
  </w:style>
  <w:style w:type="paragraph" w:styleId="Pieddepage">
    <w:name w:val="footer"/>
    <w:basedOn w:val="Normal"/>
    <w:link w:val="PieddepageCar"/>
    <w:uiPriority w:val="99"/>
    <w:unhideWhenUsed/>
    <w:rsid w:val="00B178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17802"/>
  </w:style>
  <w:style w:type="character" w:customStyle="1" w:styleId="Titre4Car">
    <w:name w:val="Titre 4 Car"/>
    <w:basedOn w:val="Policepardfaut"/>
    <w:link w:val="Titre4"/>
    <w:uiPriority w:val="9"/>
    <w:rsid w:val="0089216C"/>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36676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118970">
      <w:bodyDiv w:val="1"/>
      <w:marLeft w:val="0"/>
      <w:marRight w:val="0"/>
      <w:marTop w:val="0"/>
      <w:marBottom w:val="0"/>
      <w:divBdr>
        <w:top w:val="none" w:sz="0" w:space="0" w:color="auto"/>
        <w:left w:val="none" w:sz="0" w:space="0" w:color="auto"/>
        <w:bottom w:val="none" w:sz="0" w:space="0" w:color="auto"/>
        <w:right w:val="none" w:sz="0" w:space="0" w:color="auto"/>
      </w:divBdr>
    </w:div>
    <w:div w:id="68428891">
      <w:bodyDiv w:val="1"/>
      <w:marLeft w:val="0"/>
      <w:marRight w:val="0"/>
      <w:marTop w:val="0"/>
      <w:marBottom w:val="0"/>
      <w:divBdr>
        <w:top w:val="none" w:sz="0" w:space="0" w:color="auto"/>
        <w:left w:val="none" w:sz="0" w:space="0" w:color="auto"/>
        <w:bottom w:val="none" w:sz="0" w:space="0" w:color="auto"/>
        <w:right w:val="none" w:sz="0" w:space="0" w:color="auto"/>
      </w:divBdr>
    </w:div>
    <w:div w:id="116142890">
      <w:bodyDiv w:val="1"/>
      <w:marLeft w:val="0"/>
      <w:marRight w:val="0"/>
      <w:marTop w:val="0"/>
      <w:marBottom w:val="0"/>
      <w:divBdr>
        <w:top w:val="none" w:sz="0" w:space="0" w:color="auto"/>
        <w:left w:val="none" w:sz="0" w:space="0" w:color="auto"/>
        <w:bottom w:val="none" w:sz="0" w:space="0" w:color="auto"/>
        <w:right w:val="none" w:sz="0" w:space="0" w:color="auto"/>
      </w:divBdr>
    </w:div>
    <w:div w:id="146020959">
      <w:bodyDiv w:val="1"/>
      <w:marLeft w:val="0"/>
      <w:marRight w:val="0"/>
      <w:marTop w:val="0"/>
      <w:marBottom w:val="0"/>
      <w:divBdr>
        <w:top w:val="none" w:sz="0" w:space="0" w:color="auto"/>
        <w:left w:val="none" w:sz="0" w:space="0" w:color="auto"/>
        <w:bottom w:val="none" w:sz="0" w:space="0" w:color="auto"/>
        <w:right w:val="none" w:sz="0" w:space="0" w:color="auto"/>
      </w:divBdr>
    </w:div>
    <w:div w:id="171651156">
      <w:bodyDiv w:val="1"/>
      <w:marLeft w:val="0"/>
      <w:marRight w:val="0"/>
      <w:marTop w:val="0"/>
      <w:marBottom w:val="0"/>
      <w:divBdr>
        <w:top w:val="none" w:sz="0" w:space="0" w:color="auto"/>
        <w:left w:val="none" w:sz="0" w:space="0" w:color="auto"/>
        <w:bottom w:val="none" w:sz="0" w:space="0" w:color="auto"/>
        <w:right w:val="none" w:sz="0" w:space="0" w:color="auto"/>
      </w:divBdr>
    </w:div>
    <w:div w:id="202333316">
      <w:bodyDiv w:val="1"/>
      <w:marLeft w:val="0"/>
      <w:marRight w:val="0"/>
      <w:marTop w:val="0"/>
      <w:marBottom w:val="0"/>
      <w:divBdr>
        <w:top w:val="none" w:sz="0" w:space="0" w:color="auto"/>
        <w:left w:val="none" w:sz="0" w:space="0" w:color="auto"/>
        <w:bottom w:val="none" w:sz="0" w:space="0" w:color="auto"/>
        <w:right w:val="none" w:sz="0" w:space="0" w:color="auto"/>
      </w:divBdr>
    </w:div>
    <w:div w:id="275254144">
      <w:bodyDiv w:val="1"/>
      <w:marLeft w:val="0"/>
      <w:marRight w:val="0"/>
      <w:marTop w:val="0"/>
      <w:marBottom w:val="0"/>
      <w:divBdr>
        <w:top w:val="none" w:sz="0" w:space="0" w:color="auto"/>
        <w:left w:val="none" w:sz="0" w:space="0" w:color="auto"/>
        <w:bottom w:val="none" w:sz="0" w:space="0" w:color="auto"/>
        <w:right w:val="none" w:sz="0" w:space="0" w:color="auto"/>
      </w:divBdr>
      <w:divsChild>
        <w:div w:id="73623556">
          <w:marLeft w:val="0"/>
          <w:marRight w:val="0"/>
          <w:marTop w:val="0"/>
          <w:marBottom w:val="0"/>
          <w:divBdr>
            <w:top w:val="none" w:sz="0" w:space="0" w:color="auto"/>
            <w:left w:val="none" w:sz="0" w:space="0" w:color="auto"/>
            <w:bottom w:val="none" w:sz="0" w:space="0" w:color="auto"/>
            <w:right w:val="none" w:sz="0" w:space="0" w:color="auto"/>
          </w:divBdr>
        </w:div>
      </w:divsChild>
    </w:div>
    <w:div w:id="408774832">
      <w:bodyDiv w:val="1"/>
      <w:marLeft w:val="0"/>
      <w:marRight w:val="0"/>
      <w:marTop w:val="0"/>
      <w:marBottom w:val="0"/>
      <w:divBdr>
        <w:top w:val="none" w:sz="0" w:space="0" w:color="auto"/>
        <w:left w:val="none" w:sz="0" w:space="0" w:color="auto"/>
        <w:bottom w:val="none" w:sz="0" w:space="0" w:color="auto"/>
        <w:right w:val="none" w:sz="0" w:space="0" w:color="auto"/>
      </w:divBdr>
    </w:div>
    <w:div w:id="427426774">
      <w:bodyDiv w:val="1"/>
      <w:marLeft w:val="0"/>
      <w:marRight w:val="0"/>
      <w:marTop w:val="0"/>
      <w:marBottom w:val="0"/>
      <w:divBdr>
        <w:top w:val="none" w:sz="0" w:space="0" w:color="auto"/>
        <w:left w:val="none" w:sz="0" w:space="0" w:color="auto"/>
        <w:bottom w:val="none" w:sz="0" w:space="0" w:color="auto"/>
        <w:right w:val="none" w:sz="0" w:space="0" w:color="auto"/>
      </w:divBdr>
      <w:divsChild>
        <w:div w:id="1290475249">
          <w:marLeft w:val="0"/>
          <w:marRight w:val="0"/>
          <w:marTop w:val="0"/>
          <w:marBottom w:val="0"/>
          <w:divBdr>
            <w:top w:val="none" w:sz="0" w:space="0" w:color="auto"/>
            <w:left w:val="none" w:sz="0" w:space="0" w:color="auto"/>
            <w:bottom w:val="none" w:sz="0" w:space="0" w:color="auto"/>
            <w:right w:val="none" w:sz="0" w:space="0" w:color="auto"/>
          </w:divBdr>
        </w:div>
      </w:divsChild>
    </w:div>
    <w:div w:id="468977547">
      <w:bodyDiv w:val="1"/>
      <w:marLeft w:val="0"/>
      <w:marRight w:val="0"/>
      <w:marTop w:val="0"/>
      <w:marBottom w:val="0"/>
      <w:divBdr>
        <w:top w:val="none" w:sz="0" w:space="0" w:color="auto"/>
        <w:left w:val="none" w:sz="0" w:space="0" w:color="auto"/>
        <w:bottom w:val="none" w:sz="0" w:space="0" w:color="auto"/>
        <w:right w:val="none" w:sz="0" w:space="0" w:color="auto"/>
      </w:divBdr>
    </w:div>
    <w:div w:id="491680479">
      <w:bodyDiv w:val="1"/>
      <w:marLeft w:val="0"/>
      <w:marRight w:val="0"/>
      <w:marTop w:val="0"/>
      <w:marBottom w:val="0"/>
      <w:divBdr>
        <w:top w:val="none" w:sz="0" w:space="0" w:color="auto"/>
        <w:left w:val="none" w:sz="0" w:space="0" w:color="auto"/>
        <w:bottom w:val="none" w:sz="0" w:space="0" w:color="auto"/>
        <w:right w:val="none" w:sz="0" w:space="0" w:color="auto"/>
      </w:divBdr>
    </w:div>
    <w:div w:id="626816178">
      <w:bodyDiv w:val="1"/>
      <w:marLeft w:val="0"/>
      <w:marRight w:val="0"/>
      <w:marTop w:val="0"/>
      <w:marBottom w:val="0"/>
      <w:divBdr>
        <w:top w:val="none" w:sz="0" w:space="0" w:color="auto"/>
        <w:left w:val="none" w:sz="0" w:space="0" w:color="auto"/>
        <w:bottom w:val="none" w:sz="0" w:space="0" w:color="auto"/>
        <w:right w:val="none" w:sz="0" w:space="0" w:color="auto"/>
      </w:divBdr>
    </w:div>
    <w:div w:id="762531066">
      <w:bodyDiv w:val="1"/>
      <w:marLeft w:val="0"/>
      <w:marRight w:val="0"/>
      <w:marTop w:val="0"/>
      <w:marBottom w:val="0"/>
      <w:divBdr>
        <w:top w:val="none" w:sz="0" w:space="0" w:color="auto"/>
        <w:left w:val="none" w:sz="0" w:space="0" w:color="auto"/>
        <w:bottom w:val="none" w:sz="0" w:space="0" w:color="auto"/>
        <w:right w:val="none" w:sz="0" w:space="0" w:color="auto"/>
      </w:divBdr>
    </w:div>
    <w:div w:id="788283680">
      <w:bodyDiv w:val="1"/>
      <w:marLeft w:val="0"/>
      <w:marRight w:val="0"/>
      <w:marTop w:val="0"/>
      <w:marBottom w:val="0"/>
      <w:divBdr>
        <w:top w:val="none" w:sz="0" w:space="0" w:color="auto"/>
        <w:left w:val="none" w:sz="0" w:space="0" w:color="auto"/>
        <w:bottom w:val="none" w:sz="0" w:space="0" w:color="auto"/>
        <w:right w:val="none" w:sz="0" w:space="0" w:color="auto"/>
      </w:divBdr>
    </w:div>
    <w:div w:id="862404117">
      <w:bodyDiv w:val="1"/>
      <w:marLeft w:val="0"/>
      <w:marRight w:val="0"/>
      <w:marTop w:val="0"/>
      <w:marBottom w:val="0"/>
      <w:divBdr>
        <w:top w:val="none" w:sz="0" w:space="0" w:color="auto"/>
        <w:left w:val="none" w:sz="0" w:space="0" w:color="auto"/>
        <w:bottom w:val="none" w:sz="0" w:space="0" w:color="auto"/>
        <w:right w:val="none" w:sz="0" w:space="0" w:color="auto"/>
      </w:divBdr>
    </w:div>
    <w:div w:id="887956658">
      <w:bodyDiv w:val="1"/>
      <w:marLeft w:val="0"/>
      <w:marRight w:val="0"/>
      <w:marTop w:val="0"/>
      <w:marBottom w:val="0"/>
      <w:divBdr>
        <w:top w:val="none" w:sz="0" w:space="0" w:color="auto"/>
        <w:left w:val="none" w:sz="0" w:space="0" w:color="auto"/>
        <w:bottom w:val="none" w:sz="0" w:space="0" w:color="auto"/>
        <w:right w:val="none" w:sz="0" w:space="0" w:color="auto"/>
      </w:divBdr>
    </w:div>
    <w:div w:id="911698838">
      <w:bodyDiv w:val="1"/>
      <w:marLeft w:val="0"/>
      <w:marRight w:val="0"/>
      <w:marTop w:val="0"/>
      <w:marBottom w:val="0"/>
      <w:divBdr>
        <w:top w:val="none" w:sz="0" w:space="0" w:color="auto"/>
        <w:left w:val="none" w:sz="0" w:space="0" w:color="auto"/>
        <w:bottom w:val="none" w:sz="0" w:space="0" w:color="auto"/>
        <w:right w:val="none" w:sz="0" w:space="0" w:color="auto"/>
      </w:divBdr>
    </w:div>
    <w:div w:id="943340811">
      <w:bodyDiv w:val="1"/>
      <w:marLeft w:val="0"/>
      <w:marRight w:val="0"/>
      <w:marTop w:val="0"/>
      <w:marBottom w:val="0"/>
      <w:divBdr>
        <w:top w:val="none" w:sz="0" w:space="0" w:color="auto"/>
        <w:left w:val="none" w:sz="0" w:space="0" w:color="auto"/>
        <w:bottom w:val="none" w:sz="0" w:space="0" w:color="auto"/>
        <w:right w:val="none" w:sz="0" w:space="0" w:color="auto"/>
      </w:divBdr>
    </w:div>
    <w:div w:id="971251122">
      <w:bodyDiv w:val="1"/>
      <w:marLeft w:val="0"/>
      <w:marRight w:val="0"/>
      <w:marTop w:val="0"/>
      <w:marBottom w:val="0"/>
      <w:divBdr>
        <w:top w:val="none" w:sz="0" w:space="0" w:color="auto"/>
        <w:left w:val="none" w:sz="0" w:space="0" w:color="auto"/>
        <w:bottom w:val="none" w:sz="0" w:space="0" w:color="auto"/>
        <w:right w:val="none" w:sz="0" w:space="0" w:color="auto"/>
      </w:divBdr>
    </w:div>
    <w:div w:id="975717954">
      <w:bodyDiv w:val="1"/>
      <w:marLeft w:val="0"/>
      <w:marRight w:val="0"/>
      <w:marTop w:val="0"/>
      <w:marBottom w:val="0"/>
      <w:divBdr>
        <w:top w:val="none" w:sz="0" w:space="0" w:color="auto"/>
        <w:left w:val="none" w:sz="0" w:space="0" w:color="auto"/>
        <w:bottom w:val="none" w:sz="0" w:space="0" w:color="auto"/>
        <w:right w:val="none" w:sz="0" w:space="0" w:color="auto"/>
      </w:divBdr>
    </w:div>
    <w:div w:id="990477765">
      <w:bodyDiv w:val="1"/>
      <w:marLeft w:val="0"/>
      <w:marRight w:val="0"/>
      <w:marTop w:val="0"/>
      <w:marBottom w:val="0"/>
      <w:divBdr>
        <w:top w:val="none" w:sz="0" w:space="0" w:color="auto"/>
        <w:left w:val="none" w:sz="0" w:space="0" w:color="auto"/>
        <w:bottom w:val="none" w:sz="0" w:space="0" w:color="auto"/>
        <w:right w:val="none" w:sz="0" w:space="0" w:color="auto"/>
      </w:divBdr>
    </w:div>
    <w:div w:id="1025516992">
      <w:bodyDiv w:val="1"/>
      <w:marLeft w:val="0"/>
      <w:marRight w:val="0"/>
      <w:marTop w:val="0"/>
      <w:marBottom w:val="0"/>
      <w:divBdr>
        <w:top w:val="none" w:sz="0" w:space="0" w:color="auto"/>
        <w:left w:val="none" w:sz="0" w:space="0" w:color="auto"/>
        <w:bottom w:val="none" w:sz="0" w:space="0" w:color="auto"/>
        <w:right w:val="none" w:sz="0" w:space="0" w:color="auto"/>
      </w:divBdr>
    </w:div>
    <w:div w:id="1054892125">
      <w:bodyDiv w:val="1"/>
      <w:marLeft w:val="0"/>
      <w:marRight w:val="0"/>
      <w:marTop w:val="0"/>
      <w:marBottom w:val="0"/>
      <w:divBdr>
        <w:top w:val="none" w:sz="0" w:space="0" w:color="auto"/>
        <w:left w:val="none" w:sz="0" w:space="0" w:color="auto"/>
        <w:bottom w:val="none" w:sz="0" w:space="0" w:color="auto"/>
        <w:right w:val="none" w:sz="0" w:space="0" w:color="auto"/>
      </w:divBdr>
    </w:div>
    <w:div w:id="1069428005">
      <w:bodyDiv w:val="1"/>
      <w:marLeft w:val="0"/>
      <w:marRight w:val="0"/>
      <w:marTop w:val="0"/>
      <w:marBottom w:val="0"/>
      <w:divBdr>
        <w:top w:val="none" w:sz="0" w:space="0" w:color="auto"/>
        <w:left w:val="none" w:sz="0" w:space="0" w:color="auto"/>
        <w:bottom w:val="none" w:sz="0" w:space="0" w:color="auto"/>
        <w:right w:val="none" w:sz="0" w:space="0" w:color="auto"/>
      </w:divBdr>
    </w:div>
    <w:div w:id="1100374262">
      <w:bodyDiv w:val="1"/>
      <w:marLeft w:val="0"/>
      <w:marRight w:val="0"/>
      <w:marTop w:val="0"/>
      <w:marBottom w:val="0"/>
      <w:divBdr>
        <w:top w:val="none" w:sz="0" w:space="0" w:color="auto"/>
        <w:left w:val="none" w:sz="0" w:space="0" w:color="auto"/>
        <w:bottom w:val="none" w:sz="0" w:space="0" w:color="auto"/>
        <w:right w:val="none" w:sz="0" w:space="0" w:color="auto"/>
      </w:divBdr>
    </w:div>
    <w:div w:id="1130243802">
      <w:bodyDiv w:val="1"/>
      <w:marLeft w:val="0"/>
      <w:marRight w:val="0"/>
      <w:marTop w:val="0"/>
      <w:marBottom w:val="0"/>
      <w:divBdr>
        <w:top w:val="none" w:sz="0" w:space="0" w:color="auto"/>
        <w:left w:val="none" w:sz="0" w:space="0" w:color="auto"/>
        <w:bottom w:val="none" w:sz="0" w:space="0" w:color="auto"/>
        <w:right w:val="none" w:sz="0" w:space="0" w:color="auto"/>
      </w:divBdr>
      <w:divsChild>
        <w:div w:id="1876232564">
          <w:marLeft w:val="0"/>
          <w:marRight w:val="0"/>
          <w:marTop w:val="0"/>
          <w:marBottom w:val="0"/>
          <w:divBdr>
            <w:top w:val="none" w:sz="0" w:space="0" w:color="auto"/>
            <w:left w:val="none" w:sz="0" w:space="0" w:color="auto"/>
            <w:bottom w:val="none" w:sz="0" w:space="0" w:color="auto"/>
            <w:right w:val="none" w:sz="0" w:space="0" w:color="auto"/>
          </w:divBdr>
        </w:div>
      </w:divsChild>
    </w:div>
    <w:div w:id="1232739774">
      <w:bodyDiv w:val="1"/>
      <w:marLeft w:val="0"/>
      <w:marRight w:val="0"/>
      <w:marTop w:val="0"/>
      <w:marBottom w:val="0"/>
      <w:divBdr>
        <w:top w:val="none" w:sz="0" w:space="0" w:color="auto"/>
        <w:left w:val="none" w:sz="0" w:space="0" w:color="auto"/>
        <w:bottom w:val="none" w:sz="0" w:space="0" w:color="auto"/>
        <w:right w:val="none" w:sz="0" w:space="0" w:color="auto"/>
      </w:divBdr>
      <w:divsChild>
        <w:div w:id="1176769032">
          <w:marLeft w:val="0"/>
          <w:marRight w:val="0"/>
          <w:marTop w:val="0"/>
          <w:marBottom w:val="0"/>
          <w:divBdr>
            <w:top w:val="none" w:sz="0" w:space="0" w:color="auto"/>
            <w:left w:val="none" w:sz="0" w:space="0" w:color="auto"/>
            <w:bottom w:val="none" w:sz="0" w:space="0" w:color="auto"/>
            <w:right w:val="none" w:sz="0" w:space="0" w:color="auto"/>
          </w:divBdr>
        </w:div>
      </w:divsChild>
    </w:div>
    <w:div w:id="1238250094">
      <w:bodyDiv w:val="1"/>
      <w:marLeft w:val="0"/>
      <w:marRight w:val="0"/>
      <w:marTop w:val="0"/>
      <w:marBottom w:val="0"/>
      <w:divBdr>
        <w:top w:val="none" w:sz="0" w:space="0" w:color="auto"/>
        <w:left w:val="none" w:sz="0" w:space="0" w:color="auto"/>
        <w:bottom w:val="none" w:sz="0" w:space="0" w:color="auto"/>
        <w:right w:val="none" w:sz="0" w:space="0" w:color="auto"/>
      </w:divBdr>
    </w:div>
    <w:div w:id="1238855434">
      <w:bodyDiv w:val="1"/>
      <w:marLeft w:val="0"/>
      <w:marRight w:val="0"/>
      <w:marTop w:val="0"/>
      <w:marBottom w:val="0"/>
      <w:divBdr>
        <w:top w:val="none" w:sz="0" w:space="0" w:color="auto"/>
        <w:left w:val="none" w:sz="0" w:space="0" w:color="auto"/>
        <w:bottom w:val="none" w:sz="0" w:space="0" w:color="auto"/>
        <w:right w:val="none" w:sz="0" w:space="0" w:color="auto"/>
      </w:divBdr>
    </w:div>
    <w:div w:id="1308316474">
      <w:bodyDiv w:val="1"/>
      <w:marLeft w:val="0"/>
      <w:marRight w:val="0"/>
      <w:marTop w:val="0"/>
      <w:marBottom w:val="0"/>
      <w:divBdr>
        <w:top w:val="none" w:sz="0" w:space="0" w:color="auto"/>
        <w:left w:val="none" w:sz="0" w:space="0" w:color="auto"/>
        <w:bottom w:val="none" w:sz="0" w:space="0" w:color="auto"/>
        <w:right w:val="none" w:sz="0" w:space="0" w:color="auto"/>
      </w:divBdr>
    </w:div>
    <w:div w:id="1363941047">
      <w:bodyDiv w:val="1"/>
      <w:marLeft w:val="0"/>
      <w:marRight w:val="0"/>
      <w:marTop w:val="0"/>
      <w:marBottom w:val="0"/>
      <w:divBdr>
        <w:top w:val="none" w:sz="0" w:space="0" w:color="auto"/>
        <w:left w:val="none" w:sz="0" w:space="0" w:color="auto"/>
        <w:bottom w:val="none" w:sz="0" w:space="0" w:color="auto"/>
        <w:right w:val="none" w:sz="0" w:space="0" w:color="auto"/>
      </w:divBdr>
    </w:div>
    <w:div w:id="1399472691">
      <w:bodyDiv w:val="1"/>
      <w:marLeft w:val="0"/>
      <w:marRight w:val="0"/>
      <w:marTop w:val="0"/>
      <w:marBottom w:val="0"/>
      <w:divBdr>
        <w:top w:val="none" w:sz="0" w:space="0" w:color="auto"/>
        <w:left w:val="none" w:sz="0" w:space="0" w:color="auto"/>
        <w:bottom w:val="none" w:sz="0" w:space="0" w:color="auto"/>
        <w:right w:val="none" w:sz="0" w:space="0" w:color="auto"/>
      </w:divBdr>
    </w:div>
    <w:div w:id="1399792555">
      <w:bodyDiv w:val="1"/>
      <w:marLeft w:val="0"/>
      <w:marRight w:val="0"/>
      <w:marTop w:val="0"/>
      <w:marBottom w:val="0"/>
      <w:divBdr>
        <w:top w:val="none" w:sz="0" w:space="0" w:color="auto"/>
        <w:left w:val="none" w:sz="0" w:space="0" w:color="auto"/>
        <w:bottom w:val="none" w:sz="0" w:space="0" w:color="auto"/>
        <w:right w:val="none" w:sz="0" w:space="0" w:color="auto"/>
      </w:divBdr>
    </w:div>
    <w:div w:id="1400715832">
      <w:bodyDiv w:val="1"/>
      <w:marLeft w:val="0"/>
      <w:marRight w:val="0"/>
      <w:marTop w:val="0"/>
      <w:marBottom w:val="0"/>
      <w:divBdr>
        <w:top w:val="none" w:sz="0" w:space="0" w:color="auto"/>
        <w:left w:val="none" w:sz="0" w:space="0" w:color="auto"/>
        <w:bottom w:val="none" w:sz="0" w:space="0" w:color="auto"/>
        <w:right w:val="none" w:sz="0" w:space="0" w:color="auto"/>
      </w:divBdr>
    </w:div>
    <w:div w:id="1402829247">
      <w:bodyDiv w:val="1"/>
      <w:marLeft w:val="0"/>
      <w:marRight w:val="0"/>
      <w:marTop w:val="0"/>
      <w:marBottom w:val="0"/>
      <w:divBdr>
        <w:top w:val="none" w:sz="0" w:space="0" w:color="auto"/>
        <w:left w:val="none" w:sz="0" w:space="0" w:color="auto"/>
        <w:bottom w:val="none" w:sz="0" w:space="0" w:color="auto"/>
        <w:right w:val="none" w:sz="0" w:space="0" w:color="auto"/>
      </w:divBdr>
    </w:div>
    <w:div w:id="1440566692">
      <w:bodyDiv w:val="1"/>
      <w:marLeft w:val="0"/>
      <w:marRight w:val="0"/>
      <w:marTop w:val="0"/>
      <w:marBottom w:val="0"/>
      <w:divBdr>
        <w:top w:val="none" w:sz="0" w:space="0" w:color="auto"/>
        <w:left w:val="none" w:sz="0" w:space="0" w:color="auto"/>
        <w:bottom w:val="none" w:sz="0" w:space="0" w:color="auto"/>
        <w:right w:val="none" w:sz="0" w:space="0" w:color="auto"/>
      </w:divBdr>
    </w:div>
    <w:div w:id="1458913078">
      <w:bodyDiv w:val="1"/>
      <w:marLeft w:val="0"/>
      <w:marRight w:val="0"/>
      <w:marTop w:val="0"/>
      <w:marBottom w:val="0"/>
      <w:divBdr>
        <w:top w:val="none" w:sz="0" w:space="0" w:color="auto"/>
        <w:left w:val="none" w:sz="0" w:space="0" w:color="auto"/>
        <w:bottom w:val="none" w:sz="0" w:space="0" w:color="auto"/>
        <w:right w:val="none" w:sz="0" w:space="0" w:color="auto"/>
      </w:divBdr>
    </w:div>
    <w:div w:id="1529947381">
      <w:bodyDiv w:val="1"/>
      <w:marLeft w:val="0"/>
      <w:marRight w:val="0"/>
      <w:marTop w:val="0"/>
      <w:marBottom w:val="0"/>
      <w:divBdr>
        <w:top w:val="none" w:sz="0" w:space="0" w:color="auto"/>
        <w:left w:val="none" w:sz="0" w:space="0" w:color="auto"/>
        <w:bottom w:val="none" w:sz="0" w:space="0" w:color="auto"/>
        <w:right w:val="none" w:sz="0" w:space="0" w:color="auto"/>
      </w:divBdr>
    </w:div>
    <w:div w:id="1602568705">
      <w:bodyDiv w:val="1"/>
      <w:marLeft w:val="0"/>
      <w:marRight w:val="0"/>
      <w:marTop w:val="0"/>
      <w:marBottom w:val="0"/>
      <w:divBdr>
        <w:top w:val="none" w:sz="0" w:space="0" w:color="auto"/>
        <w:left w:val="none" w:sz="0" w:space="0" w:color="auto"/>
        <w:bottom w:val="none" w:sz="0" w:space="0" w:color="auto"/>
        <w:right w:val="none" w:sz="0" w:space="0" w:color="auto"/>
      </w:divBdr>
    </w:div>
    <w:div w:id="1606158011">
      <w:bodyDiv w:val="1"/>
      <w:marLeft w:val="0"/>
      <w:marRight w:val="0"/>
      <w:marTop w:val="0"/>
      <w:marBottom w:val="0"/>
      <w:divBdr>
        <w:top w:val="none" w:sz="0" w:space="0" w:color="auto"/>
        <w:left w:val="none" w:sz="0" w:space="0" w:color="auto"/>
        <w:bottom w:val="none" w:sz="0" w:space="0" w:color="auto"/>
        <w:right w:val="none" w:sz="0" w:space="0" w:color="auto"/>
      </w:divBdr>
    </w:div>
    <w:div w:id="1621301106">
      <w:bodyDiv w:val="1"/>
      <w:marLeft w:val="0"/>
      <w:marRight w:val="0"/>
      <w:marTop w:val="0"/>
      <w:marBottom w:val="0"/>
      <w:divBdr>
        <w:top w:val="none" w:sz="0" w:space="0" w:color="auto"/>
        <w:left w:val="none" w:sz="0" w:space="0" w:color="auto"/>
        <w:bottom w:val="none" w:sz="0" w:space="0" w:color="auto"/>
        <w:right w:val="none" w:sz="0" w:space="0" w:color="auto"/>
      </w:divBdr>
    </w:div>
    <w:div w:id="1626885227">
      <w:bodyDiv w:val="1"/>
      <w:marLeft w:val="0"/>
      <w:marRight w:val="0"/>
      <w:marTop w:val="0"/>
      <w:marBottom w:val="0"/>
      <w:divBdr>
        <w:top w:val="none" w:sz="0" w:space="0" w:color="auto"/>
        <w:left w:val="none" w:sz="0" w:space="0" w:color="auto"/>
        <w:bottom w:val="none" w:sz="0" w:space="0" w:color="auto"/>
        <w:right w:val="none" w:sz="0" w:space="0" w:color="auto"/>
      </w:divBdr>
    </w:div>
    <w:div w:id="1648123754">
      <w:bodyDiv w:val="1"/>
      <w:marLeft w:val="0"/>
      <w:marRight w:val="0"/>
      <w:marTop w:val="0"/>
      <w:marBottom w:val="0"/>
      <w:divBdr>
        <w:top w:val="none" w:sz="0" w:space="0" w:color="auto"/>
        <w:left w:val="none" w:sz="0" w:space="0" w:color="auto"/>
        <w:bottom w:val="none" w:sz="0" w:space="0" w:color="auto"/>
        <w:right w:val="none" w:sz="0" w:space="0" w:color="auto"/>
      </w:divBdr>
    </w:div>
    <w:div w:id="1717780527">
      <w:bodyDiv w:val="1"/>
      <w:marLeft w:val="0"/>
      <w:marRight w:val="0"/>
      <w:marTop w:val="0"/>
      <w:marBottom w:val="0"/>
      <w:divBdr>
        <w:top w:val="none" w:sz="0" w:space="0" w:color="auto"/>
        <w:left w:val="none" w:sz="0" w:space="0" w:color="auto"/>
        <w:bottom w:val="none" w:sz="0" w:space="0" w:color="auto"/>
        <w:right w:val="none" w:sz="0" w:space="0" w:color="auto"/>
      </w:divBdr>
    </w:div>
    <w:div w:id="1735355438">
      <w:bodyDiv w:val="1"/>
      <w:marLeft w:val="0"/>
      <w:marRight w:val="0"/>
      <w:marTop w:val="0"/>
      <w:marBottom w:val="0"/>
      <w:divBdr>
        <w:top w:val="none" w:sz="0" w:space="0" w:color="auto"/>
        <w:left w:val="none" w:sz="0" w:space="0" w:color="auto"/>
        <w:bottom w:val="none" w:sz="0" w:space="0" w:color="auto"/>
        <w:right w:val="none" w:sz="0" w:space="0" w:color="auto"/>
      </w:divBdr>
    </w:div>
    <w:div w:id="1837568325">
      <w:bodyDiv w:val="1"/>
      <w:marLeft w:val="0"/>
      <w:marRight w:val="0"/>
      <w:marTop w:val="0"/>
      <w:marBottom w:val="0"/>
      <w:divBdr>
        <w:top w:val="none" w:sz="0" w:space="0" w:color="auto"/>
        <w:left w:val="none" w:sz="0" w:space="0" w:color="auto"/>
        <w:bottom w:val="none" w:sz="0" w:space="0" w:color="auto"/>
        <w:right w:val="none" w:sz="0" w:space="0" w:color="auto"/>
      </w:divBdr>
    </w:div>
    <w:div w:id="1866752895">
      <w:bodyDiv w:val="1"/>
      <w:marLeft w:val="0"/>
      <w:marRight w:val="0"/>
      <w:marTop w:val="0"/>
      <w:marBottom w:val="0"/>
      <w:divBdr>
        <w:top w:val="none" w:sz="0" w:space="0" w:color="auto"/>
        <w:left w:val="none" w:sz="0" w:space="0" w:color="auto"/>
        <w:bottom w:val="none" w:sz="0" w:space="0" w:color="auto"/>
        <w:right w:val="none" w:sz="0" w:space="0" w:color="auto"/>
      </w:divBdr>
    </w:div>
    <w:div w:id="1867060908">
      <w:bodyDiv w:val="1"/>
      <w:marLeft w:val="0"/>
      <w:marRight w:val="0"/>
      <w:marTop w:val="0"/>
      <w:marBottom w:val="0"/>
      <w:divBdr>
        <w:top w:val="none" w:sz="0" w:space="0" w:color="auto"/>
        <w:left w:val="none" w:sz="0" w:space="0" w:color="auto"/>
        <w:bottom w:val="none" w:sz="0" w:space="0" w:color="auto"/>
        <w:right w:val="none" w:sz="0" w:space="0" w:color="auto"/>
      </w:divBdr>
    </w:div>
    <w:div w:id="1932809434">
      <w:bodyDiv w:val="1"/>
      <w:marLeft w:val="0"/>
      <w:marRight w:val="0"/>
      <w:marTop w:val="0"/>
      <w:marBottom w:val="0"/>
      <w:divBdr>
        <w:top w:val="none" w:sz="0" w:space="0" w:color="auto"/>
        <w:left w:val="none" w:sz="0" w:space="0" w:color="auto"/>
        <w:bottom w:val="none" w:sz="0" w:space="0" w:color="auto"/>
        <w:right w:val="none" w:sz="0" w:space="0" w:color="auto"/>
      </w:divBdr>
    </w:div>
    <w:div w:id="1967009251">
      <w:bodyDiv w:val="1"/>
      <w:marLeft w:val="0"/>
      <w:marRight w:val="0"/>
      <w:marTop w:val="0"/>
      <w:marBottom w:val="0"/>
      <w:divBdr>
        <w:top w:val="none" w:sz="0" w:space="0" w:color="auto"/>
        <w:left w:val="none" w:sz="0" w:space="0" w:color="auto"/>
        <w:bottom w:val="none" w:sz="0" w:space="0" w:color="auto"/>
        <w:right w:val="none" w:sz="0" w:space="0" w:color="auto"/>
      </w:divBdr>
    </w:div>
    <w:div w:id="1988589138">
      <w:bodyDiv w:val="1"/>
      <w:marLeft w:val="0"/>
      <w:marRight w:val="0"/>
      <w:marTop w:val="0"/>
      <w:marBottom w:val="0"/>
      <w:divBdr>
        <w:top w:val="none" w:sz="0" w:space="0" w:color="auto"/>
        <w:left w:val="none" w:sz="0" w:space="0" w:color="auto"/>
        <w:bottom w:val="none" w:sz="0" w:space="0" w:color="auto"/>
        <w:right w:val="none" w:sz="0" w:space="0" w:color="auto"/>
      </w:divBdr>
    </w:div>
    <w:div w:id="2012102866">
      <w:bodyDiv w:val="1"/>
      <w:marLeft w:val="0"/>
      <w:marRight w:val="0"/>
      <w:marTop w:val="0"/>
      <w:marBottom w:val="0"/>
      <w:divBdr>
        <w:top w:val="none" w:sz="0" w:space="0" w:color="auto"/>
        <w:left w:val="none" w:sz="0" w:space="0" w:color="auto"/>
        <w:bottom w:val="none" w:sz="0" w:space="0" w:color="auto"/>
        <w:right w:val="none" w:sz="0" w:space="0" w:color="auto"/>
      </w:divBdr>
    </w:div>
    <w:div w:id="2112315146">
      <w:bodyDiv w:val="1"/>
      <w:marLeft w:val="0"/>
      <w:marRight w:val="0"/>
      <w:marTop w:val="0"/>
      <w:marBottom w:val="0"/>
      <w:divBdr>
        <w:top w:val="none" w:sz="0" w:space="0" w:color="auto"/>
        <w:left w:val="none" w:sz="0" w:space="0" w:color="auto"/>
        <w:bottom w:val="none" w:sz="0" w:space="0" w:color="auto"/>
        <w:right w:val="none" w:sz="0" w:space="0" w:color="auto"/>
      </w:divBdr>
    </w:div>
    <w:div w:id="214099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33455-9815-4E77-BF0E-22DD99CE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27350</TotalTime>
  <Pages>14</Pages>
  <Words>75423</Words>
  <Characters>414829</Characters>
  <Application>Microsoft Office Word</Application>
  <DocSecurity>0</DocSecurity>
  <Lines>3456</Lines>
  <Paragraphs>978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Kandégomni</dc:creator>
  <cp:keywords/>
  <dc:description/>
  <cp:lastModifiedBy>Hamza Seybou</cp:lastModifiedBy>
  <cp:revision>119</cp:revision>
  <dcterms:created xsi:type="dcterms:W3CDTF">2024-03-18T11:34:00Z</dcterms:created>
  <dcterms:modified xsi:type="dcterms:W3CDTF">2024-11-25T13:15:00Z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1673f727-93f3-3f1b-805c-1c3874ff4cc9</vt:lpwstr>
  </property>
  <property fmtid="{D5CDD505-2E9C-101B-9397-08002B2CF9AE}" pid="24" name="Mendeley Citation Style_1">
    <vt:lpwstr>http://www.zotero.org/styles/apa</vt:lpwstr>
  </property>
</Properties>
</file>