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1A2E"/>
          <w:sz w:val="56"/>
          <w:szCs w:val="56"/>
        </w:rPr>
        <w:t xml:space="preserve">KINGSFIELD LAWFARE</w:t>
      </w:r>
    </w:p>
    <w:p>
      <w:pPr>
        <w:spacing w:after="80" w:before="0"/>
      </w:pPr>
      <w:r>
        <w:rPr>
          <w:rFonts w:ascii="Arial" w:cs="Arial" w:eastAsia="Arial" w:hAnsi="Arial"/>
          <w:color w:val="C0392B"/>
          <w:sz w:val="36"/>
          <w:szCs w:val="36"/>
        </w:rPr>
        <w:t xml:space="preserve">Legal Intelligence Platform</w:t>
      </w:r>
    </w:p>
    <w:p>
      <w:pPr>
        <w:spacing w:after="400" w:before="0"/>
      </w:pPr>
      <w:r>
        <w:rPr>
          <w:rFonts w:ascii="Arial" w:cs="Arial" w:eastAsia="Arial" w:hAnsi="Arial"/>
          <w:i/>
          <w:iCs/>
          <w:color w:val="666666"/>
          <w:sz w:val="24"/>
          <w:szCs w:val="24"/>
        </w:rPr>
        <w:t xml:space="preserve">Strategic Advisory Memo + Standalone Business Plan Section</w:t>
      </w:r>
    </w:p>
    <w:p>
      <w:pPr>
        <w:pBdr>
          <w:bottom w:val="single" w:color="DDDDDD" w:sz="4" w:space="1"/>
        </w:pBdr>
        <w:spacing w:after="160" w:before="160"/>
      </w:pPr>
    </w:p>
    <w:p>
      <w:pPr>
        <w:spacing w:after="120" w:before="80"/>
      </w:pPr>
      <w:r>
        <w:rPr>
          <w:rFonts w:ascii="Arial" w:cs="Arial" w:eastAsia="Arial" w:hAnsi="Arial"/>
          <w:b/>
          <w:bCs/>
          <w:i w:val="false"/>
          <w:iCs w:val="false"/>
          <w:color w:val="333333"/>
          <w:sz w:val="22"/>
          <w:szCs w:val="22"/>
        </w:rPr>
        <w:t xml:space="preserve">PART I  —  Strategic Review: What the Current BP Gets Right, What It Doesn't, and How to Fix It</w:t>
      </w:r>
    </w:p>
    <w:p>
      <w:pPr>
        <w:spacing w:after="120" w:before="80"/>
      </w:pPr>
      <w:r>
        <w:rPr>
          <w:rFonts w:ascii="Arial" w:cs="Arial" w:eastAsia="Arial" w:hAnsi="Arial"/>
          <w:b/>
          <w:bCs/>
          <w:i w:val="false"/>
          <w:iCs w:val="false"/>
          <w:color w:val="333333"/>
          <w:sz w:val="22"/>
          <w:szCs w:val="22"/>
        </w:rPr>
        <w:t xml:space="preserve">PART II  —  The Standalone Section: The Lawfare Doctrine (drop into any version of the BP)</w:t>
      </w:r>
    </w:p>
    <w:p>
      <w:r>
        <w:br w:type="page"/>
      </w:r>
    </w:p>
    <w:p>
      <w:pPr>
        <w:spacing w:after="120" w:before="0"/>
      </w:pPr>
      <w:r>
        <w:rPr>
          <w:rFonts w:ascii="Arial" w:cs="Arial" w:eastAsia="Arial" w:hAnsi="Arial"/>
          <w:b/>
          <w:bCs/>
          <w:color w:val="C0392B"/>
          <w:sz w:val="18"/>
          <w:szCs w:val="18"/>
        </w:rPr>
        <w:t xml:space="preserve">PART I</w:t>
      </w:r>
    </w:p>
    <w:p>
      <w:pPr>
        <w:pStyle w:val="Heading1"/>
        <w:spacing w:after="120" w:before="280"/>
      </w:pPr>
      <w:r>
        <w:rPr>
          <w:rFonts w:ascii="Arial" w:cs="Arial" w:eastAsia="Arial" w:hAnsi="Arial"/>
          <w:b/>
          <w:bCs/>
          <w:color w:val="1A1A2E"/>
          <w:sz w:val="40"/>
          <w:szCs w:val="40"/>
        </w:rPr>
        <w:t xml:space="preserve">Strategic Review</w:t>
      </w:r>
    </w:p>
    <w:p>
      <w:pPr>
        <w:spacing w:after="200" w:before="0"/>
      </w:pPr>
      <w:r>
        <w:rPr>
          <w:rFonts w:ascii="Arial" w:cs="Arial" w:eastAsia="Arial" w:hAnsi="Arial"/>
          <w:i/>
          <w:iCs/>
          <w:color w:val="555555"/>
          <w:sz w:val="24"/>
          <w:szCs w:val="24"/>
        </w:rPr>
        <w:t xml:space="preserve">What the Business Plan Gets Right, Where It Loses the Room, and How to Make It Undeniable</w:t>
      </w:r>
    </w:p>
    <w:p>
      <w:pPr>
        <w:pStyle w:val="Heading2"/>
        <w:spacing w:after="120" w:before="280"/>
      </w:pPr>
      <w:r>
        <w:rPr>
          <w:rFonts w:ascii="Arial" w:cs="Arial" w:eastAsia="Arial" w:hAnsi="Arial"/>
          <w:b/>
          <w:bCs/>
          <w:color w:val="1A1A2E"/>
          <w:sz w:val="28"/>
          <w:szCs w:val="28"/>
        </w:rPr>
        <w:t xml:space="preserve">1.1  What the Current Plan Gets Right</w:t>
      </w:r>
    </w:p>
    <w:p>
      <w:pPr>
        <w:spacing w:after="120" w:before="80"/>
      </w:pPr>
      <w:r>
        <w:rPr>
          <w:rFonts w:ascii="Arial" w:cs="Arial" w:eastAsia="Arial" w:hAnsi="Arial"/>
          <w:b w:val="false"/>
          <w:bCs w:val="false"/>
          <w:i w:val="false"/>
          <w:iCs w:val="false"/>
          <w:color w:val="333333"/>
          <w:sz w:val="22"/>
          <w:szCs w:val="22"/>
        </w:rPr>
        <w:t xml:space="preserve">The existing plan has genuine strengths that should survive any revision:</w:t>
      </w:r>
    </w:p>
    <w:p>
      <w:pPr>
        <w:pStyle w:val="ListParagraph"/>
        <w:numPr>
          <w:ilvl w:val="0"/>
          <w:numId w:val="2"/>
        </w:numPr>
        <w:spacing w:after="60" w:before="60"/>
      </w:pPr>
      <w:r>
        <w:rPr>
          <w:rFonts w:ascii="Arial" w:cs="Arial" w:eastAsia="Arial" w:hAnsi="Arial"/>
          <w:color w:val="333333"/>
          <w:sz w:val="22"/>
          <w:szCs w:val="22"/>
        </w:rPr>
        <w:t xml:space="preserve">The 92% justice gap framing is real, sourced, and damning. Lead with it always.</w:t>
      </w:r>
    </w:p>
    <w:p>
      <w:pPr>
        <w:pStyle w:val="ListParagraph"/>
        <w:numPr>
          <w:ilvl w:val="0"/>
          <w:numId w:val="2"/>
        </w:numPr>
        <w:spacing w:after="60" w:before="60"/>
      </w:pPr>
      <w:r>
        <w:rPr>
          <w:rFonts w:ascii="Arial" w:cs="Arial" w:eastAsia="Arial" w:hAnsi="Arial"/>
          <w:color w:val="333333"/>
          <w:sz w:val="22"/>
          <w:szCs w:val="22"/>
        </w:rPr>
        <w:t xml:space="preserve">Harvey at $11B and Legora at $5.5B validate the category; 'the other side of that bet' is sharp positioning.</w:t>
      </w:r>
    </w:p>
    <w:p>
      <w:pPr>
        <w:pStyle w:val="ListParagraph"/>
        <w:numPr>
          <w:ilvl w:val="0"/>
          <w:numId w:val="2"/>
        </w:numPr>
        <w:spacing w:after="60" w:before="60"/>
      </w:pPr>
      <w:r>
        <w:rPr>
          <w:rFonts w:ascii="Arial" w:cs="Arial" w:eastAsia="Arial" w:hAnsi="Arial"/>
          <w:color w:val="333333"/>
          <w:sz w:val="22"/>
          <w:szCs w:val="22"/>
        </w:rPr>
        <w:t xml:space="preserve">The adversarial simulation angle (pressure-testing arguments before filing) is a genuine tech differentiator. Nobody in the market is doing this publicly.</w:t>
      </w:r>
    </w:p>
    <w:p>
      <w:pPr>
        <w:pStyle w:val="ListParagraph"/>
        <w:numPr>
          <w:ilvl w:val="0"/>
          <w:numId w:val="2"/>
        </w:numPr>
        <w:spacing w:after="60" w:before="60"/>
      </w:pPr>
      <w:r>
        <w:rPr>
          <w:rFonts w:ascii="Arial" w:cs="Arial" w:eastAsia="Arial" w:hAnsi="Arial"/>
          <w:color w:val="333333"/>
          <w:sz w:val="22"/>
          <w:szCs w:val="22"/>
        </w:rPr>
        <w:t xml:space="preserve">The Arizona ABS structure is a real regulatory moat — but it's dramatically undersold. More on this below.</w:t>
      </w:r>
    </w:p>
    <w:p>
      <w:pPr>
        <w:pStyle w:val="ListParagraph"/>
        <w:numPr>
          <w:ilvl w:val="0"/>
          <w:numId w:val="2"/>
        </w:numPr>
        <w:spacing w:after="60" w:before="60"/>
      </w:pPr>
      <w:r>
        <w:rPr>
          <w:rFonts w:ascii="Arial" w:cs="Arial" w:eastAsia="Arial" w:hAnsi="Arial"/>
          <w:color w:val="333333"/>
          <w:sz w:val="22"/>
          <w:szCs w:val="22"/>
        </w:rPr>
        <w:t xml:space="preserve">The 4-gate citation verification pipeline directly addresses the single biggest investor fear in legal AI: hallucination. This is the right defensive answer to the hardest question.</w:t>
      </w:r>
    </w:p>
    <w:p>
      <w:pPr>
        <w:pStyle w:val="ListParagraph"/>
        <w:numPr>
          <w:ilvl w:val="0"/>
          <w:numId w:val="2"/>
        </w:numPr>
        <w:spacing w:after="60" w:before="60"/>
      </w:pPr>
      <w:r>
        <w:rPr>
          <w:rFonts w:ascii="Arial" w:cs="Arial" w:eastAsia="Arial" w:hAnsi="Arial"/>
          <w:color w:val="333333"/>
          <w:sz w:val="22"/>
          <w:szCs w:val="22"/>
        </w:rPr>
        <w:t xml:space="preserve">'Smart. Not Stupid.' is memorable. The fighter-pilot and strategist quotes work if they stay in voice.</w:t>
      </w:r>
    </w:p>
    <w:p>
      <w:pPr>
        <w:pBdr>
          <w:bottom w:val="single" w:color="DDDDDD" w:sz="4" w:space="1"/>
        </w:pBdr>
        <w:spacing w:after="160" w:before="160"/>
      </w:pPr>
    </w:p>
    <w:p>
      <w:pPr>
        <w:pStyle w:val="Heading2"/>
        <w:spacing w:after="120" w:before="280"/>
      </w:pPr>
      <w:r>
        <w:rPr>
          <w:rFonts w:ascii="Arial" w:cs="Arial" w:eastAsia="Arial" w:hAnsi="Arial"/>
          <w:b/>
          <w:bCs/>
          <w:color w:val="1A1A2E"/>
          <w:sz w:val="28"/>
          <w:szCs w:val="28"/>
        </w:rPr>
        <w:t xml:space="preserve">1.2  Where the Plan Loses the Room</w:t>
      </w:r>
    </w:p>
    <w:p>
      <w:pPr>
        <w:pStyle w:val="Heading3"/>
        <w:spacing w:after="120" w:before="280"/>
      </w:pPr>
      <w:r>
        <w:rPr>
          <w:rFonts w:ascii="Arial" w:cs="Arial" w:eastAsia="Arial" w:hAnsi="Arial"/>
          <w:b/>
          <w:bCs/>
          <w:color w:val="1A1A2E"/>
          <w:sz w:val="24"/>
          <w:szCs w:val="24"/>
        </w:rPr>
        <w:t xml:space="preserve">1.  Identity Crisis Between Two Businesses</w:t>
      </w:r>
    </w:p>
    <w:p>
      <w:pPr>
        <w:spacing w:after="120" w:before="80"/>
      </w:pPr>
      <w:r>
        <w:rPr>
          <w:rFonts w:ascii="Arial" w:cs="Arial" w:eastAsia="Arial" w:hAnsi="Arial"/>
          <w:b w:val="false"/>
          <w:bCs w:val="false"/>
          <w:i w:val="false"/>
          <w:iCs w:val="false"/>
          <w:color w:val="333333"/>
          <w:sz w:val="22"/>
          <w:szCs w:val="22"/>
        </w:rPr>
        <w:t xml:space="preserve">The plan oscillates between 'B2B legal AI software company' (safe, fundable, Harvey-adjacent) and 'private lawfare firm for individuals' (mission-driven, edgier, harder to scale). These are two different businesses, two different investor profiles, two different regulatory exposures. The plan runs them simultaneously without explaining the sequencing.</w:t>
      </w:r>
    </w:p>
    <w:p>
      <w:pPr>
        <w:spacing w:after="120" w:before="80"/>
      </w:pPr>
      <w:r>
        <w:rPr>
          <w:rFonts w:ascii="Arial" w:cs="Arial" w:eastAsia="Arial" w:hAnsi="Arial"/>
          <w:b/>
          <w:bCs/>
          <w:i w:val="false"/>
          <w:iCs w:val="false"/>
          <w:color w:val="333333"/>
          <w:sz w:val="22"/>
          <w:szCs w:val="22"/>
        </w:rPr>
        <w:t xml:space="preserve">The fix: Lead with one primary thesis. Show how the second product unlocks after the first generates revenue and regulatory track record. Investors need to know which one they are funding.</w:t>
      </w:r>
    </w:p>
    <w:p>
      <w:pPr>
        <w:pStyle w:val="Heading3"/>
        <w:spacing w:after="120" w:before="280"/>
      </w:pPr>
      <w:r>
        <w:rPr>
          <w:rFonts w:ascii="Arial" w:cs="Arial" w:eastAsia="Arial" w:hAnsi="Arial"/>
          <w:b/>
          <w:bCs/>
          <w:color w:val="1A1A2E"/>
          <w:sz w:val="24"/>
          <w:szCs w:val="24"/>
        </w:rPr>
        <w:t xml:space="preserve">2.  The GAN Claim Is Unanchored</w:t>
      </w:r>
    </w:p>
    <w:p>
      <w:pPr>
        <w:spacing w:after="120" w:before="80"/>
      </w:pPr>
      <w:r>
        <w:rPr>
          <w:rFonts w:ascii="Arial" w:cs="Arial" w:eastAsia="Arial" w:hAnsi="Arial"/>
          <w:b w:val="false"/>
          <w:bCs w:val="false"/>
          <w:i w:val="false"/>
          <w:iCs w:val="false"/>
          <w:color w:val="333333"/>
          <w:sz w:val="22"/>
          <w:szCs w:val="22"/>
        </w:rPr>
        <w:t xml:space="preserve">The plan repeatedly cites a 'custom GAN that role-plays opposing counsel, judges, and juries.' Sophisticated investors will ask: Is this built? Is it tested? What's the benchmark? Without answers, the claim reads as vaporware — actively damaging credibility across everything else.</w:t>
      </w:r>
    </w:p>
    <w:p>
      <w:pPr>
        <w:spacing w:after="120" w:before="80"/>
      </w:pPr>
      <w:r>
        <w:rPr>
          <w:rFonts w:ascii="Arial" w:cs="Arial" w:eastAsia="Arial" w:hAnsi="Arial"/>
          <w:b/>
          <w:bCs/>
          <w:i w:val="false"/>
          <w:iCs w:val="false"/>
          <w:color w:val="333333"/>
          <w:sz w:val="22"/>
          <w:szCs w:val="22"/>
        </w:rPr>
        <w:t xml:space="preserve">The fix: Either anchor this with a demo, a benchmark result, or an honest 'in development' timeline. Or describe the v3 implementation accurately as 'multi-agent LLM adversarial council' and drop the GAN framing until it exists.</w:t>
      </w:r>
    </w:p>
    <w:p>
      <w:pPr>
        <w:pStyle w:val="Heading3"/>
        <w:spacing w:after="120" w:before="280"/>
      </w:pPr>
      <w:r>
        <w:rPr>
          <w:rFonts w:ascii="Arial" w:cs="Arial" w:eastAsia="Arial" w:hAnsi="Arial"/>
          <w:b/>
          <w:bCs/>
          <w:color w:val="1A1A2E"/>
          <w:sz w:val="24"/>
          <w:szCs w:val="24"/>
        </w:rPr>
        <w:t xml:space="preserve">3.  No Founder Section</w:t>
      </w:r>
    </w:p>
    <w:p>
      <w:pPr>
        <w:spacing w:after="120" w:before="80"/>
      </w:pPr>
      <w:r>
        <w:rPr>
          <w:rFonts w:ascii="Arial" w:cs="Arial" w:eastAsia="Arial" w:hAnsi="Arial"/>
          <w:b w:val="false"/>
          <w:bCs w:val="false"/>
          <w:i w:val="false"/>
          <w:iCs w:val="false"/>
          <w:color w:val="333333"/>
          <w:sz w:val="22"/>
          <w:szCs w:val="22"/>
        </w:rPr>
        <w:t xml:space="preserve">The plan has almost no founder narrative — and the Lawstopper notes reveal the team is still seeking an Arizona compliance lawyer. Seed investors back people before products. A plan without a credible founder story is the single most common reason a plan doesn't advance past the first read.</w:t>
      </w:r>
    </w:p>
    <w:p>
      <w:pPr>
        <w:spacing w:after="120" w:before="80"/>
      </w:pPr>
      <w:r>
        <w:rPr>
          <w:rFonts w:ascii="Arial" w:cs="Arial" w:eastAsia="Arial" w:hAnsi="Arial"/>
          <w:b/>
          <w:bCs/>
          <w:i w:val="false"/>
          <w:iCs w:val="false"/>
          <w:color w:val="333333"/>
          <w:sz w:val="22"/>
          <w:szCs w:val="22"/>
        </w:rPr>
        <w:t xml:space="preserve">The fix: Add a 'Who We Are and Why Us' section. Why Aaron? What's the unfair advantage — network, domain knowledge, prior litigation experience, technical background? Even a small team can be made compelling.</w:t>
      </w:r>
    </w:p>
    <w:p>
      <w:pPr>
        <w:pStyle w:val="Heading3"/>
        <w:spacing w:after="120" w:before="280"/>
      </w:pPr>
      <w:r>
        <w:rPr>
          <w:rFonts w:ascii="Arial" w:cs="Arial" w:eastAsia="Arial" w:hAnsi="Arial"/>
          <w:b/>
          <w:bCs/>
          <w:color w:val="1A1A2E"/>
          <w:sz w:val="24"/>
          <w:szCs w:val="24"/>
        </w:rPr>
        <w:t xml:space="preserve">4.  Beachhead Market Is Too Wide</w:t>
      </w:r>
    </w:p>
    <w:p>
      <w:pPr>
        <w:spacing w:after="120" w:before="80"/>
      </w:pPr>
      <w:r>
        <w:rPr>
          <w:rFonts w:ascii="Arial" w:cs="Arial" w:eastAsia="Arial" w:hAnsi="Arial"/>
          <w:b w:val="false"/>
          <w:bCs w:val="false"/>
          <w:i w:val="false"/>
          <w:iCs w:val="false"/>
          <w:color w:val="333333"/>
          <w:sz w:val="22"/>
          <w:szCs w:val="22"/>
        </w:rPr>
        <w:t xml:space="preserve">'Pro se litigants, independent artists, small businesses, in-house teams, and the lawyers who actually want to win cases' is six customer profiles in one paragraph. A $4.5M seed cannot serve all of these simultaneously. Investors know this.</w:t>
      </w:r>
    </w:p>
    <w:p>
      <w:pPr>
        <w:spacing w:after="120" w:before="80"/>
      </w:pPr>
      <w:r>
        <w:rPr>
          <w:rFonts w:ascii="Arial" w:cs="Arial" w:eastAsia="Arial" w:hAnsi="Arial"/>
          <w:b/>
          <w:bCs/>
          <w:i w:val="false"/>
          <w:iCs w:val="false"/>
          <w:color w:val="333333"/>
          <w:sz w:val="22"/>
          <w:szCs w:val="22"/>
        </w:rPr>
        <w:t xml:space="preserve">The fix: Pick the sharpest initial wedge — the customer with the highest pain, the shortest sales cycle, and the most accessible acquisition channel. Go deep on one, then show the expansion sequence.</w:t>
      </w:r>
    </w:p>
    <w:p>
      <w:pPr>
        <w:pStyle w:val="Heading3"/>
        <w:spacing w:after="120" w:before="280"/>
      </w:pPr>
      <w:r>
        <w:rPr>
          <w:rFonts w:ascii="Arial" w:cs="Arial" w:eastAsia="Arial" w:hAnsi="Arial"/>
          <w:b/>
          <w:bCs/>
          <w:color w:val="1A1A2E"/>
          <w:sz w:val="24"/>
          <w:szCs w:val="24"/>
        </w:rPr>
        <w:t xml:space="preserve">5.  Revenue Model Lacks a Bottoms-Up Bridge</w:t>
      </w:r>
    </w:p>
    <w:p>
      <w:pPr>
        <w:spacing w:after="120" w:before="80"/>
      </w:pPr>
      <w:r>
        <w:rPr>
          <w:rFonts w:ascii="Arial" w:cs="Arial" w:eastAsia="Arial" w:hAnsi="Arial"/>
          <w:b w:val="false"/>
          <w:bCs w:val="false"/>
          <w:i w:val="false"/>
          <w:iCs w:val="false"/>
          <w:color w:val="333333"/>
          <w:sz w:val="22"/>
          <w:szCs w:val="22"/>
        </w:rPr>
        <w:t xml:space="preserve">$612K Year 1 ARR and $13.8M Year 3 ARR appear without a customer-level model. How many customers at what price point? What's the assumed churn? Without this, the numbers look like aspirations.</w:t>
      </w:r>
    </w:p>
    <w:p>
      <w:pPr>
        <w:spacing w:after="120" w:before="80"/>
      </w:pPr>
      <w:r>
        <w:rPr>
          <w:rFonts w:ascii="Arial" w:cs="Arial" w:eastAsia="Arial" w:hAnsi="Arial"/>
          <w:b/>
          <w:bCs/>
          <w:i w:val="false"/>
          <w:iCs w:val="false"/>
          <w:color w:val="333333"/>
          <w:sz w:val="22"/>
          <w:szCs w:val="22"/>
        </w:rPr>
        <w:t xml:space="preserve">The fix: Add one page showing customers × conversion rate × price point = ARR, for each product line. It doesn't need to be precise. It needs to be coherent.</w:t>
      </w:r>
    </w:p>
    <w:p>
      <w:pPr>
        <w:pStyle w:val="Heading3"/>
        <w:spacing w:after="120" w:before="280"/>
      </w:pPr>
      <w:r>
        <w:rPr>
          <w:rFonts w:ascii="Arial" w:cs="Arial" w:eastAsia="Arial" w:hAnsi="Arial"/>
          <w:b/>
          <w:bCs/>
          <w:color w:val="1A1A2E"/>
          <w:sz w:val="24"/>
          <w:szCs w:val="24"/>
        </w:rPr>
        <w:t xml:space="preserve">6.  The ABS Moat Is Buried — It Should Lead the Competitive Section</w:t>
      </w:r>
    </w:p>
    <w:p>
      <w:pPr>
        <w:spacing w:after="120" w:before="80"/>
      </w:pPr>
      <w:r>
        <w:rPr>
          <w:rFonts w:ascii="Arial" w:cs="Arial" w:eastAsia="Arial" w:hAnsi="Arial"/>
          <w:b w:val="false"/>
          <w:bCs w:val="false"/>
          <w:i w:val="false"/>
          <w:iCs w:val="false"/>
          <w:color w:val="333333"/>
          <w:sz w:val="22"/>
          <w:szCs w:val="22"/>
        </w:rPr>
        <w:t xml:space="preserve">The Arizona ABS structure is mentioned but never explained as the competitive weapon it is. This is the regulatory arbitrage that makes Kingsfield's consumer-facing legal service product possible in ways Harvey, Legora, and every other legal AI company cannot replicate without rebuilding their entire corporate structure from scratch.</w:t>
      </w:r>
    </w:p>
    <w:p>
      <w:pPr>
        <w:spacing w:after="120" w:before="80"/>
      </w:pPr>
      <w:r>
        <w:rPr>
          <w:rFonts w:ascii="Arial" w:cs="Arial" w:eastAsia="Arial" w:hAnsi="Arial"/>
          <w:b/>
          <w:bCs/>
          <w:i w:val="false"/>
          <w:iCs w:val="false"/>
          <w:color w:val="333333"/>
          <w:sz w:val="22"/>
          <w:szCs w:val="22"/>
        </w:rPr>
        <w:t xml:space="preserve">The fix: Elevate the ABS to its own section. Frame it as: 'We are the only legal AI company in the country that is also a licensed legal services provider. That is not a feature. It is a structural moat that took years to build and that no competitor can copy without starting over.'</w:t>
      </w:r>
    </w:p>
    <w:p>
      <w:pPr>
        <w:pStyle w:val="Heading3"/>
        <w:spacing w:after="120" w:before="280"/>
      </w:pPr>
      <w:r>
        <w:rPr>
          <w:rFonts w:ascii="Arial" w:cs="Arial" w:eastAsia="Arial" w:hAnsi="Arial"/>
          <w:b/>
          <w:bCs/>
          <w:color w:val="1A1A2E"/>
          <w:sz w:val="24"/>
          <w:szCs w:val="24"/>
        </w:rPr>
        <w:t xml:space="preserve">7.  The Word 'Lawfare' Needs to Be Owned, Not Assumed</w:t>
      </w:r>
    </w:p>
    <w:p>
      <w:pPr>
        <w:spacing w:after="120" w:before="80"/>
      </w:pPr>
      <w:r>
        <w:rPr>
          <w:rFonts w:ascii="Arial" w:cs="Arial" w:eastAsia="Arial" w:hAnsi="Arial"/>
          <w:b w:val="false"/>
          <w:bCs w:val="false"/>
          <w:i w:val="false"/>
          <w:iCs w:val="false"/>
          <w:color w:val="333333"/>
          <w:sz w:val="22"/>
          <w:szCs w:val="22"/>
        </w:rPr>
        <w:t xml:space="preserve">'Lawfare' is politically loaded. It's used across the ideological spectrum to describe very different things. The plan never acknowledges this or defines the term on Kingsfield's terms — leaving it floating as brand identity without ground under it.</w:t>
      </w:r>
    </w:p>
    <w:p>
      <w:pPr>
        <w:spacing w:after="120" w:before="80"/>
      </w:pPr>
      <w:r>
        <w:rPr>
          <w:rFonts w:ascii="Arial" w:cs="Arial" w:eastAsia="Arial" w:hAnsi="Arial"/>
          <w:b/>
          <w:bCs/>
          <w:i w:val="false"/>
          <w:iCs w:val="false"/>
          <w:color w:val="333333"/>
          <w:sz w:val="22"/>
          <w:szCs w:val="22"/>
        </w:rPr>
        <w:t xml:space="preserve">The fix: Define it. Own it. Make it Kingsfield's word. The standalone section in Part II of this memo does exactly that and should go directly into the business plan.</w:t>
      </w:r>
    </w:p>
    <w:p>
      <w:pPr>
        <w:pBdr>
          <w:bottom w:val="single" w:color="DDDDDD" w:sz="4" w:space="1"/>
        </w:pBdr>
        <w:spacing w:after="160" w:before="160"/>
      </w:pPr>
    </w:p>
    <w:p>
      <w:pPr>
        <w:pStyle w:val="Heading2"/>
        <w:spacing w:after="120" w:before="280"/>
      </w:pPr>
      <w:r>
        <w:rPr>
          <w:rFonts w:ascii="Arial" w:cs="Arial" w:eastAsia="Arial" w:hAnsi="Arial"/>
          <w:b/>
          <w:bCs/>
          <w:color w:val="1A1A2E"/>
          <w:sz w:val="28"/>
          <w:szCs w:val="28"/>
        </w:rPr>
        <w:t xml:space="preserve">1.3  Recommended Business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4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Should Do</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Executive Summary</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Good opening, diffuse close</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One thesis, the ask, three reasons why now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Who We Are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Missing</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Founder story + unfair advantage — why Aaron, why this, why now</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Problem</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Strong — keep it</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Justice gap + billable hour tax. Tighten to one page.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Market Opportunity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Good stats, weak wedge</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TAM/SAM/SOM with one beachhead market called out explicitly</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What Kingsfield Does</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Technical, unfocused</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Product demo narrative + three product lines in plain English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Lawfare Doctrine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MISSING</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Why private lawfare is a category — see Part II of this memo</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Technology Architecture</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Good but GAN claim unanchored</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LLM Council + 4-gate pipeline; honest status of adversarial sim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Regulatory Moat (ABS)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Buried</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Its own section. This is the moat. Say so.</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Competitive Landscape</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Accurate, needs heat</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Feature table + 'why we cannot be replicated'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Business Model &amp; Revenue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Projections without a model</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Price × cohort × conversion = ARR for each product line</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Go-to-Market</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Thin</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Initial wedge, acquisition channel, CAC, LTV assumptions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Traction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LocalShift case study buried</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Lead with this. Real clients = credibility before everything else.</w:t>
            </w:r>
          </w:p>
        </w:tc>
      </w:tr>
      <w:tr>
        <w:tc>
          <w:tcPr>
            <w:tcW w:type="dxa" w:w="25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Ask &amp; Use of Funds</w:t>
            </w:r>
          </w:p>
        </w:tc>
        <w:tc>
          <w:tcPr>
            <w:tcW w:type="dxa" w:w="26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Table with no narrative</w:t>
            </w:r>
          </w:p>
        </w:tc>
        <w:tc>
          <w:tcPr>
            <w:tcW w:type="dxa" w:w="42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Milestone-based: seed gets you to X, that unlocks 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Appendix</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Various</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 financials, ABS structure diagram, tech architecture detail</w:t>
            </w:r>
          </w:p>
        </w:tc>
      </w:tr>
    </w:tbl>
    <w:p>
      <w:pPr>
        <w:spacing w:after="0" w:before="240"/>
      </w:pPr>
    </w:p>
    <w:p>
      <w:pPr>
        <w:pBdr>
          <w:bottom w:val="single" w:color="DDDDDD" w:sz="4" w:space="1"/>
        </w:pBdr>
        <w:spacing w:after="160" w:before="160"/>
      </w:pPr>
    </w:p>
    <w:p>
      <w:pPr>
        <w:pStyle w:val="Heading2"/>
        <w:spacing w:after="120" w:before="280"/>
      </w:pPr>
      <w:r>
        <w:rPr>
          <w:rFonts w:ascii="Arial" w:cs="Arial" w:eastAsia="Arial" w:hAnsi="Arial"/>
          <w:b/>
          <w:bCs/>
          <w:color w:val="1A1A2E"/>
          <w:sz w:val="28"/>
          <w:szCs w:val="28"/>
        </w:rPr>
        <w:t xml:space="preserve">1.4  The Investor Pitch in One Paragraph</w:t>
      </w:r>
    </w:p>
    <w:p>
      <w:pPr>
        <w:spacing w:after="120" w:before="80"/>
      </w:pPr>
      <w:r>
        <w:rPr>
          <w:rFonts w:ascii="Arial" w:cs="Arial" w:eastAsia="Arial" w:hAnsi="Arial"/>
          <w:b w:val="false"/>
          <w:bCs w:val="false"/>
          <w:i w:val="false"/>
          <w:iCs w:val="false"/>
          <w:color w:val="333333"/>
          <w:sz w:val="22"/>
          <w:szCs w:val="22"/>
        </w:rPr>
        <w:t xml:space="preserve">This should open every version of the plan, every pitch, every one-pager:</w:t>
      </w:r>
    </w:p>
    <w:p>
      <w:pPr>
        <w:pBdr>
          <w:left w:val="thick" w:color="C0392B" w:sz="12" w:space="10"/>
        </w:pBdr>
        <w:spacing w:after="200" w:before="200"/>
        <w:ind w:left="720" w:right="720"/>
      </w:pPr>
      <w:r>
        <w:rPr>
          <w:rFonts w:ascii="Arial" w:cs="Arial" w:eastAsia="Arial" w:hAnsi="Arial"/>
          <w:i/>
          <w:iCs/>
          <w:color w:val="1A1A2E"/>
          <w:sz w:val="22"/>
          <w:szCs w:val="22"/>
        </w:rPr>
        <w:t xml:space="preserve">"Every year, the legal system generates winners and losers — and the biggest predictor of which side you end up on is how much money you can spend before the case resolves. Harvey AI and Legora are building better weapons for the people who were already winning. Kingsfield is building the weapons for everyone else. We are a Legal Intelligence Platform operating under the Arizona ABS framework — the only legal structure in the United States that allows a nonlawyer-owned company to deliver actual legal services. Our proprietary AI architecture combines an 11-model LLM council with a 4-gate citation verification pipeline to produce BigLaw-grade research and strategy, at 75% lower cost, for individual litigants, independent creators, and the small firms that serve them. We are raising $4.5M to go from working product to first 1,000 paying customers."</w:t>
      </w:r>
    </w:p>
    <w:p>
      <w:r>
        <w:br w:type="page"/>
      </w:r>
    </w:p>
    <w:p>
      <w:pPr>
        <w:spacing w:after="120" w:before="0"/>
      </w:pPr>
      <w:r>
        <w:rPr>
          <w:rFonts w:ascii="Arial" w:cs="Arial" w:eastAsia="Arial" w:hAnsi="Arial"/>
          <w:b/>
          <w:bCs/>
          <w:color w:val="C0392B"/>
          <w:sz w:val="18"/>
          <w:szCs w:val="18"/>
        </w:rPr>
        <w:t xml:space="preserve">PART II</w:t>
      </w:r>
    </w:p>
    <w:p>
      <w:pPr>
        <w:pStyle w:val="Heading1"/>
        <w:spacing w:after="120" w:before="280"/>
      </w:pPr>
      <w:r>
        <w:rPr>
          <w:rFonts w:ascii="Arial" w:cs="Arial" w:eastAsia="Arial" w:hAnsi="Arial"/>
          <w:b/>
          <w:bCs/>
          <w:color w:val="1A1A2E"/>
          <w:sz w:val="40"/>
          <w:szCs w:val="40"/>
        </w:rPr>
        <w:t xml:space="preserve">The Lawfare Doctrine</w:t>
      </w:r>
    </w:p>
    <w:p>
      <w:pPr>
        <w:spacing w:after="160" w:before="0"/>
      </w:pPr>
      <w:r>
        <w:rPr>
          <w:rFonts w:ascii="Arial" w:cs="Arial" w:eastAsia="Arial" w:hAnsi="Arial"/>
          <w:i/>
          <w:iCs/>
          <w:color w:val="555555"/>
          <w:sz w:val="24"/>
          <w:szCs w:val="24"/>
        </w:rPr>
        <w:t xml:space="preserve">Why Private Lawfare Is a Market, Not a Metaphor — and Why Kingsfield Owns It</w:t>
      </w:r>
    </w:p>
    <w:p>
      <w:pPr>
        <w:spacing w:after="160" w:before="0"/>
      </w:pPr>
      <w:r>
        <w:rPr>
          <w:rFonts w:ascii="Arial" w:cs="Arial" w:eastAsia="Arial" w:hAnsi="Arial"/>
          <w:b/>
          <w:bCs/>
          <w:color w:val="C0392B"/>
          <w:sz w:val="16"/>
          <w:szCs w:val="16"/>
        </w:rPr>
        <w:t xml:space="preserve">[ STANDALONE SECTION — INSERT AFTER 'THE PROBLEM' IN ANY VERSION OF THE BUSINESS PLAN ]</w:t>
      </w:r>
    </w:p>
    <w:p>
      <w:pPr>
        <w:pBdr>
          <w:bottom w:val="single" w:color="DDDDDD" w:sz="4" w:space="1"/>
        </w:pBdr>
        <w:spacing w:after="160" w:before="160"/>
      </w:pPr>
    </w:p>
    <w:p>
      <w:pPr>
        <w:pStyle w:val="Heading2"/>
        <w:spacing w:after="120" w:before="280"/>
      </w:pPr>
      <w:r>
        <w:rPr>
          <w:rFonts w:ascii="Arial" w:cs="Arial" w:eastAsia="Arial" w:hAnsi="Arial"/>
          <w:b/>
          <w:bCs/>
          <w:color w:val="1A1A2E"/>
          <w:sz w:val="28"/>
          <w:szCs w:val="28"/>
        </w:rPr>
        <w:t xml:space="preserve">What Lawfare Actually Is</w:t>
      </w:r>
    </w:p>
    <w:p>
      <w:pPr>
        <w:spacing w:after="120" w:before="80"/>
      </w:pPr>
      <w:r>
        <w:rPr>
          <w:rFonts w:ascii="Arial" w:cs="Arial" w:eastAsia="Arial" w:hAnsi="Arial"/>
          <w:b w:val="false"/>
          <w:bCs w:val="false"/>
          <w:i w:val="false"/>
          <w:iCs w:val="false"/>
          <w:color w:val="333333"/>
          <w:sz w:val="22"/>
          <w:szCs w:val="22"/>
        </w:rPr>
        <w:t xml:space="preserve">The word has been borrowed, twisted, and weaponized itself — which is fitting, because that is exactly what lawfare does.</w:t>
      </w:r>
    </w:p>
    <w:p>
      <w:pPr>
        <w:spacing w:after="120" w:before="80"/>
      </w:pPr>
      <w:r>
        <w:rPr>
          <w:rFonts w:ascii="Arial" w:cs="Arial" w:eastAsia="Arial" w:hAnsi="Arial"/>
          <w:b w:val="false"/>
          <w:bCs w:val="false"/>
          <w:i w:val="false"/>
          <w:iCs w:val="false"/>
          <w:color w:val="333333"/>
          <w:sz w:val="22"/>
          <w:szCs w:val="22"/>
        </w:rPr>
        <w:t xml:space="preserve">Lawfare, in its simplest form, is the use of legal systems and institutions as instruments of strategic conflict. Not crime. Not fraud. Legal process — statutes, regulations, motions, subpoenas, injunctions, appeals — deployed with the same intentionality that a general deploys troops. To advance a position. To exhaust an opponent. To create facts on the ground before any final ruling arrives.</w:t>
      </w:r>
    </w:p>
    <w:p>
      <w:pPr>
        <w:spacing w:after="120" w:before="80"/>
      </w:pPr>
      <w:r>
        <w:rPr>
          <w:rFonts w:ascii="Arial" w:cs="Arial" w:eastAsia="Arial" w:hAnsi="Arial"/>
          <w:b w:val="false"/>
          <w:bCs w:val="false"/>
          <w:i w:val="false"/>
          <w:iCs w:val="false"/>
          <w:color w:val="333333"/>
          <w:sz w:val="22"/>
          <w:szCs w:val="22"/>
        </w:rPr>
        <w:t xml:space="preserve">The term was formalized in U.S. military doctrine. Retired Air Force Colonel Charles Dunlap used it to describe how adversaries exploited American legal norms to constrain U.S. military operations — turning openness, due process, and international law into tactical vulnerabilities. Subsequent scholarship expanded it to include corporations using litigation to suppress competition, governments using regulatory process to silence dissent, and well-funded parties using discovery costs alone to bankrupt smaller opponents before a case ever reaches a jury.</w:t>
      </w:r>
    </w:p>
    <w:p>
      <w:pPr>
        <w:spacing w:after="120" w:before="80"/>
      </w:pPr>
      <w:r>
        <w:rPr>
          <w:rFonts w:ascii="Arial" w:cs="Arial" w:eastAsia="Arial" w:hAnsi="Arial"/>
          <w:b w:val="false"/>
          <w:bCs w:val="false"/>
          <w:i w:val="false"/>
          <w:iCs w:val="false"/>
          <w:color w:val="333333"/>
          <w:sz w:val="22"/>
          <w:szCs w:val="22"/>
        </w:rPr>
        <w:t xml:space="preserve">Lawfare is not a bug in the legal system. It is the operating system of everyone who can afford to run it. The question Kingsfield asks is: Why should that only be some people?</w:t>
      </w:r>
    </w:p>
    <w:p>
      <w:pPr>
        <w:pBdr>
          <w:left w:val="thick" w:color="C0392B" w:sz="12" w:space="10"/>
        </w:pBdr>
        <w:spacing w:after="200" w:before="200"/>
        <w:ind w:left="720" w:right="720"/>
      </w:pPr>
      <w:r>
        <w:rPr>
          <w:rFonts w:ascii="Arial" w:cs="Arial" w:eastAsia="Arial" w:hAnsi="Arial"/>
          <w:i/>
          <w:iCs/>
          <w:color w:val="1A1A2E"/>
          <w:sz w:val="22"/>
          <w:szCs w:val="22"/>
        </w:rPr>
        <w:t xml:space="preserve">"Lawfare is not a bug in the legal system. It is the operating system of everyone who can afford to run it."</w:t>
      </w:r>
      <w:r>
        <w:rPr>
          <w:rFonts w:ascii="Arial" w:cs="Arial" w:eastAsia="Arial" w:hAnsi="Arial"/>
          <w:b/>
          <w:bCs/>
          <w:color w:val="666666"/>
          <w:sz w:val="20"/>
          <w:szCs w:val="20"/>
        </w:rPr>
        <w:t xml:space="preserve">  — Kingsfield Lawfare</w:t>
      </w:r>
    </w:p>
    <w:p>
      <w:pPr>
        <w:pStyle w:val="Heading2"/>
        <w:spacing w:after="120" w:before="280"/>
      </w:pPr>
      <w:r>
        <w:rPr>
          <w:rFonts w:ascii="Arial" w:cs="Arial" w:eastAsia="Arial" w:hAnsi="Arial"/>
          <w:b/>
          <w:bCs/>
          <w:color w:val="1A1A2E"/>
          <w:sz w:val="28"/>
          <w:szCs w:val="28"/>
        </w:rPr>
        <w:t xml:space="preserve">The Market Already Exists — It Just Has No Name</w:t>
      </w:r>
    </w:p>
    <w:p>
      <w:pPr>
        <w:spacing w:after="120" w:before="80"/>
      </w:pPr>
      <w:r>
        <w:rPr>
          <w:rFonts w:ascii="Arial" w:cs="Arial" w:eastAsia="Arial" w:hAnsi="Arial"/>
          <w:b w:val="false"/>
          <w:bCs w:val="false"/>
          <w:i w:val="false"/>
          <w:iCs w:val="false"/>
          <w:color w:val="333333"/>
          <w:sz w:val="22"/>
          <w:szCs w:val="22"/>
        </w:rPr>
        <w:t xml:space="preserve">Private lawfare is not a new phenomenon. It is what BigLaw has been selling to Fortune 500 companies for decades — under different names.</w:t>
      </w:r>
    </w:p>
    <w:p>
      <w:pPr>
        <w:spacing w:after="120" w:before="80"/>
      </w:pPr>
      <w:r>
        <w:rPr>
          <w:rFonts w:ascii="Arial" w:cs="Arial" w:eastAsia="Arial" w:hAnsi="Arial"/>
          <w:b w:val="false"/>
          <w:bCs w:val="false"/>
          <w:i w:val="false"/>
          <w:iCs w:val="false"/>
          <w:color w:val="333333"/>
          <w:sz w:val="22"/>
          <w:szCs w:val="22"/>
        </w:rPr>
        <w:t xml:space="preserve">When a major pharmaceutical company employs 50 patent litigators to bury a generic competitor in IPR proceedings, that is lawfare. When a real estate developer uses SLAPP suits to silence neighborhood opposition, that is lawfare. When a private equity-backed firm uses arbitration clauses and venue selection to make consumer disputes economically irrational to pursue, that is lawfare.</w:t>
      </w:r>
    </w:p>
    <w:p>
      <w:pPr>
        <w:spacing w:after="120" w:before="80"/>
      </w:pPr>
      <w:r>
        <w:rPr>
          <w:rFonts w:ascii="Arial" w:cs="Arial" w:eastAsia="Arial" w:hAnsi="Arial"/>
          <w:b w:val="false"/>
          <w:bCs w:val="false"/>
          <w:i w:val="false"/>
          <w:iCs w:val="false"/>
          <w:color w:val="333333"/>
          <w:sz w:val="22"/>
          <w:szCs w:val="22"/>
        </w:rPr>
        <w:t xml:space="preserve">The buyers of private lawfare are not limited to corporations. A distinct and underserved class of individual and small-group clients needs exactly this — and has no provider:</w:t>
      </w:r>
    </w:p>
    <w:p>
      <w:pPr>
        <w:pStyle w:val="ListParagraph"/>
        <w:numPr>
          <w:ilvl w:val="0"/>
          <w:numId w:val="2"/>
        </w:numPr>
        <w:spacing w:after="60" w:before="60"/>
      </w:pPr>
      <w:r>
        <w:rPr>
          <w:rFonts w:ascii="Arial" w:cs="Arial" w:eastAsia="Arial" w:hAnsi="Arial"/>
          <w:color w:val="333333"/>
          <w:sz w:val="22"/>
          <w:szCs w:val="22"/>
        </w:rPr>
        <w:t xml:space="preserve">Pro se family court litigants fighting custody disputes against parties with lawyers</w:t>
      </w:r>
    </w:p>
    <w:p>
      <w:pPr>
        <w:pStyle w:val="ListParagraph"/>
        <w:numPr>
          <w:ilvl w:val="0"/>
          <w:numId w:val="2"/>
        </w:numPr>
        <w:spacing w:after="60" w:before="60"/>
      </w:pPr>
      <w:r>
        <w:rPr>
          <w:rFonts w:ascii="Arial" w:cs="Arial" w:eastAsia="Arial" w:hAnsi="Arial"/>
          <w:color w:val="333333"/>
          <w:sz w:val="22"/>
          <w:szCs w:val="22"/>
        </w:rPr>
        <w:t xml:space="preserve">Independent artists and creators contesting IP infringement by larger entities</w:t>
      </w:r>
    </w:p>
    <w:p>
      <w:pPr>
        <w:pStyle w:val="ListParagraph"/>
        <w:numPr>
          <w:ilvl w:val="0"/>
          <w:numId w:val="2"/>
        </w:numPr>
        <w:spacing w:after="60" w:before="60"/>
      </w:pPr>
      <w:r>
        <w:rPr>
          <w:rFonts w:ascii="Arial" w:cs="Arial" w:eastAsia="Arial" w:hAnsi="Arial"/>
          <w:color w:val="333333"/>
          <w:sz w:val="22"/>
          <w:szCs w:val="22"/>
        </w:rPr>
        <w:t xml:space="preserve">Small landlords and tenants navigating increasingly complex housing regulations</w:t>
      </w:r>
    </w:p>
    <w:p>
      <w:pPr>
        <w:pStyle w:val="ListParagraph"/>
        <w:numPr>
          <w:ilvl w:val="0"/>
          <w:numId w:val="2"/>
        </w:numPr>
        <w:spacing w:after="60" w:before="60"/>
      </w:pPr>
      <w:r>
        <w:rPr>
          <w:rFonts w:ascii="Arial" w:cs="Arial" w:eastAsia="Arial" w:hAnsi="Arial"/>
          <w:color w:val="333333"/>
          <w:sz w:val="22"/>
          <w:szCs w:val="22"/>
        </w:rPr>
        <w:t xml:space="preserve">Startup founders defending against non-compete and trade secret claims from former employers</w:t>
      </w:r>
    </w:p>
    <w:p>
      <w:pPr>
        <w:pStyle w:val="ListParagraph"/>
        <w:numPr>
          <w:ilvl w:val="0"/>
          <w:numId w:val="2"/>
        </w:numPr>
        <w:spacing w:after="60" w:before="60"/>
      </w:pPr>
      <w:r>
        <w:rPr>
          <w:rFonts w:ascii="Arial" w:cs="Arial" w:eastAsia="Arial" w:hAnsi="Arial"/>
          <w:color w:val="333333"/>
          <w:sz w:val="22"/>
          <w:szCs w:val="22"/>
        </w:rPr>
        <w:t xml:space="preserve">Whistleblowers navigating retaliation claims and False Claims Act filings</w:t>
      </w:r>
    </w:p>
    <w:p>
      <w:pPr>
        <w:pStyle w:val="ListParagraph"/>
        <w:numPr>
          <w:ilvl w:val="0"/>
          <w:numId w:val="2"/>
        </w:numPr>
        <w:spacing w:after="60" w:before="60"/>
      </w:pPr>
      <w:r>
        <w:rPr>
          <w:rFonts w:ascii="Arial" w:cs="Arial" w:eastAsia="Arial" w:hAnsi="Arial"/>
          <w:color w:val="333333"/>
          <w:sz w:val="22"/>
          <w:szCs w:val="22"/>
        </w:rPr>
        <w:t xml:space="preserve">Small businesses facing regulatory enforcement with no compliance infrastructure</w:t>
      </w:r>
    </w:p>
    <w:p>
      <w:pPr>
        <w:pStyle w:val="ListParagraph"/>
        <w:numPr>
          <w:ilvl w:val="0"/>
          <w:numId w:val="2"/>
        </w:numPr>
        <w:spacing w:after="60" w:before="60"/>
      </w:pPr>
      <w:r>
        <w:rPr>
          <w:rFonts w:ascii="Arial" w:cs="Arial" w:eastAsia="Arial" w:hAnsi="Arial"/>
          <w:color w:val="333333"/>
          <w:sz w:val="22"/>
          <w:szCs w:val="22"/>
        </w:rPr>
        <w:t xml:space="preserve">Individual investors and entrepreneurs who have been defrauded and need strategy to recover</w:t>
      </w:r>
    </w:p>
    <w:p>
      <w:pPr>
        <w:spacing w:after="120" w:before="80"/>
      </w:pPr>
      <w:r>
        <w:rPr>
          <w:rFonts w:ascii="Arial" w:cs="Arial" w:eastAsia="Arial" w:hAnsi="Arial"/>
          <w:b w:val="false"/>
          <w:bCs w:val="false"/>
          <w:i w:val="false"/>
          <w:iCs w:val="false"/>
          <w:color w:val="333333"/>
          <w:sz w:val="22"/>
          <w:szCs w:val="22"/>
        </w:rPr>
        <w:t xml:space="preserve">This client base — tens of millions of Americans — has money, has a fight, and has been systematically underserved by every legal services provider in existence. LegalZoom gives them document templates. Reddit gives them bad advice. And the legal system takes the rest.</w:t>
      </w:r>
    </w:p>
    <w:p>
      <w:pPr>
        <w:pStyle w:val="Heading2"/>
        <w:spacing w:after="120" w:before="280"/>
      </w:pPr>
      <w:r>
        <w:rPr>
          <w:rFonts w:ascii="Arial" w:cs="Arial" w:eastAsia="Arial" w:hAnsi="Arial"/>
          <w:b/>
          <w:bCs/>
          <w:color w:val="1A1A2E"/>
          <w:sz w:val="28"/>
          <w:szCs w:val="28"/>
        </w:rPr>
        <w:t xml:space="preserve">What Private Lawfare Requires</w:t>
      </w:r>
    </w:p>
    <w:p>
      <w:pPr>
        <w:spacing w:after="120" w:before="80"/>
      </w:pPr>
      <w:r>
        <w:rPr>
          <w:rFonts w:ascii="Arial" w:cs="Arial" w:eastAsia="Arial" w:hAnsi="Arial"/>
          <w:b w:val="false"/>
          <w:bCs w:val="false"/>
          <w:i w:val="false"/>
          <w:iCs w:val="false"/>
          <w:color w:val="333333"/>
          <w:sz w:val="22"/>
          <w:szCs w:val="22"/>
        </w:rPr>
        <w:t xml:space="preserve">Effective lawfare — whether waged by a nation-state, a corporation, or an individual — requires the same five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Traditional Provider (Cost)</w:t>
            </w:r>
          </w:p>
        </w:tc>
        <w:tc>
          <w:tcPr>
            <w:tcW w:type="dxa" w:w="3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Kingsfield Delivers</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Intelligence &amp; Research</w:t>
            </w:r>
          </w:p>
        </w:tc>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Law firm paralegals at $150-300/hr</w:t>
            </w:r>
          </w:p>
        </w:tc>
        <w:tc>
          <w:tcPr>
            <w:tcW w:type="dxa" w:w="39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AI-powered legal research, case mapping, citation verification — minutes, not hours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Strategic Planning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Senior partner war-room at $800-1,500/hr</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11-model LLM Council generating strategy memos and argument maps in under 30 minutes</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Adversarial Simulation</w:t>
            </w:r>
          </w:p>
        </w:tc>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Moot courts — rarely available outside BigLaw</w:t>
            </w:r>
          </w:p>
        </w:tc>
        <w:tc>
          <w:tcPr>
            <w:tcW w:type="dxa" w:w="39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Multi-agent pressure-testing of every argument before filing. Opposing counsel perspective included.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Document Production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Associate teams billing 10-80 hours per filing</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Draft generation in 20 minutes, verified, cite-checked, jurisdiction-appropriate</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Jurisdictional Intelligence</w:t>
            </w:r>
          </w:p>
        </w:tc>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Local counsel relationships, years of experience</w:t>
            </w:r>
          </w:p>
        </w:tc>
        <w:tc>
          <w:tcPr>
            <w:tcW w:type="dxa" w:w="39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State-specific regulatory mapping, precedent analysis, forum selection guidance</w:t>
            </w:r>
          </w:p>
        </w:tc>
      </w:tr>
    </w:tbl>
    <w:p>
      <w:pPr>
        <w:spacing w:after="0" w:before="200"/>
      </w:pPr>
    </w:p>
    <w:p>
      <w:pPr>
        <w:spacing w:after="120" w:before="80"/>
      </w:pPr>
      <w:r>
        <w:rPr>
          <w:rFonts w:ascii="Arial" w:cs="Arial" w:eastAsia="Arial" w:hAnsi="Arial"/>
          <w:b w:val="false"/>
          <w:bCs w:val="false"/>
          <w:i w:val="false"/>
          <w:iCs w:val="false"/>
          <w:color w:val="333333"/>
          <w:sz w:val="22"/>
          <w:szCs w:val="22"/>
        </w:rPr>
        <w:t xml:space="preserve">None of these capabilities has ever been available to anyone outside a fully-staffed law firm or corporate legal department. The technology now exists to deliver all five at a fraction of the cost. What has been missing is a platform architected specifically for strategic legal conflict — not document assembly, not research as a standalone product, but the complete intelligence-and-execution stack that a litigant in an actual fight needs.</w:t>
      </w:r>
    </w:p>
    <w:p>
      <w:pPr>
        <w:spacing w:after="120" w:before="80"/>
      </w:pPr>
      <w:r>
        <w:rPr>
          <w:rFonts w:ascii="Arial" w:cs="Arial" w:eastAsia="Arial" w:hAnsi="Arial"/>
          <w:b w:val="false"/>
          <w:bCs w:val="false"/>
          <w:i w:val="false"/>
          <w:iCs w:val="false"/>
          <w:color w:val="333333"/>
          <w:sz w:val="22"/>
          <w:szCs w:val="22"/>
        </w:rPr>
        <w:t xml:space="preserve">That is what Kingsfield is.</w:t>
      </w:r>
    </w:p>
    <w:p>
      <w:pPr>
        <w:pStyle w:val="Heading2"/>
        <w:spacing w:after="120" w:before="280"/>
      </w:pPr>
      <w:r>
        <w:rPr>
          <w:rFonts w:ascii="Arial" w:cs="Arial" w:eastAsia="Arial" w:hAnsi="Arial"/>
          <w:b/>
          <w:bCs/>
          <w:color w:val="1A1A2E"/>
          <w:sz w:val="28"/>
          <w:szCs w:val="28"/>
        </w:rPr>
        <w:t xml:space="preserve">The Regulatory Structure as Strategic Asset</w:t>
      </w:r>
    </w:p>
    <w:p>
      <w:pPr>
        <w:spacing w:after="120" w:before="80"/>
      </w:pPr>
      <w:r>
        <w:rPr>
          <w:rFonts w:ascii="Arial" w:cs="Arial" w:eastAsia="Arial" w:hAnsi="Arial"/>
          <w:b w:val="false"/>
          <w:bCs w:val="false"/>
          <w:i w:val="false"/>
          <w:iCs w:val="false"/>
          <w:color w:val="333333"/>
          <w:sz w:val="22"/>
          <w:szCs w:val="22"/>
        </w:rPr>
        <w:t xml:space="preserve">Every other legal AI company in the market — Harvey, Legora, LexisNexis Protege, Westlaw Precision — sells software to lawyers. They are tools, not actors. They cannot provide legal services. They cannot represent a client. They cannot operate the way a law firm operates.</w:t>
      </w:r>
    </w:p>
    <w:p>
      <w:pPr>
        <w:spacing w:after="120" w:before="80"/>
      </w:pPr>
      <w:r>
        <w:rPr>
          <w:rFonts w:ascii="Arial" w:cs="Arial" w:eastAsia="Arial" w:hAnsi="Arial"/>
          <w:b w:val="false"/>
          <w:bCs w:val="false"/>
          <w:i w:val="false"/>
          <w:iCs w:val="false"/>
          <w:color w:val="333333"/>
          <w:sz w:val="22"/>
          <w:szCs w:val="22"/>
        </w:rPr>
        <w:t xml:space="preserve">Kingsfield is different at the structural level.</w:t>
      </w:r>
    </w:p>
    <w:p>
      <w:pPr>
        <w:spacing w:after="120" w:before="80"/>
      </w:pPr>
      <w:r>
        <w:rPr>
          <w:rFonts w:ascii="Arial" w:cs="Arial" w:eastAsia="Arial" w:hAnsi="Arial"/>
          <w:b w:val="false"/>
          <w:bCs w:val="false"/>
          <w:i w:val="false"/>
          <w:iCs w:val="false"/>
          <w:color w:val="333333"/>
          <w:sz w:val="22"/>
          <w:szCs w:val="22"/>
        </w:rPr>
        <w:t xml:space="preserve">Operating under the Arizona Alternative Business Structure (ABS) framework, Kingsfield is organized as a licensed legal services entity that can include nonlawyer owners, employ AI-augmented workflows, and deliver actual legal services directly to clients under lawyer supervision. The ABS structure is not a loophole. It is a deliberate regulatory innovation that Arizona created specifically to expand legal access. Kingsfield was built inside it.</w:t>
      </w:r>
    </w:p>
    <w:p>
      <w:pPr>
        <w:spacing w:after="120" w:before="80"/>
      </w:pPr>
      <w:r>
        <w:rPr>
          <w:rFonts w:ascii="Arial" w:cs="Arial" w:eastAsia="Arial" w:hAnsi="Arial"/>
          <w:b w:val="false"/>
          <w:bCs w:val="false"/>
          <w:i w:val="false"/>
          <w:iCs w:val="false"/>
          <w:color w:val="333333"/>
          <w:sz w:val="22"/>
          <w:szCs w:val="22"/>
        </w:rPr>
        <w:t xml:space="preserve">What this means in practice:</w:t>
      </w:r>
    </w:p>
    <w:p>
      <w:pPr>
        <w:pStyle w:val="ListParagraph"/>
        <w:numPr>
          <w:ilvl w:val="0"/>
          <w:numId w:val="2"/>
        </w:numPr>
        <w:spacing w:after="60" w:before="60"/>
      </w:pPr>
      <w:r>
        <w:rPr>
          <w:rFonts w:ascii="Arial" w:cs="Arial" w:eastAsia="Arial" w:hAnsi="Arial"/>
          <w:color w:val="333333"/>
          <w:sz w:val="22"/>
          <w:szCs w:val="22"/>
        </w:rPr>
        <w:t xml:space="preserve">Kingsfield can offer legal services — not just legal information — to consumers and businesses</w:t>
      </w:r>
    </w:p>
    <w:p>
      <w:pPr>
        <w:pStyle w:val="ListParagraph"/>
        <w:numPr>
          <w:ilvl w:val="0"/>
          <w:numId w:val="2"/>
        </w:numPr>
        <w:spacing w:after="60" w:before="60"/>
      </w:pPr>
      <w:r>
        <w:rPr>
          <w:rFonts w:ascii="Arial" w:cs="Arial" w:eastAsia="Arial" w:hAnsi="Arial"/>
          <w:color w:val="333333"/>
          <w:sz w:val="22"/>
          <w:szCs w:val="22"/>
        </w:rPr>
        <w:t xml:space="preserve">Kingsfield can be owned and governed by nonlawyers without triggering unauthorized practice of law liability</w:t>
      </w:r>
    </w:p>
    <w:p>
      <w:pPr>
        <w:pStyle w:val="ListParagraph"/>
        <w:numPr>
          <w:ilvl w:val="0"/>
          <w:numId w:val="2"/>
        </w:numPr>
        <w:spacing w:after="60" w:before="60"/>
      </w:pPr>
      <w:r>
        <w:rPr>
          <w:rFonts w:ascii="Arial" w:cs="Arial" w:eastAsia="Arial" w:hAnsi="Arial"/>
          <w:color w:val="333333"/>
          <w:sz w:val="22"/>
          <w:szCs w:val="22"/>
        </w:rPr>
        <w:t xml:space="preserve">Kingsfield can integrate AI agents into the legal services workflow under a documented compliance regime</w:t>
      </w:r>
    </w:p>
    <w:p>
      <w:pPr>
        <w:pStyle w:val="ListParagraph"/>
        <w:numPr>
          <w:ilvl w:val="0"/>
          <w:numId w:val="2"/>
        </w:numPr>
        <w:spacing w:after="60" w:before="60"/>
      </w:pPr>
      <w:r>
        <w:rPr>
          <w:rFonts w:ascii="Arial" w:cs="Arial" w:eastAsia="Arial" w:hAnsi="Arial"/>
          <w:color w:val="333333"/>
          <w:sz w:val="22"/>
          <w:szCs w:val="22"/>
        </w:rPr>
        <w:t xml:space="preserve">No competitor can replicate this without restructuring their entire ownership, governance, and compliance infrastructure from scratch</w:t>
      </w:r>
    </w:p>
    <w:p>
      <w:pPr>
        <w:spacing w:after="120" w:before="80"/>
      </w:pPr>
      <w:r>
        <w:rPr>
          <w:rFonts w:ascii="Arial" w:cs="Arial" w:eastAsia="Arial" w:hAnsi="Arial"/>
          <w:b w:val="false"/>
          <w:bCs w:val="false"/>
          <w:i w:val="false"/>
          <w:iCs w:val="false"/>
          <w:color w:val="333333"/>
          <w:sz w:val="22"/>
          <w:szCs w:val="22"/>
        </w:rPr>
        <w:t xml:space="preserve">This is not a feature. It is a moat. The regulatory path that Kingsfield has walked would take any competitor years and significant capital to replicate — if regulators in their jurisdictions would permit it at all.</w:t>
      </w:r>
    </w:p>
    <w:p>
      <w:pPr>
        <w:pStyle w:val="Heading2"/>
        <w:spacing w:after="120" w:before="280"/>
      </w:pPr>
      <w:r>
        <w:rPr>
          <w:rFonts w:ascii="Arial" w:cs="Arial" w:eastAsia="Arial" w:hAnsi="Arial"/>
          <w:b/>
          <w:bCs/>
          <w:color w:val="1A1A2E"/>
          <w:sz w:val="28"/>
          <w:szCs w:val="28"/>
        </w:rPr>
        <w:t xml:space="preserve">The Mission: Democratizing Lawfare</w:t>
      </w:r>
    </w:p>
    <w:p>
      <w:pPr>
        <w:pBdr>
          <w:left w:val="thick" w:color="C0392B" w:sz="12" w:space="10"/>
        </w:pBdr>
        <w:spacing w:after="200" w:before="200"/>
        <w:ind w:left="720" w:right="720"/>
      </w:pPr>
      <w:r>
        <w:rPr>
          <w:rFonts w:ascii="Arial" w:cs="Arial" w:eastAsia="Arial" w:hAnsi="Arial"/>
          <w:i/>
          <w:iCs/>
          <w:color w:val="1A1A2E"/>
          <w:sz w:val="22"/>
          <w:szCs w:val="22"/>
        </w:rPr>
        <w:t xml:space="preserve">"Know the rules. Use them."</w:t>
      </w:r>
      <w:r>
        <w:rPr>
          <w:rFonts w:ascii="Arial" w:cs="Arial" w:eastAsia="Arial" w:hAnsi="Arial"/>
          <w:b/>
          <w:bCs/>
          <w:color w:val="666666"/>
          <w:sz w:val="20"/>
          <w:szCs w:val="20"/>
        </w:rPr>
        <w:t xml:space="preserve">  — Kingsfield</w:t>
      </w:r>
    </w:p>
    <w:p>
      <w:pPr>
        <w:spacing w:after="120" w:before="80"/>
      </w:pPr>
      <w:r>
        <w:rPr>
          <w:rFonts w:ascii="Arial" w:cs="Arial" w:eastAsia="Arial" w:hAnsi="Arial"/>
          <w:b w:val="false"/>
          <w:bCs w:val="false"/>
          <w:i w:val="false"/>
          <w:iCs w:val="false"/>
          <w:color w:val="333333"/>
          <w:sz w:val="22"/>
          <w:szCs w:val="22"/>
        </w:rPr>
        <w:t xml:space="preserve">There is nothing inherently unjust about using the law strategically. The injustice is that strategic legal capability has been rationed by wealth.</w:t>
      </w:r>
    </w:p>
    <w:p>
      <w:pPr>
        <w:spacing w:after="120" w:before="80"/>
      </w:pPr>
      <w:r>
        <w:rPr>
          <w:rFonts w:ascii="Arial" w:cs="Arial" w:eastAsia="Arial" w:hAnsi="Arial"/>
          <w:b w:val="false"/>
          <w:bCs w:val="false"/>
          <w:i w:val="false"/>
          <w:iCs w:val="false"/>
          <w:color w:val="333333"/>
          <w:sz w:val="22"/>
          <w:szCs w:val="22"/>
        </w:rPr>
        <w:t xml:space="preserve">A parent in a custody dispute who cannot afford to respond to every motion filed by a well-funded opposing party is not losing because the law is against them. They are losing because they cannot afford to run the process. A small business facing a contract dispute with a larger company is not losing because the contract favors the other side. They are losing because the cost of discovery and depositions exceeds what the case is worth to pursue.</w:t>
      </w:r>
    </w:p>
    <w:p>
      <w:pPr>
        <w:spacing w:after="120" w:before="80"/>
      </w:pPr>
      <w:r>
        <w:rPr>
          <w:rFonts w:ascii="Arial" w:cs="Arial" w:eastAsia="Arial" w:hAnsi="Arial"/>
          <w:b w:val="false"/>
          <w:bCs w:val="false"/>
          <w:i w:val="false"/>
          <w:iCs w:val="false"/>
          <w:color w:val="333333"/>
          <w:sz w:val="22"/>
          <w:szCs w:val="22"/>
        </w:rPr>
        <w:t xml:space="preserve">This is the access gap Kingsfield closes — not by making the law simpler, but by making the strategy behind the law available to everyone. The law is already public. The cases are already published. The rules are already written. The only thing that costs money is the map.</w:t>
      </w:r>
    </w:p>
    <w:p>
      <w:pPr>
        <w:spacing w:after="120" w:before="80"/>
      </w:pPr>
      <w:r>
        <w:rPr>
          <w:rFonts w:ascii="Arial" w:cs="Arial" w:eastAsia="Arial" w:hAnsi="Arial"/>
          <w:b w:val="false"/>
          <w:bCs w:val="false"/>
          <w:i w:val="false"/>
          <w:iCs w:val="false"/>
          <w:color w:val="333333"/>
          <w:sz w:val="22"/>
          <w:szCs w:val="22"/>
        </w:rPr>
        <w:t xml:space="preserve">Kingsfield is the map.</w:t>
      </w:r>
    </w:p>
    <w:p>
      <w:pPr>
        <w:spacing w:after="120" w:before="80"/>
      </w:pPr>
      <w:r>
        <w:rPr>
          <w:rFonts w:ascii="Arial" w:cs="Arial" w:eastAsia="Arial" w:hAnsi="Arial"/>
          <w:b w:val="false"/>
          <w:bCs w:val="false"/>
          <w:i w:val="false"/>
          <w:iCs w:val="false"/>
          <w:color w:val="333333"/>
          <w:sz w:val="22"/>
          <w:szCs w:val="22"/>
        </w:rPr>
        <w:t xml:space="preserve">We do not pretend to be lawyers. We do not give legal advice. We give something more valuable in a contested situation: clarity, leverage, and a plan. We show you what the law actually says, what cases actually held, what the other side's likely moves are, and what your response options cost in time and money. We run your arguments through an adversarial council before they leave the building. We pressure-test your strategy the way opposing counsel's team already is — except we do it in 20 minutes, not 20 hours.</w:t>
      </w:r>
    </w:p>
    <w:p>
      <w:pPr>
        <w:spacing w:after="120" w:before="80"/>
      </w:pPr>
      <w:r>
        <w:rPr>
          <w:rFonts w:ascii="Arial" w:cs="Arial" w:eastAsia="Arial" w:hAnsi="Arial"/>
          <w:b w:val="false"/>
          <w:bCs w:val="false"/>
          <w:i w:val="false"/>
          <w:iCs w:val="false"/>
          <w:color w:val="333333"/>
          <w:sz w:val="22"/>
          <w:szCs w:val="22"/>
        </w:rPr>
        <w:t xml:space="preserve">Private lawfare has always existed. Until now, it has never been affordable.</w:t>
      </w:r>
    </w:p>
    <w:p>
      <w:pPr>
        <w:pStyle w:val="Heading2"/>
        <w:spacing w:after="120" w:before="280"/>
      </w:pPr>
      <w:r>
        <w:rPr>
          <w:rFonts w:ascii="Arial" w:cs="Arial" w:eastAsia="Arial" w:hAnsi="Arial"/>
          <w:b/>
          <w:bCs/>
          <w:color w:val="1A1A2E"/>
          <w:sz w:val="28"/>
          <w:szCs w:val="28"/>
        </w:rPr>
        <w:t xml:space="preserve">The Three Postures Kingsfield Enables</w:t>
      </w:r>
    </w:p>
    <w:p>
      <w:pPr>
        <w:pStyle w:val="Heading3"/>
        <w:spacing w:after="120" w:before="280"/>
      </w:pPr>
      <w:r>
        <w:rPr>
          <w:rFonts w:ascii="Arial" w:cs="Arial" w:eastAsia="Arial" w:hAnsi="Arial"/>
          <w:b/>
          <w:bCs/>
          <w:color w:val="1A1A2E"/>
          <w:sz w:val="24"/>
          <w:szCs w:val="24"/>
        </w:rPr>
        <w:t xml:space="preserve">Defensive Lawfare — Protect What You Have</w:t>
      </w:r>
    </w:p>
    <w:p>
      <w:pPr>
        <w:spacing w:after="120" w:before="80"/>
      </w:pPr>
      <w:r>
        <w:rPr>
          <w:rFonts w:ascii="Arial" w:cs="Arial" w:eastAsia="Arial" w:hAnsi="Arial"/>
          <w:b w:val="false"/>
          <w:bCs w:val="false"/>
          <w:i w:val="false"/>
          <w:iCs w:val="false"/>
          <w:color w:val="333333"/>
          <w:sz w:val="22"/>
          <w:szCs w:val="22"/>
        </w:rPr>
        <w:t xml:space="preserve">For clients who are being sued, threatened, or regulated against their will. The priority is containment: understand the exposure, identify the strongest defenses, file the right responses, avoid the procedural traps that bleed money before the merits are ever reached. Kingsfield's research and document analysis capabilities are most valuable here.</w:t>
      </w:r>
    </w:p>
    <w:p>
      <w:pPr>
        <w:pStyle w:val="Heading3"/>
        <w:spacing w:after="120" w:before="280"/>
      </w:pPr>
      <w:r>
        <w:rPr>
          <w:rFonts w:ascii="Arial" w:cs="Arial" w:eastAsia="Arial" w:hAnsi="Arial"/>
          <w:b/>
          <w:bCs/>
          <w:color w:val="1A1A2E"/>
          <w:sz w:val="24"/>
          <w:szCs w:val="24"/>
        </w:rPr>
        <w:t xml:space="preserve">Offensive Lawfare — Take Back Ground</w:t>
      </w:r>
    </w:p>
    <w:p>
      <w:pPr>
        <w:spacing w:after="120" w:before="80"/>
      </w:pPr>
      <w:r>
        <w:rPr>
          <w:rFonts w:ascii="Arial" w:cs="Arial" w:eastAsia="Arial" w:hAnsi="Arial"/>
          <w:b w:val="false"/>
          <w:bCs w:val="false"/>
          <w:i w:val="false"/>
          <w:iCs w:val="false"/>
          <w:color w:val="333333"/>
          <w:sz w:val="22"/>
          <w:szCs w:val="22"/>
        </w:rPr>
        <w:t xml:space="preserve">For clients who have been wronged and need to act. The priority is leverage: identify viable claims, calculate the realistic value of the dispute, assess opponent resources and litigation appetite, and build a strategy that maximizes settlement pressure before trial costs become prohibitive. Kingsfield's adversarial simulation and strategic analysis capabilities are most valuable here.</w:t>
      </w:r>
    </w:p>
    <w:p>
      <w:pPr>
        <w:pStyle w:val="Heading3"/>
        <w:spacing w:after="120" w:before="280"/>
      </w:pPr>
      <w:r>
        <w:rPr>
          <w:rFonts w:ascii="Arial" w:cs="Arial" w:eastAsia="Arial" w:hAnsi="Arial"/>
          <w:b/>
          <w:bCs/>
          <w:color w:val="1A1A2E"/>
          <w:sz w:val="24"/>
          <w:szCs w:val="24"/>
        </w:rPr>
        <w:t xml:space="preserve">Compliance Lawfare — Win Before the Fight Starts</w:t>
      </w:r>
    </w:p>
    <w:p>
      <w:pPr>
        <w:spacing w:after="120" w:before="80"/>
      </w:pPr>
      <w:r>
        <w:rPr>
          <w:rFonts w:ascii="Arial" w:cs="Arial" w:eastAsia="Arial" w:hAnsi="Arial"/>
          <w:b w:val="false"/>
          <w:bCs w:val="false"/>
          <w:i w:val="false"/>
          <w:iCs w:val="false"/>
          <w:color w:val="333333"/>
          <w:sz w:val="22"/>
          <w:szCs w:val="22"/>
        </w:rPr>
        <w:t xml:space="preserve">For clients who want to structure their affairs so they are never in the losing position to begin with. Contracts that actually protect them. IP properly documented. Employment arrangements that don't create liability. Regulatory exposure mapped before an agency finds it first. Kingsfield's document analysis and jurisdictional intelligence capabilities are most valuable here.</w:t>
      </w:r>
    </w:p>
    <w:p>
      <w:pPr>
        <w:pBdr>
          <w:bottom w:val="single" w:color="DDDDDD" w:sz="4" w:space="1"/>
        </w:pBdr>
        <w:spacing w:after="160" w:before="160"/>
      </w:pPr>
    </w:p>
    <w:p>
      <w:pPr>
        <w:pStyle w:val="Heading2"/>
        <w:spacing w:after="120" w:before="280"/>
      </w:pPr>
      <w:r>
        <w:rPr>
          <w:rFonts w:ascii="Arial" w:cs="Arial" w:eastAsia="Arial" w:hAnsi="Arial"/>
          <w:b/>
          <w:bCs/>
          <w:color w:val="1A1A2E"/>
          <w:sz w:val="28"/>
          <w:szCs w:val="28"/>
        </w:rPr>
        <w:t xml:space="preserve">Why This Section Belongs in the Business Plan</w:t>
      </w:r>
    </w:p>
    <w:p>
      <w:pPr>
        <w:spacing w:after="120" w:before="80"/>
      </w:pPr>
      <w:r>
        <w:rPr>
          <w:rFonts w:ascii="Arial" w:cs="Arial" w:eastAsia="Arial" w:hAnsi="Arial"/>
          <w:b w:val="false"/>
          <w:bCs w:val="false"/>
          <w:i w:val="false"/>
          <w:iCs w:val="false"/>
          <w:color w:val="333333"/>
          <w:sz w:val="22"/>
          <w:szCs w:val="22"/>
        </w:rPr>
        <w:t xml:space="preserve">Every other legal AI company tells investors: 'We make lawyers more efficient.' That story is true, fundable, and increasingly crowded.</w:t>
      </w:r>
    </w:p>
    <w:p>
      <w:pPr>
        <w:spacing w:after="120" w:before="80"/>
      </w:pPr>
      <w:r>
        <w:rPr>
          <w:rFonts w:ascii="Arial" w:cs="Arial" w:eastAsia="Arial" w:hAnsi="Arial"/>
          <w:b w:val="false"/>
          <w:bCs w:val="false"/>
          <w:i w:val="false"/>
          <w:iCs w:val="false"/>
          <w:color w:val="333333"/>
          <w:sz w:val="22"/>
          <w:szCs w:val="22"/>
        </w:rPr>
        <w:t xml:space="preserve">Kingsfield tells a different story: 'We give everyone else a fighting chance.' That story is true, fundable, and almost entirely unclaimed.</w:t>
      </w:r>
    </w:p>
    <w:p>
      <w:pPr>
        <w:spacing w:after="120" w:before="80"/>
      </w:pPr>
      <w:r>
        <w:rPr>
          <w:rFonts w:ascii="Arial" w:cs="Arial" w:eastAsia="Arial" w:hAnsi="Arial"/>
          <w:b w:val="false"/>
          <w:bCs w:val="false"/>
          <w:i w:val="false"/>
          <w:iCs w:val="false"/>
          <w:color w:val="333333"/>
          <w:sz w:val="22"/>
          <w:szCs w:val="22"/>
        </w:rPr>
        <w:t xml:space="preserve">This section does three things the rest of the plan cannot do alone:</w:t>
      </w:r>
    </w:p>
    <w:p>
      <w:pPr>
        <w:pStyle w:val="ListParagraph"/>
        <w:numPr>
          <w:ilvl w:val="0"/>
          <w:numId w:val="2"/>
        </w:numPr>
        <w:spacing w:after="60" w:before="60"/>
      </w:pPr>
      <w:r>
        <w:rPr>
          <w:rFonts w:ascii="Arial" w:cs="Arial" w:eastAsia="Arial" w:hAnsi="Arial"/>
          <w:color w:val="333333"/>
          <w:sz w:val="22"/>
          <w:szCs w:val="22"/>
        </w:rPr>
        <w:t xml:space="preserve">It defines the category. Before an investor can believe that a market exists, they need a name for it and a description of what it contains. Private lawfare is that name.</w:t>
      </w:r>
    </w:p>
    <w:p>
      <w:pPr>
        <w:pStyle w:val="ListParagraph"/>
        <w:numPr>
          <w:ilvl w:val="0"/>
          <w:numId w:val="2"/>
        </w:numPr>
        <w:spacing w:after="60" w:before="60"/>
      </w:pPr>
      <w:r>
        <w:rPr>
          <w:rFonts w:ascii="Arial" w:cs="Arial" w:eastAsia="Arial" w:hAnsi="Arial"/>
          <w:color w:val="333333"/>
          <w:sz w:val="22"/>
          <w:szCs w:val="22"/>
        </w:rPr>
        <w:t xml:space="preserve">It explains the brand. 'Kingsfield Lawfare' without explanation sounds aggressive and politically loaded. With explanation, it sounds like a precise description of a real capability.</w:t>
      </w:r>
    </w:p>
    <w:p>
      <w:pPr>
        <w:pStyle w:val="ListParagraph"/>
        <w:numPr>
          <w:ilvl w:val="0"/>
          <w:numId w:val="2"/>
        </w:numPr>
        <w:spacing w:after="60" w:before="60"/>
      </w:pPr>
      <w:r>
        <w:rPr>
          <w:rFonts w:ascii="Arial" w:cs="Arial" w:eastAsia="Arial" w:hAnsi="Arial"/>
          <w:color w:val="333333"/>
          <w:sz w:val="22"/>
          <w:szCs w:val="22"/>
        </w:rPr>
        <w:t xml:space="preserve">It creates the emotional case for the investment. Market size statistics are forgettable. The image of a parent in family court outgunned by the other side's attorney — and knowing that the tools to close that gap exist and have been locked behind a $400/hour paywall — that is not forgettable.</w:t>
      </w:r>
    </w:p>
    <w:p>
      <w:pPr>
        <w:spacing w:after="120" w:before="80"/>
      </w:pPr>
      <w:r>
        <w:rPr>
          <w:rFonts w:ascii="Arial" w:cs="Arial" w:eastAsia="Arial" w:hAnsi="Arial"/>
          <w:b/>
          <w:bCs/>
          <w:i w:val="false"/>
          <w:iCs w:val="false"/>
          <w:color w:val="333333"/>
          <w:sz w:val="22"/>
          <w:szCs w:val="22"/>
        </w:rPr>
        <w:t xml:space="preserve">The numbers make the case for the mind. The doctrine makes the case for the gut. You need both.</w:t>
      </w:r>
    </w:p>
    <w:p>
      <w:pPr>
        <w:spacing w:after="200" w:before="200"/>
      </w:pPr>
    </w:p>
    <w:p>
      <w:pPr>
        <w:pBdr>
          <w:left w:val="thick" w:color="C0392B" w:sz="12" w:space="10"/>
        </w:pBdr>
        <w:spacing w:after="200" w:before="200"/>
        <w:ind w:left="720" w:right="720"/>
      </w:pPr>
      <w:r>
        <w:rPr>
          <w:rFonts w:ascii="Arial" w:cs="Arial" w:eastAsia="Arial" w:hAnsi="Arial"/>
          <w:i/>
          <w:iCs/>
          <w:color w:val="1A1A2E"/>
          <w:sz w:val="22"/>
          <w:szCs w:val="22"/>
        </w:rPr>
        <w:t xml:space="preserve">"There are some battles in life you must win. For those, there's Kingsfield."</w:t>
      </w:r>
      <w:r>
        <w:rPr>
          <w:rFonts w:ascii="Arial" w:cs="Arial" w:eastAsia="Arial" w:hAnsi="Arial"/>
          <w:b/>
          <w:bCs/>
          <w:color w:val="666666"/>
          <w:sz w:val="20"/>
          <w:szCs w:val="20"/>
        </w:rPr>
        <w:t xml:space="preserve">  — Kingsfield Lawfare</w:t>
      </w:r>
    </w:p>
    <w:p>
      <w:pPr>
        <w:pBdr>
          <w:bottom w:val="single" w:color="DDDDDD" w:sz="4" w:space="1"/>
        </w:pBdr>
        <w:spacing w:after="160" w:before="160"/>
      </w:pPr>
    </w:p>
    <w:p>
      <w:pPr>
        <w:spacing w:after="80" w:before="200"/>
        <w:jc w:val="center"/>
      </w:pPr>
      <w:r>
        <w:rPr>
          <w:rFonts w:ascii="Arial" w:cs="Arial" w:eastAsia="Arial" w:hAnsi="Arial"/>
          <w:color w:val="888888"/>
          <w:sz w:val="18"/>
          <w:szCs w:val="18"/>
        </w:rPr>
        <w:t xml:space="preserve">KINGSFIELD LAWFARE  |  CONFIDENTIAL  |  JUNE 2026</w:t>
      </w:r>
    </w:p>
    <w:p>
      <w:pPr>
        <w:spacing w:after="0" w:before="0"/>
        <w:jc w:val="center"/>
      </w:pPr>
      <w:r>
        <w:rPr>
          <w:rFonts w:ascii="Arial" w:cs="Arial" w:eastAsia="Arial" w:hAnsi="Arial"/>
          <w:i/>
          <w:iCs/>
          <w:color w:val="C0392B"/>
          <w:sz w:val="18"/>
          <w:szCs w:val="18"/>
        </w:rPr>
        <w:t xml:space="preserve">Smart. Not Stupid.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2026-06-17T21:03:15.071Z</dcterms:created>
  <dcterms:modified xsi:type="dcterms:W3CDTF">2026-06-17T21:03:15.071Z</dcterms:modified>
</cp:coreProperties>
</file>

<file path=docProps/custom.xml><?xml version="1.0" encoding="utf-8"?>
<Properties xmlns="http://schemas.openxmlformats.org/officeDocument/2006/custom-properties" xmlns:vt="http://schemas.openxmlformats.org/officeDocument/2006/docPropsVTypes"/>
</file>