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LCSW Payer Code Matrix</w:t>
      </w:r>
    </w:p>
    <w:p>
      <w:pPr>
        <w:spacing w:after="80"/>
      </w:pPr>
      <w:r>
        <w:rPr>
          <w:rFonts w:ascii="Calibri" w:cs="Calibri" w:eastAsia="Calibri" w:hAnsi="Calibri"/>
          <w:color w:val="595959"/>
          <w:sz w:val="20"/>
          <w:szCs w:val="20"/>
        </w:rPr>
        <w:t xml:space="preserve">Licensed Clinical Social Worker billing reference and payer rate worksheet  •  Prepared October 13, 2026</w:t>
      </w:r>
    </w:p>
    <w:p>
      <w:pPr>
        <w:spacing w:after="80"/>
      </w:pPr>
      <w:r>
        <w:rPr>
          <w:rFonts w:ascii="Calibri" w:cs="Calibri" w:eastAsia="Calibri" w:hAnsi="Calibri"/>
          <w:b/>
          <w:bCs/>
          <w:sz w:val="18"/>
          <w:szCs w:val="18"/>
        </w:rPr>
        <w:t xml:space="preserve">How to use this: </w:t>
      </w:r>
      <w:r>
        <w:rPr>
          <w:rFonts w:ascii="Calibri" w:cs="Calibri" w:eastAsia="Calibri" w:hAnsi="Calibri"/>
          <w:sz w:val="18"/>
          <w:szCs w:val="18"/>
        </w:rPr>
        <w:t xml:space="preserve">The Medicare column is filled in from CMS sources (letter in brackets = source, see the end). Every other payer column is blank on purpose. Fill them in only from that payer's contract fee schedule exhibit, provider manual, or written answer from provider relations. Write the date and source next to each rate.</w:t>
      </w:r>
    </w:p>
    <w:p>
      <w:pPr>
        <w:pStyle w:val="Heading2"/>
        <w:spacing w:after="80" w:before="180"/>
      </w:pPr>
      <w:r>
        <w:rPr>
          <w:rFonts w:ascii="Calibri" w:cs="Calibri" w:eastAsia="Calibri" w:hAnsi="Calibri"/>
          <w:b/>
          <w:bCs/>
          <w:color w:val="1F3864"/>
          <w:sz w:val="22"/>
          <w:szCs w:val="22"/>
        </w:rPr>
        <w:t xml:space="preserve">Your identifiers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7000"/>
      </w:tblGrid>
      <w:tr>
        <w:trPr>
          <w:tblHeader/>
        </w:trPr>
        <w:tc>
          <w:tcPr>
            <w:tcW w:type="dxa" w:w="3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Item</w:t>
            </w:r>
          </w:p>
        </w:tc>
        <w:tc>
          <w:tcPr>
            <w:tcW w:type="dxa" w:w="4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Value</w:t>
            </w:r>
          </w:p>
        </w:tc>
        <w:tc>
          <w:tcPr>
            <w:tcW w:type="dxa" w:w="7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Where it comes from</w:t>
            </w:r>
          </w:p>
        </w:tc>
      </w:tr>
      <w:tr>
        <w:trPr>
          <w:cantSplit/>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NPI taxonomy code</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1041C0700X (Social Worker, Clinical)</w:t>
            </w:r>
          </w:p>
        </w:tc>
        <w:tc>
          <w:tcPr>
            <w:tcW w:type="dxa" w:w="7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NUCC Health Care Provider Taxonomy code set. This is the code on your NPI record and, for some payers, on the claim.</w:t>
            </w:r>
          </w:p>
        </w:tc>
      </w:tr>
      <w:tr>
        <w:trPr>
          <w:cantSplit/>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Medicare specialty code</w:t>
            </w:r>
          </w:p>
        </w:tc>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80 (provider type 56)</w:t>
            </w:r>
          </w:p>
        </w:tc>
        <w:tc>
          <w:tcPr>
            <w:tcW w:type="dxa" w:w="7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CMS Medicare Claims Processing Manual, Ch. 12 §150: "CSWs are identified on the provider file by specialty code 80 and provider type 56."</w:t>
            </w:r>
          </w:p>
        </w:tc>
      </w:tr>
      <w:tr>
        <w:trPr>
          <w:cantSplit/>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Medicare payment</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75% of the Physician Fee Schedule amount</w:t>
            </w:r>
          </w:p>
        </w:tc>
        <w:tc>
          <w:tcPr>
            <w:tcW w:type="dxa" w:w="7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CMS Claims Processing Manual, Ch. 12 §150.</w:t>
            </w:r>
          </w:p>
        </w:tc>
      </w:tr>
      <w:tr>
        <w:trPr>
          <w:cantSplit/>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Medicare assignment</w:t>
            </w:r>
          </w:p>
        </w:tc>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Required (you must accept Medicare's allowed amount)</w:t>
            </w:r>
          </w:p>
        </w:tc>
        <w:tc>
          <w:tcPr>
            <w:tcW w:type="dxa" w:w="7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CMS Benefit Policy Manual, Ch. 15 §170.F and Claims Processing Manual, Ch. 12 §150.</w:t>
            </w:r>
          </w:p>
        </w:tc>
      </w:tr>
      <w:tr>
        <w:trPr>
          <w:cantSplit/>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What Medicare covers</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Services you are licensed to perform under state law, for the diagnosis and treatment of mental illness, of a type Medicare would cover if a physician did them</w:t>
            </w:r>
          </w:p>
        </w:tc>
        <w:tc>
          <w:tcPr>
            <w:tcW w:type="dxa" w:w="7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CMS Benefit Policy Manual, Ch. 15 §170.B–C; 42 CFR 410.73.</w:t>
            </w:r>
          </w:p>
        </w:tc>
      </w:tr>
    </w:tbl>
    <w:p>
      <w:pPr>
        <w:pStyle w:val="Heading1"/>
        <w:spacing w:after="120" w:before="240"/>
      </w:pPr>
      <w:r>
        <w:rPr>
          <w:rFonts w:ascii="Calibri" w:cs="Calibri" w:eastAsia="Calibri" w:hAnsi="Calibri"/>
          <w:b/>
          <w:bCs/>
          <w:color w:val="1F3864"/>
          <w:sz w:val="28"/>
          <w:szCs w:val="28"/>
        </w:rPr>
        <w:t xml:space="preserve">1. Code matrix</w:t>
      </w:r>
    </w:p>
    <w:p>
      <w:pPr>
        <w:spacing w:after="80"/>
      </w:pPr>
      <w:r>
        <w:rPr>
          <w:rFonts w:ascii="Calibri" w:cs="Calibri" w:eastAsia="Calibri" w:hAnsi="Calibri"/>
          <w:b/>
          <w:bCs/>
          <w:sz w:val="18"/>
          <w:szCs w:val="18"/>
        </w:rPr>
        <w:t xml:space="preserve">Medicare rate formula: </w:t>
      </w:r>
      <w:r>
        <w:rPr>
          <w:rFonts w:ascii="Calibri" w:cs="Calibri" w:eastAsia="Calibri" w:hAnsi="Calibri"/>
          <w:sz w:val="18"/>
          <w:szCs w:val="18"/>
        </w:rPr>
        <w:t xml:space="preserve">look up the code in the CMS Physician Fee Schedule Look-Up Tool for your California locality (non-facility price for office or home telehealth), then multiply by 0.75. Example with a placeholder: if the tool shows $100.00, the LCSW amount is $100.00 × 0.75 = $75.00.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50"/>
        <w:gridCol w:w="2200"/>
        <w:gridCol w:w="3550"/>
        <w:gridCol w:w="1200"/>
        <w:gridCol w:w="1300"/>
        <w:gridCol w:w="1250"/>
        <w:gridCol w:w="1250"/>
        <w:gridCol w:w="1250"/>
        <w:gridCol w:w="125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Code</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Service (plain words)</w:t>
            </w:r>
          </w:p>
        </w:tc>
        <w:tc>
          <w:tcPr>
            <w:tcW w:type="dxa" w:w="35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Key billing rules</w:t>
            </w:r>
          </w:p>
        </w:tc>
        <w:tc>
          <w:tcPr>
            <w:tcW w:type="dxa" w:w="1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Medicare for LCSW</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Medicare rate</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Medi-Cal / Partnership</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Blue Shield</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Anthem</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Other: 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90791</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Psychiatric diagnostic evaluation (intake), no medical services</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Usually once at start of care; payer frequency limits vary.</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90832</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Psychotherapy, 30 min</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Bill for 16–37 minutes of face-to-face time.</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90834</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Psychotherapy, 45 min</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Bill for 38–52 minutes.</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90837</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Psychotherapy, 60 min</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Bill for 53 minutes or more. Some commercial payers require prior auth or review frequent use. Check policy.</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+90785</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Interactive complexity (add-on)</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Only with 90791, 90832–90834, 90837, 90853. Not with crisis codes 90839/90840. Document the specific complicating factor.</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90839</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Psychotherapy for crisis, first 60 min</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Bill for 30–74 minutes. Document urgent assessment, history of the crisis, mental status exam and disposition.</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+90840</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Psychotherapy for crisis, each additional 30 min</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Add-on to 90839 for each additional 30 minutes beyond the first 74.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90846</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Family psychotherapy, patient not present</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Focus must be the patient's treatment.</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90847</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Family psychotherapy, patient present</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Focus must be the patient's treatment.</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90853</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Group psychotherapy (not family group)</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Billed per patient in the group.</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[A]</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96156</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Health behavior assessment or re-assessment</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Health and behavior codes are for psychological and behavioral factors affecting a PHYSICAL health problem (e.g., coping with chronic pain or diabetes). Not for treating a mental health diagnosis; use psychotherapy codes for that. Confirm in the CPT book.</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2024) [B]</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96158 / +96159</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Health behavior intervention, individual: first 30 min / each additional 15 min</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Same focus rule as 96156.</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2024) [B]</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96164 / +96165</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Health behavior intervention, group: first 30 min / each additional 15 min</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Same focus rule as 96156.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2024) [B]</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96167 / +96168</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Health behavior intervention, family with patient: first 30 min / each additional 15 min</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Same focus rule as 96156.</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2024) [B]</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G0323</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General behavioral health integration (BHI) care management</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Per calendar month, at least 20 minutes of care management. Requires an initiating visit and patient consent. See the CMS BHI booklet.</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2023) [C]</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G0560</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Safety planning interventions</w:t>
            </w:r>
          </w:p>
        </w:tc>
        <w:tc>
          <w:tcPr>
            <w:tcW w:type="dxa" w:w="35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Per 20 minutes. Must be personally performed by the billing practitioner.</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2025)* [D]</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r>
        <w:trPr>
          <w:cantSplit/>
        </w:trPr>
        <w:tc>
          <w:tcPr>
            <w:tcW w:type="dxa" w:w="115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5"/>
                <w:szCs w:val="15"/>
              </w:rPr>
              <w:t xml:space="preserve">G0544</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Post-discharge telephonic follow-up contacts after a crisis encounter</w:t>
            </w:r>
          </w:p>
        </w:tc>
        <w:tc>
          <w:tcPr>
            <w:tcW w:type="dxa" w:w="35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Monthly bundle of 4 calls after an ED or hospital discharge for a crisis. Specific protocol and consent rules apply.</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Yes (since 2025)* [D]</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From PFS × 0.75</w:t>
            </w:r>
          </w:p>
          <w:p>
            <w:pPr>
              <w:spacing w:after="20"/>
            </w:pPr>
            <w:r>
              <w:rPr>
                <w:rFonts w:ascii="Calibri" w:cs="Calibri" w:eastAsia="Calibri" w:hAnsi="Calibri"/>
                <w:b w:val="false"/>
                <w:bCs w:val="false"/>
                <w:sz w:val="15"/>
                <w:szCs w:val="15"/>
              </w:rPr>
              <w:t xml:space="preserve">$________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c>
          <w:tcPr>
            <w:tcW w:type="dxa" w:w="12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5"/>
                <w:szCs w:val="15"/>
              </w:rPr>
              <w:t xml:space="preserve">☐ Yes  ☐ No</w:t>
            </w:r>
          </w:p>
          <w:p>
            <w:pPr>
              <w:spacing w:after="20"/>
            </w:pPr>
            <w:r>
              <w:rPr>
                <w:rFonts w:ascii="Calibri" w:cs="Calibri" w:eastAsia="Calibri" w:hAnsi="Calibri"/>
                <w:b w:val="false"/>
                <w:bCs w:val="false"/>
                <w:sz w:val="15"/>
                <w:szCs w:val="15"/>
              </w:rPr>
              <w:t xml:space="preserve">Rate $________</w:t>
            </w:r>
          </w:p>
        </w:tc>
      </w:tr>
    </w:tbl>
    <w:p>
      <w:pPr>
        <w:spacing w:after="120"/>
      </w:pPr>
      <w:r>
        <w:rPr>
          <w:rFonts w:ascii="Calibri" w:cs="Calibri" w:eastAsia="Calibri" w:hAnsi="Calibri"/>
          <w:i/>
          <w:iCs/>
          <w:sz w:val="16"/>
          <w:szCs w:val="16"/>
        </w:rPr>
        <w:t xml:space="preserve">+ = add-on code (never billed alone).  * G0560 and G0544: confirmed for clinical social workers by NASW's 2025 guidance; the Federal Register text was not reviewed. Verify before billing.</w:t>
      </w:r>
    </w:p>
    <w:p>
      <w:pPr>
        <w:pStyle w:val="Heading2"/>
        <w:spacing w:after="80" w:before="180"/>
      </w:pPr>
      <w:r>
        <w:rPr>
          <w:rFonts w:ascii="Calibri" w:cs="Calibri" w:eastAsia="Calibri" w:hAnsi="Calibri"/>
          <w:b/>
          <w:bCs/>
          <w:color w:val="1F3864"/>
          <w:sz w:val="22"/>
          <w:szCs w:val="22"/>
        </w:rPr>
        <w:t xml:space="preserve">Not billable by an LCSW (any payer)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720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Code(s)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Service</w:t>
            </w:r>
          </w:p>
        </w:tc>
        <w:tc>
          <w:tcPr>
            <w:tcW w:type="dxa" w:w="7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Why</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99202–99215</w:t>
            </w:r>
          </w:p>
        </w:tc>
        <w:tc>
          <w:tcPr>
            <w:tcW w:type="dxa" w:w="4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Office/outpatient evaluation and management (E/M) visits</w:t>
            </w:r>
          </w:p>
        </w:tc>
        <w:tc>
          <w:tcPr>
            <w:tcW w:type="dxa" w:w="7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E/M codes are for physicians and other practitioners who furnish medical services.</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90792</w:t>
            </w:r>
          </w:p>
        </w:tc>
        <w:tc>
          <w:tcPr>
            <w:tcW w:type="dxa" w:w="48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Diagnostic evaluation WITH medical services</w:t>
            </w:r>
          </w:p>
        </w:tc>
        <w:tc>
          <w:tcPr>
            <w:tcW w:type="dxa" w:w="7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Includes medical services, which are outside an LCSW's scope. LCSWs use 90791.</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+90833, +90836, +90838</w:t>
            </w:r>
          </w:p>
        </w:tc>
        <w:tc>
          <w:tcPr>
            <w:tcW w:type="dxa" w:w="4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Psychotherapy add-ons with an E/M visit</w:t>
            </w:r>
          </w:p>
        </w:tc>
        <w:tc>
          <w:tcPr>
            <w:tcW w:type="dxa" w:w="7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Only billable on top of an E/M code, which an LCSW cannot bill.</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Medication management</w:t>
            </w:r>
          </w:p>
        </w:tc>
        <w:tc>
          <w:tcPr>
            <w:tcW w:type="dxa" w:w="48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Prescribing or managing psychiatric medication</w:t>
            </w:r>
          </w:p>
        </w:tc>
        <w:tc>
          <w:tcPr>
            <w:tcW w:type="dxa" w:w="7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Outside an LCSW's scope of practice.</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Inpatient hospital / SNF services</w:t>
            </w:r>
          </w:p>
        </w:tc>
        <w:tc>
          <w:tcPr>
            <w:tcW w:type="dxa" w:w="4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Services to hospital inpatients, or SNF services the SNF must provide</w:t>
            </w:r>
          </w:p>
        </w:tc>
        <w:tc>
          <w:tcPr>
            <w:tcW w:type="dxa" w:w="7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Excluded by Medicare (Benefit Policy Manual Ch. 15 §170.D).</w:t>
            </w:r>
          </w:p>
        </w:tc>
      </w:tr>
    </w:tbl>
    <w:p>
      <w:pPr>
        <w:pStyle w:val="Heading2"/>
        <w:spacing w:after="80" w:before="180"/>
      </w:pPr>
      <w:r>
        <w:rPr>
          <w:rFonts w:ascii="Calibri" w:cs="Calibri" w:eastAsia="Calibri" w:hAnsi="Calibri"/>
          <w:b/>
          <w:bCs/>
          <w:color w:val="1F3864"/>
          <w:sz w:val="22"/>
          <w:szCs w:val="22"/>
        </w:rPr>
        <w:t xml:space="preserve">Could not confirm: check before billing</w:t>
      </w:r>
    </w:p>
    <w:p>
      <w:pPr>
        <w:pStyle w:val="ListParagraph"/>
        <w:numPr>
          <w:ilvl w:val="0"/>
          <w:numId w:val="2"/>
        </w:numPr>
        <w:spacing w:after="40"/>
      </w:pPr>
      <w:r>
        <w:rPr>
          <w:rFonts w:ascii="Calibri" w:cs="Calibri" w:eastAsia="Calibri" w:hAnsi="Calibri"/>
          <w:sz w:val="18"/>
          <w:szCs w:val="18"/>
        </w:rPr>
        <w:t xml:space="preserve">Psychological testing (96130 and related codes): sources disagree on whether a California LCSW can bill these. Check the California BBS scope of practice and each payer's policy.</w:t>
      </w:r>
    </w:p>
    <w:p>
      <w:pPr>
        <w:pStyle w:val="ListParagraph"/>
        <w:numPr>
          <w:ilvl w:val="0"/>
          <w:numId w:val="2"/>
        </w:numPr>
        <w:spacing w:after="40"/>
      </w:pPr>
      <w:r>
        <w:rPr>
          <w:rFonts w:ascii="Calibri" w:cs="Calibri" w:eastAsia="Calibri" w:hAnsi="Calibri"/>
          <w:sz w:val="18"/>
          <w:szCs w:val="18"/>
        </w:rPr>
        <w:t xml:space="preserve">Medi-Cal / Partnership HealthPlan: which codes Partnership pays versus the county mental health plan, and its LCSW rates. Partnership policy CLPM-28 says the county is responsible for mental health claims billed with certain codes. Get the current list from Partnership's provider manual or provider relations.</w:t>
      </w:r>
    </w:p>
    <w:p>
      <w:pPr>
        <w:pStyle w:val="ListParagraph"/>
        <w:numPr>
          <w:ilvl w:val="0"/>
          <w:numId w:val="2"/>
        </w:numPr>
        <w:spacing w:after="40"/>
      </w:pPr>
      <w:r>
        <w:rPr>
          <w:rFonts w:ascii="Calibri" w:cs="Calibri" w:eastAsia="Calibri" w:hAnsi="Calibri"/>
          <w:sz w:val="18"/>
          <w:szCs w:val="18"/>
        </w:rPr>
        <w:t xml:space="preserve">Any commercial payer's covered codes, rates, and prior authorization rules: these come only from your contract and that payer's policies.</w:t>
      </w:r>
    </w:p>
    <w:p>
      <w:pPr>
        <w:pStyle w:val="ListParagraph"/>
        <w:numPr>
          <w:ilvl w:val="0"/>
          <w:numId w:val="2"/>
        </w:numPr>
        <w:spacing w:after="40"/>
      </w:pPr>
      <w:r>
        <w:rPr>
          <w:rFonts w:ascii="Calibri" w:cs="Calibri" w:eastAsia="Calibri" w:hAnsi="Calibri"/>
          <w:sz w:val="18"/>
          <w:szCs w:val="18"/>
        </w:rPr>
        <w:t xml:space="preserve">Medicare telehealth rules for mental health (for example, any in-person visit requirement) have changed several times. Check the current CMS telehealth guidance before billing telehealth.</w:t>
      </w:r>
    </w:p>
    <w:p>
      <w:pPr>
        <w:pStyle w:val="Heading1"/>
        <w:spacing w:after="120" w:before="240"/>
      </w:pPr>
      <w:r>
        <w:rPr>
          <w:rFonts w:ascii="Calibri" w:cs="Calibri" w:eastAsia="Calibri" w:hAnsi="Calibri"/>
          <w:b/>
          <w:bCs/>
          <w:color w:val="1F3864"/>
          <w:sz w:val="28"/>
          <w:szCs w:val="28"/>
        </w:rPr>
        <w:t xml:space="preserve">2. Where each payer's list comes from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gridCol w:w="600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Payer type</w:t>
            </w:r>
          </w:p>
        </w:tc>
        <w:tc>
          <w:tcPr>
            <w:tcW w:type="dxa" w:w="6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What they publish or give you</w:t>
            </w:r>
          </w:p>
        </w:tc>
        <w:tc>
          <w:tcPr>
            <w:tcW w:type="dxa" w:w="6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What to do</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Medicare</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Public rules instead of a personal list: CMS manuals, the Physician Fee Schedule, NCCI edits, and Noridian (JE, California) local policies and articles.</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Use the PFS Look-Up Tool for rates (× 0.75). Check NCCI edits before billing two codes on the same day.</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Medi-Cal (DHCS)</w:t>
            </w:r>
          </w:p>
        </w:tc>
        <w:tc>
          <w:tcPr>
            <w:tcW w:type="dxa" w:w="6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Medi-Cal Provider Manual and the Medi-Cal fee schedule (public).</w:t>
            </w:r>
          </w:p>
        </w:tc>
        <w:tc>
          <w:tcPr>
            <w:tcW w:type="dxa" w:w="6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Confirm the code is open to LCSWs and whether it goes to the managed care plan or the county.</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Partnership HealthPlan</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Provider manual, policies (e.g., CLPM-28), and your contract or delegation agreement.</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Ask provider relations for the LCSW code and rate list in writing.</w:t>
            </w:r>
          </w:p>
        </w:tc>
      </w:tr>
      <w:tr>
        <w:trPr>
          <w:cantSplit/>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Commercial (Blue Shield, Anthem, etc.)</w:t>
            </w:r>
          </w:p>
        </w:tc>
        <w:tc>
          <w:tcPr>
            <w:tcW w:type="dxa" w:w="6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 fee schedule exhibit in the contract (often only the codes you ask about) plus reimbursement policies on the provider portal.</w:t>
            </w:r>
          </w:p>
        </w:tc>
        <w:tc>
          <w:tcPr>
            <w:tcW w:type="dxa" w:w="6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Before signing, send the payer your code list (Section 1) and ask for the LCSW rate on each one. That is also when you negotiate.</w:t>
            </w:r>
          </w:p>
        </w:tc>
      </w:tr>
    </w:tbl>
    <w:p>
      <w:pPr>
        <w:pStyle w:val="Heading2"/>
        <w:spacing w:after="80" w:before="180"/>
      </w:pPr>
      <w:r>
        <w:rPr>
          <w:rFonts w:ascii="Calibri" w:cs="Calibri" w:eastAsia="Calibri" w:hAnsi="Calibri"/>
          <w:b/>
          <w:bCs/>
          <w:color w:val="1F3864"/>
          <w:sz w:val="22"/>
          <w:szCs w:val="22"/>
        </w:rPr>
        <w:t xml:space="preserve">Script for requesting a fee schedule</w:t>
      </w:r>
    </w:p>
    <w:p>
      <w:pPr>
        <w:spacing w:after="80"/>
      </w:pPr>
      <w:r>
        <w:rPr>
          <w:rFonts w:ascii="Calibri" w:cs="Calibri" w:eastAsia="Calibri" w:hAnsi="Calibri"/>
          <w:i/>
          <w:iCs/>
          <w:sz w:val="18"/>
          <w:szCs w:val="18"/>
        </w:rPr>
        <w:t xml:space="preserve">"Hello, I am contracting as a Licensed Clinical Social Worker (taxonomy 1041C0700X, NPI __________). Please send the contracted rates for LCSW providers for the following codes: 90791, 90832, 90834, 90837, 90785, 90839, 90840, 90846, 90847, 90853, 96156, 96158, 96159. Please also confirm any prior authorization or frequency limits for these codes, and the telehealth place of service and modifier you require. Thank you."</w:t>
      </w:r>
    </w:p>
    <w:p>
      <w:pPr>
        <w:pStyle w:val="Heading1"/>
        <w:spacing w:after="120" w:before="240"/>
      </w:pPr>
      <w:r>
        <w:rPr>
          <w:rFonts w:ascii="Calibri" w:cs="Calibri" w:eastAsia="Calibri" w:hAnsi="Calibri"/>
          <w:b/>
          <w:bCs/>
          <w:color w:val="1F3864"/>
          <w:sz w:val="28"/>
          <w:szCs w:val="28"/>
        </w:rPr>
        <w:t xml:space="preserve">3. Billing instructions: get paid for everything you earned</w:t>
      </w:r>
    </w:p>
    <w:p>
      <w:pPr>
        <w:spacing w:after="80"/>
      </w:pPr>
      <w:r>
        <w:rPr>
          <w:rFonts w:ascii="Calibri" w:cs="Calibri" w:eastAsia="Calibri" w:hAnsi="Calibri"/>
          <w:b/>
          <w:bCs/>
          <w:color w:val="C00000"/>
          <w:sz w:val="18"/>
          <w:szCs w:val="18"/>
        </w:rPr>
        <w:t xml:space="preserve">Bill exactly what you did and documented. Billing a higher code than the documentation supports (upcoding) is fraud. The steps below are about not leaving earned money unpaid.</w:t>
      </w:r>
    </w:p>
    <w:p>
      <w:pPr>
        <w:pStyle w:val="Heading2"/>
        <w:spacing w:after="80" w:before="180"/>
      </w:pPr>
      <w:r>
        <w:rPr>
          <w:rFonts w:ascii="Calibri" w:cs="Calibri" w:eastAsia="Calibri" w:hAnsi="Calibri"/>
          <w:b/>
          <w:bCs/>
          <w:color w:val="1F3864"/>
          <w:sz w:val="22"/>
          <w:szCs w:val="22"/>
        </w:rPr>
        <w:t xml:space="preserve">Before the visit</w:t>
      </w:r>
    </w:p>
    <w:p>
      <w:pPr>
        <w:pStyle w:val="ListParagraph"/>
        <w:numPr>
          <w:ilvl w:val="0"/>
          <w:numId w:val="3"/>
        </w:numPr>
        <w:spacing w:after="50"/>
      </w:pPr>
      <w:r>
        <w:rPr>
          <w:rFonts w:ascii="Calibri" w:cs="Calibri" w:eastAsia="Calibri" w:hAnsi="Calibri"/>
          <w:sz w:val="18"/>
          <w:szCs w:val="18"/>
        </w:rPr>
        <w:t xml:space="preserve">Verify eligibility and benefits for the date of service: active coverage, mental health benefit, copay, deductible, and whether behavioral health is carved out to another plan or the county.</w:t>
      </w:r>
    </w:p>
    <w:p>
      <w:pPr>
        <w:pStyle w:val="ListParagraph"/>
        <w:numPr>
          <w:ilvl w:val="0"/>
          <w:numId w:val="3"/>
        </w:numPr>
        <w:spacing w:after="50"/>
      </w:pPr>
      <w:r>
        <w:rPr>
          <w:rFonts w:ascii="Calibri" w:cs="Calibri" w:eastAsia="Calibri" w:hAnsi="Calibri"/>
          <w:sz w:val="18"/>
          <w:szCs w:val="18"/>
        </w:rPr>
        <w:t xml:space="preserve">Check prior authorization rules for the code you expect to bill (commonly 90837, crisis codes, or a high number of visits).</w:t>
      </w:r>
    </w:p>
    <w:p>
      <w:pPr>
        <w:pStyle w:val="ListParagraph"/>
        <w:numPr>
          <w:ilvl w:val="0"/>
          <w:numId w:val="3"/>
        </w:numPr>
        <w:spacing w:after="50"/>
      </w:pPr>
      <w:r>
        <w:rPr>
          <w:rFonts w:ascii="Calibri" w:cs="Calibri" w:eastAsia="Calibri" w:hAnsi="Calibri"/>
          <w:sz w:val="18"/>
          <w:szCs w:val="18"/>
        </w:rPr>
        <w:t xml:space="preserve">Confirm you are credentialed and contracted with that payer, and that your NPI and taxonomy match their records.</w:t>
      </w:r>
    </w:p>
    <w:p>
      <w:pPr>
        <w:pStyle w:val="Heading2"/>
        <w:spacing w:after="80" w:before="180"/>
      </w:pPr>
      <w:r>
        <w:rPr>
          <w:rFonts w:ascii="Calibri" w:cs="Calibri" w:eastAsia="Calibri" w:hAnsi="Calibri"/>
          <w:b/>
          <w:bCs/>
          <w:color w:val="1F3864"/>
          <w:sz w:val="22"/>
          <w:szCs w:val="22"/>
        </w:rPr>
        <w:t xml:space="preserve">During and after the visit (documentation)</w:t>
      </w:r>
    </w:p>
    <w:p>
      <w:pPr>
        <w:pStyle w:val="ListParagraph"/>
        <w:numPr>
          <w:ilvl w:val="0"/>
          <w:numId w:val="3"/>
        </w:numPr>
        <w:spacing w:after="50"/>
      </w:pPr>
      <w:r>
        <w:rPr>
          <w:rFonts w:ascii="Calibri" w:cs="Calibri" w:eastAsia="Calibri" w:hAnsi="Calibri"/>
          <w:sz w:val="18"/>
          <w:szCs w:val="18"/>
        </w:rPr>
        <w:t xml:space="preserve">Record start and stop times for every timed code. The time decides the code: 90832 = 16–37 min, 90834 = 38–52 min, 90837 = 53+ min.</w:t>
      </w:r>
    </w:p>
    <w:p>
      <w:pPr>
        <w:pStyle w:val="ListParagraph"/>
        <w:numPr>
          <w:ilvl w:val="0"/>
          <w:numId w:val="3"/>
        </w:numPr>
        <w:spacing w:after="50"/>
      </w:pPr>
      <w:r>
        <w:rPr>
          <w:rFonts w:ascii="Calibri" w:cs="Calibri" w:eastAsia="Calibri" w:hAnsi="Calibri"/>
          <w:sz w:val="18"/>
          <w:szCs w:val="18"/>
        </w:rPr>
        <w:t xml:space="preserve">When you use an add-on code (90785, 90840, 96159, 96165, 96168), document why it was needed and the time.</w:t>
      </w:r>
    </w:p>
    <w:p>
      <w:pPr>
        <w:pStyle w:val="ListParagraph"/>
        <w:numPr>
          <w:ilvl w:val="0"/>
          <w:numId w:val="3"/>
        </w:numPr>
        <w:spacing w:after="50"/>
      </w:pPr>
      <w:r>
        <w:rPr>
          <w:rFonts w:ascii="Calibri" w:cs="Calibri" w:eastAsia="Calibri" w:hAnsi="Calibri"/>
          <w:sz w:val="18"/>
          <w:szCs w:val="18"/>
        </w:rPr>
        <w:t xml:space="preserve">Link every code to a diagnosis code that supports it, coded to the highest specificity the documentation allows.</w:t>
      </w:r>
    </w:p>
    <w:p>
      <w:pPr>
        <w:pStyle w:val="Heading2"/>
        <w:spacing w:after="80" w:before="180"/>
      </w:pPr>
      <w:r>
        <w:rPr>
          <w:rFonts w:ascii="Calibri" w:cs="Calibri" w:eastAsia="Calibri" w:hAnsi="Calibri"/>
          <w:b/>
          <w:bCs/>
          <w:color w:val="1F3864"/>
          <w:sz w:val="22"/>
          <w:szCs w:val="22"/>
        </w:rPr>
        <w:t xml:space="preserve">On the claim</w:t>
      </w:r>
    </w:p>
    <w:p>
      <w:pPr>
        <w:pStyle w:val="ListParagraph"/>
        <w:numPr>
          <w:ilvl w:val="0"/>
          <w:numId w:val="3"/>
        </w:numPr>
        <w:spacing w:after="50"/>
      </w:pPr>
      <w:r>
        <w:rPr>
          <w:rFonts w:ascii="Calibri" w:cs="Calibri" w:eastAsia="Calibri" w:hAnsi="Calibri"/>
          <w:sz w:val="18"/>
          <w:szCs w:val="18"/>
        </w:rPr>
        <w:t xml:space="preserve">Rendering NPI and taxonomy for the LCSW; billing NPI for the group (if billing under a group). Some payers require the taxonomy on the claim. Check each payer's rules.</w:t>
      </w:r>
    </w:p>
    <w:p>
      <w:pPr>
        <w:pStyle w:val="ListParagraph"/>
        <w:numPr>
          <w:ilvl w:val="0"/>
          <w:numId w:val="3"/>
        </w:numPr>
        <w:spacing w:after="50"/>
      </w:pPr>
      <w:r>
        <w:rPr>
          <w:rFonts w:ascii="Calibri" w:cs="Calibri" w:eastAsia="Calibri" w:hAnsi="Calibri"/>
          <w:sz w:val="18"/>
          <w:szCs w:val="18"/>
        </w:rPr>
        <w:t xml:space="preserve">Correct place of service. For telehealth, use the payer's required POS (Medicare: 02 or 10) and modifier (Medicare: 95; 93 for audio-only when allowed).</w:t>
      </w:r>
    </w:p>
    <w:p>
      <w:pPr>
        <w:pStyle w:val="ListParagraph"/>
        <w:numPr>
          <w:ilvl w:val="0"/>
          <w:numId w:val="3"/>
        </w:numPr>
        <w:spacing w:after="50"/>
      </w:pPr>
      <w:r>
        <w:rPr>
          <w:rFonts w:ascii="Calibri" w:cs="Calibri" w:eastAsia="Calibri" w:hAnsi="Calibri"/>
          <w:sz w:val="18"/>
          <w:szCs w:val="18"/>
        </w:rPr>
        <w:t xml:space="preserve">Check NCCI edits and medically unlikely edits (MUEs) before billing two codes on the same day or multiple units.</w:t>
      </w:r>
    </w:p>
    <w:p>
      <w:pPr>
        <w:pStyle w:val="ListParagraph"/>
        <w:numPr>
          <w:ilvl w:val="0"/>
          <w:numId w:val="3"/>
        </w:numPr>
        <w:spacing w:after="50"/>
      </w:pPr>
      <w:r>
        <w:rPr>
          <w:rFonts w:ascii="Calibri" w:cs="Calibri" w:eastAsia="Calibri" w:hAnsi="Calibri"/>
          <w:sz w:val="18"/>
          <w:szCs w:val="18"/>
        </w:rPr>
        <w:t xml:space="preserve">Submit within the payer's timely filing limit.</w:t>
      </w:r>
    </w:p>
    <w:p>
      <w:pPr>
        <w:pStyle w:val="Heading2"/>
        <w:spacing w:after="80" w:before="180"/>
      </w:pPr>
      <w:r>
        <w:rPr>
          <w:rFonts w:ascii="Calibri" w:cs="Calibri" w:eastAsia="Calibri" w:hAnsi="Calibri"/>
          <w:b/>
          <w:bCs/>
          <w:color w:val="1F3864"/>
          <w:sz w:val="22"/>
          <w:szCs w:val="22"/>
        </w:rPr>
        <w:t xml:space="preserve">After payment</w:t>
      </w:r>
    </w:p>
    <w:p>
      <w:pPr>
        <w:pStyle w:val="ListParagraph"/>
        <w:numPr>
          <w:ilvl w:val="0"/>
          <w:numId w:val="3"/>
        </w:numPr>
        <w:spacing w:after="50"/>
      </w:pPr>
      <w:r>
        <w:rPr>
          <w:rFonts w:ascii="Calibri" w:cs="Calibri" w:eastAsia="Calibri" w:hAnsi="Calibri"/>
          <w:sz w:val="18"/>
          <w:szCs w:val="18"/>
        </w:rPr>
        <w:t xml:space="preserve">Compare each payment to the rate in this matrix. Underpayments against a contract can be appealed.</w:t>
      </w:r>
    </w:p>
    <w:p>
      <w:pPr>
        <w:pStyle w:val="ListParagraph"/>
        <w:numPr>
          <w:ilvl w:val="0"/>
          <w:numId w:val="3"/>
        </w:numPr>
        <w:spacing w:after="50"/>
      </w:pPr>
      <w:r>
        <w:rPr>
          <w:rFonts w:ascii="Calibri" w:cs="Calibri" w:eastAsia="Calibri" w:hAnsi="Calibri"/>
          <w:sz w:val="18"/>
          <w:szCs w:val="18"/>
        </w:rPr>
        <w:t xml:space="preserve">Track denials by reason code. Repeated denials usually point to a fixable front-end problem (eligibility, authorization, taxonomy, POS/modifier).</w:t>
      </w:r>
    </w:p>
    <w:p>
      <w:pPr>
        <w:pStyle w:val="ListParagraph"/>
        <w:numPr>
          <w:ilvl w:val="0"/>
          <w:numId w:val="3"/>
        </w:numPr>
        <w:spacing w:after="50"/>
      </w:pPr>
      <w:r>
        <w:rPr>
          <w:rFonts w:ascii="Calibri" w:cs="Calibri" w:eastAsia="Calibri" w:hAnsi="Calibri"/>
          <w:sz w:val="18"/>
          <w:szCs w:val="18"/>
        </w:rPr>
        <w:t xml:space="preserve">Work denials and appeals inside each payer's appeal deadline.</w:t>
      </w:r>
    </w:p>
    <w:p>
      <w:pPr>
        <w:pStyle w:val="ListParagraph"/>
        <w:numPr>
          <w:ilvl w:val="0"/>
          <w:numId w:val="3"/>
        </w:numPr>
        <w:spacing w:after="50"/>
      </w:pPr>
      <w:r>
        <w:rPr>
          <w:rFonts w:ascii="Calibri" w:cs="Calibri" w:eastAsia="Calibri" w:hAnsi="Calibri"/>
          <w:sz w:val="18"/>
          <w:szCs w:val="18"/>
        </w:rPr>
        <w:t xml:space="preserve">Renegotiate commercial rates at contract renewal using your volume, outcomes, and local market rates.</w:t>
      </w:r>
    </w:p>
    <w:p>
      <w:pPr>
        <w:pStyle w:val="Heading2"/>
        <w:spacing w:after="80" w:before="180"/>
      </w:pPr>
      <w:r>
        <w:rPr>
          <w:rFonts w:ascii="Calibri" w:cs="Calibri" w:eastAsia="Calibri" w:hAnsi="Calibri"/>
          <w:b/>
          <w:bCs/>
          <w:color w:val="1F3864"/>
          <w:sz w:val="22"/>
          <w:szCs w:val="22"/>
        </w:rPr>
        <w:t xml:space="preserve">Codes practices often miss (bill only when the service truly fits)</w:t>
      </w:r>
    </w:p>
    <w:p>
      <w:pPr>
        <w:pStyle w:val="ListParagraph"/>
        <w:numPr>
          <w:ilvl w:val="0"/>
          <w:numId w:val="2"/>
        </w:numPr>
        <w:spacing w:after="40"/>
      </w:pPr>
      <w:r>
        <w:rPr>
          <w:rFonts w:ascii="Calibri" w:cs="Calibri" w:eastAsia="Calibri" w:hAnsi="Calibri"/>
          <w:sz w:val="18"/>
          <w:szCs w:val="18"/>
        </w:rPr>
        <w:t xml:space="preserve">90785 interactive complexity, when its criteria are met and documented.</w:t>
      </w:r>
    </w:p>
    <w:p>
      <w:pPr>
        <w:pStyle w:val="ListParagraph"/>
        <w:numPr>
          <w:ilvl w:val="0"/>
          <w:numId w:val="2"/>
        </w:numPr>
        <w:spacing w:after="40"/>
      </w:pPr>
      <w:r>
        <w:rPr>
          <w:rFonts w:ascii="Calibri" w:cs="Calibri" w:eastAsia="Calibri" w:hAnsi="Calibri"/>
          <w:sz w:val="18"/>
          <w:szCs w:val="18"/>
        </w:rPr>
        <w:t xml:space="preserve">90839/90840 for real crisis sessions instead of a regular psychotherapy code.</w:t>
      </w:r>
    </w:p>
    <w:p>
      <w:pPr>
        <w:pStyle w:val="ListParagraph"/>
        <w:numPr>
          <w:ilvl w:val="0"/>
          <w:numId w:val="2"/>
        </w:numPr>
        <w:spacing w:after="40"/>
      </w:pPr>
      <w:r>
        <w:rPr>
          <w:rFonts w:ascii="Calibri" w:cs="Calibri" w:eastAsia="Calibri" w:hAnsi="Calibri"/>
          <w:sz w:val="18"/>
          <w:szCs w:val="18"/>
        </w:rPr>
        <w:t xml:space="preserve">96156–96168 health behavior codes when the focus is coping with a physical health condition.</w:t>
      </w:r>
    </w:p>
    <w:p>
      <w:pPr>
        <w:pStyle w:val="ListParagraph"/>
        <w:numPr>
          <w:ilvl w:val="0"/>
          <w:numId w:val="2"/>
        </w:numPr>
        <w:spacing w:after="40"/>
      </w:pPr>
      <w:r>
        <w:rPr>
          <w:rFonts w:ascii="Calibri" w:cs="Calibri" w:eastAsia="Calibri" w:hAnsi="Calibri"/>
          <w:sz w:val="18"/>
          <w:szCs w:val="18"/>
        </w:rPr>
        <w:t xml:space="preserve">G0323 monthly BHI care management, and G0560 safety planning (Medicare; verify with other payers).</w:t>
      </w:r>
    </w:p>
    <w:p>
      <w:pPr>
        <w:pStyle w:val="Heading1"/>
        <w:spacing w:after="120" w:before="240"/>
      </w:pPr>
      <w:r>
        <w:rPr>
          <w:rFonts w:ascii="Calibri" w:cs="Calibri" w:eastAsia="Calibri" w:hAnsi="Calibri"/>
          <w:b/>
          <w:bCs/>
          <w:color w:val="1F3864"/>
          <w:sz w:val="28"/>
          <w:szCs w:val="28"/>
        </w:rPr>
        <w:t xml:space="preserve">Sources</w:t>
      </w:r>
    </w:p>
    <w:p>
      <w:pPr>
        <w:spacing w:after="80"/>
      </w:pPr>
      <w:r>
        <w:rPr>
          <w:rFonts w:ascii="Calibri" w:cs="Calibri" w:eastAsia="Calibri" w:hAnsi="Calibri"/>
          <w:b/>
          <w:bCs/>
          <w:sz w:val="18"/>
          <w:szCs w:val="18"/>
        </w:rPr>
        <w:t xml:space="preserve">[A] </w:t>
      </w:r>
      <w:hyperlink w:history="1" r:id="rIdvabvzazv7utgy_1cra0__">
        <w:r>
          <w:rPr>
            <w:rStyle w:val="Hyperlink"/>
            <w:rFonts w:ascii="Calibri" w:cs="Calibri" w:eastAsia="Calibri" w:hAnsi="Calibri"/>
            <w:sz w:val="18"/>
            <w:szCs w:val="18"/>
          </w:rPr>
          <w:t xml:space="preserve">CMS Medicare Benefit Policy Manual, Ch. 15 §170</w:t>
        </w:r>
      </w:hyperlink>
      <w:r>
        <w:rPr>
          <w:rFonts w:ascii="Calibri" w:cs="Calibri" w:eastAsia="Calibri" w:hAnsi="Calibri"/>
          <w:sz w:val="18"/>
          <w:szCs w:val="18"/>
        </w:rPr>
        <w:t xml:space="preserve"> and </w:t>
      </w:r>
      <w:hyperlink w:history="1" r:id="rIdnbsbdhlioogxaxs7uf8je">
        <w:r>
          <w:rPr>
            <w:rStyle w:val="Hyperlink"/>
            <w:rFonts w:ascii="Calibri" w:cs="Calibri" w:eastAsia="Calibri" w:hAnsi="Calibri"/>
            <w:sz w:val="18"/>
            <w:szCs w:val="18"/>
          </w:rPr>
          <w:t xml:space="preserve">Claims Processing Manual, Ch. 12 §150</w:t>
        </w:r>
      </w:hyperlink>
      <w:r>
        <w:rPr>
          <w:rFonts w:ascii="Calibri" w:cs="Calibri" w:eastAsia="Calibri" w:hAnsi="Calibri"/>
          <w:sz w:val="18"/>
          <w:szCs w:val="18"/>
        </w:rPr>
        <w:t xml:space="preserve">. CPT time ranges and add-on rules: AMA CPT codebook (confirm in your current edition).</w:t>
      </w:r>
    </w:p>
    <w:p>
      <w:pPr>
        <w:spacing w:after="80"/>
      </w:pPr>
      <w:r>
        <w:rPr>
          <w:rFonts w:ascii="Calibri" w:cs="Calibri" w:eastAsia="Calibri" w:hAnsi="Calibri"/>
          <w:b/>
          <w:bCs/>
          <w:sz w:val="18"/>
          <w:szCs w:val="18"/>
        </w:rPr>
        <w:t xml:space="preserve">[B] </w:t>
      </w:r>
      <w:hyperlink w:history="1" r:id="rIdijlxs7veux1xmy2kkeyb3">
        <w:r>
          <w:rPr>
            <w:rStyle w:val="Hyperlink"/>
            <w:rFonts w:ascii="Calibri" w:cs="Calibri" w:eastAsia="Calibri" w:hAnsi="Calibri"/>
            <w:sz w:val="18"/>
            <w:szCs w:val="18"/>
          </w:rPr>
          <w:t xml:space="preserve">NASW: Highlights for Social Workers in the 2024 Physician Fee Schedule</w:t>
        </w:r>
      </w:hyperlink>
      <w:r>
        <w:rPr>
          <w:rFonts w:ascii="Calibri" w:cs="Calibri" w:eastAsia="Calibri" w:hAnsi="Calibri"/>
          <w:sz w:val="18"/>
          <w:szCs w:val="18"/>
        </w:rPr>
        <w:t xml:space="preserve">; </w:t>
      </w:r>
      <w:hyperlink w:history="1" r:id="rIdvanolbbbcxwkiq5qcdxon">
        <w:r>
          <w:rPr>
            <w:rStyle w:val="Hyperlink"/>
            <w:rFonts w:ascii="Calibri" w:cs="Calibri" w:eastAsia="Calibri" w:hAnsi="Calibri"/>
            <w:sz w:val="18"/>
            <w:szCs w:val="18"/>
          </w:rPr>
          <w:t xml:space="preserve">Clinical Social Work Association CY2024 summary</w:t>
        </w:r>
      </w:hyperlink>
    </w:p>
    <w:p>
      <w:pPr>
        <w:spacing w:after="80"/>
      </w:pPr>
      <w:r>
        <w:rPr>
          <w:rFonts w:ascii="Calibri" w:cs="Calibri" w:eastAsia="Calibri" w:hAnsi="Calibri"/>
          <w:b/>
          <w:bCs/>
          <w:sz w:val="18"/>
          <w:szCs w:val="18"/>
        </w:rPr>
        <w:t xml:space="preserve">[C] </w:t>
      </w:r>
      <w:hyperlink w:history="1" r:id="rIdgknremjfsn6ad0uo1f2y9">
        <w:r>
          <w:rPr>
            <w:rStyle w:val="Hyperlink"/>
            <w:rFonts w:ascii="Calibri" w:cs="Calibri" w:eastAsia="Calibri" w:hAnsi="Calibri"/>
            <w:sz w:val="18"/>
            <w:szCs w:val="18"/>
          </w:rPr>
          <w:t xml:space="preserve">CMS MLN: Behavioral Health Integration Services (2025)</w:t>
        </w:r>
      </w:hyperlink>
    </w:p>
    <w:p>
      <w:pPr>
        <w:spacing w:after="80"/>
      </w:pPr>
      <w:r>
        <w:rPr>
          <w:rFonts w:ascii="Calibri" w:cs="Calibri" w:eastAsia="Calibri" w:hAnsi="Calibri"/>
          <w:b/>
          <w:bCs/>
          <w:sz w:val="18"/>
          <w:szCs w:val="18"/>
        </w:rPr>
        <w:t xml:space="preserve">[D] </w:t>
      </w:r>
      <w:hyperlink w:history="1" r:id="rIdllvqpafugkp4tiwrn_nsp">
        <w:r>
          <w:rPr>
            <w:rStyle w:val="Hyperlink"/>
            <w:rFonts w:ascii="Calibri" w:cs="Calibri" w:eastAsia="Calibri" w:hAnsi="Calibri"/>
            <w:sz w:val="18"/>
            <w:szCs w:val="18"/>
          </w:rPr>
          <w:t xml:space="preserve">NASW: Safety Planning and Follow-Up Interventions for Clinical Social Workers (2025)</w:t>
        </w:r>
      </w:hyperlink>
    </w:p>
    <w:p>
      <w:pPr>
        <w:spacing w:after="80"/>
      </w:pPr>
      <w:r>
        <w:rPr>
          <w:rFonts w:ascii="Calibri" w:cs="Calibri" w:eastAsia="Calibri" w:hAnsi="Calibri"/>
          <w:b/>
          <w:bCs/>
          <w:sz w:val="18"/>
          <w:szCs w:val="18"/>
        </w:rPr>
        <w:t xml:space="preserve">Other: </w:t>
      </w:r>
      <w:hyperlink w:history="1" r:id="rIdes-vzjdg7zh-smn74yclt">
        <w:r>
          <w:rPr>
            <w:rStyle w:val="Hyperlink"/>
            <w:rFonts w:ascii="Calibri" w:cs="Calibri" w:eastAsia="Calibri" w:hAnsi="Calibri"/>
            <w:sz w:val="18"/>
            <w:szCs w:val="18"/>
          </w:rPr>
          <w:t xml:space="preserve">Partnership HealthPlan policy CLPM-28</w:t>
        </w:r>
      </w:hyperlink>
      <w:r>
        <w:rPr>
          <w:rFonts w:ascii="Calibri" w:cs="Calibri" w:eastAsia="Calibri" w:hAnsi="Calibri"/>
          <w:sz w:val="18"/>
          <w:szCs w:val="18"/>
        </w:rPr>
        <w:t xml:space="preserve">; </w:t>
      </w:r>
      <w:hyperlink w:history="1" r:id="rId7dy58mzkyw38ge2otdun3">
        <w:r>
          <w:rPr>
            <w:rStyle w:val="Hyperlink"/>
            <w:rFonts w:ascii="Calibri" w:cs="Calibri" w:eastAsia="Calibri" w:hAnsi="Calibri"/>
            <w:sz w:val="18"/>
            <w:szCs w:val="18"/>
          </w:rPr>
          <w:t xml:space="preserve">CMS Physician Fee Schedule Look-Up Tool</w:t>
        </w:r>
      </w:hyperlink>
      <w:r>
        <w:rPr>
          <w:rFonts w:ascii="Calibri" w:cs="Calibri" w:eastAsia="Calibri" w:hAnsi="Calibri"/>
          <w:sz w:val="18"/>
          <w:szCs w:val="18"/>
        </w:rPr>
        <w:t xml:space="preserve">; </w:t>
      </w:r>
      <w:hyperlink w:history="1" r:id="rIdzmrz2zme-z61xjurjlewt">
        <w:r>
          <w:rPr>
            <w:rStyle w:val="Hyperlink"/>
            <w:rFonts w:ascii="Calibri" w:cs="Calibri" w:eastAsia="Calibri" w:hAnsi="Calibri"/>
            <w:sz w:val="18"/>
            <w:szCs w:val="18"/>
          </w:rPr>
          <w:t xml:space="preserve">Noridian JE Part B fee schedules</w:t>
        </w:r>
      </w:hyperlink>
    </w:p>
    <w:p>
      <w:pPr>
        <w:spacing w:after="80"/>
      </w:pPr>
      <w:r>
        <w:rPr>
          <w:rFonts w:ascii="Calibri" w:cs="Calibri" w:eastAsia="Calibri" w:hAnsi="Calibri"/>
          <w:i/>
          <w:iCs/>
          <w:sz w:val="16"/>
          <w:szCs w:val="16"/>
        </w:rPr>
        <w:t xml:space="preserve">Limits: Medicare coverage rules come from the CMS manuals. The 2023–2025 code additions come from CMS and professional-association summaries, not the Federal Register text. This document is a reference, not legal or payer advice; payer contracts and policies control.</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LCSW Payer Code Matrix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abvzazv7utgy_1cra0__" Type="http://schemas.openxmlformats.org/officeDocument/2006/relationships/hyperlink" Target="https://www.cms.gov/Regulations-and-Guidance/Guidance/Manuals/downloads/bp102c15.pdf" TargetMode="External"/><Relationship Id="rIdnbsbdhlioogxaxs7uf8je" Type="http://schemas.openxmlformats.org/officeDocument/2006/relationships/hyperlink" Target="https://www.cms.gov/Regulations-and-Guidance/Guidance/Manuals/downloads/clm104c12.pdf" TargetMode="External"/><Relationship Id="rIdijlxs7veux1xmy2kkeyb3" Type="http://schemas.openxmlformats.org/officeDocument/2006/relationships/hyperlink" Target="https://www.socialworkers.org/Practice/Tips-and-Tools-for-Social-Workers/Highlights-for-Social-Workers-in-the-Medicare-2024-Physician-Fee-Schedule" TargetMode="External"/><Relationship Id="rIdvanolbbbcxwkiq5qcdxon" Type="http://schemas.openxmlformats.org/officeDocument/2006/relationships/hyperlink" Target="https://clinicalsocialworkassociation.org/alerts/13445000" TargetMode="External"/><Relationship Id="rIdgknremjfsn6ad0uo1f2y9" Type="http://schemas.openxmlformats.org/officeDocument/2006/relationships/hyperlink" Target="https://www.hhs.gov/guidance/sites/default/files/hhs-guidance-documents/CMS/mln909432_bhi_services_2025_508_final.pdf" TargetMode="External"/><Relationship Id="rIdllvqpafugkp4tiwrn_nsp" Type="http://schemas.openxmlformats.org/officeDocument/2006/relationships/hyperlink" Target="https://socialworkers.org/Practice/Tips-and-Tools-for-Social-Workers/Reimbursement-for-Safety-Planning-and-Follow-Up-Interventions-Available-for-use-by-Clinical-Social-Workers-in-2025" TargetMode="External"/><Relationship Id="rIdes-vzjdg7zh-smn74yclt" Type="http://schemas.openxmlformats.org/officeDocument/2006/relationships/hyperlink" Target="https://public.powerdms.com/PHC/documents/3548956" TargetMode="External"/><Relationship Id="rId7dy58mzkyw38ge2otdun3" Type="http://schemas.openxmlformats.org/officeDocument/2006/relationships/hyperlink" Target="https://www.cms.gov/medicare/physician-fee-schedule/search" TargetMode="External"/><Relationship Id="rIdzmrz2zme-z61xjurjlewt" Type="http://schemas.openxmlformats.org/officeDocument/2006/relationships/hyperlink" Target="https://med.noridianmedicare.com/web/jeb/fees-news/fee-schedules/mpf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2026-10-13T19:06:32.926Z</dcterms:created>
  <dcterms:modified xsi:type="dcterms:W3CDTF">2026-10-13T19:06:32.926Z</dcterms:modified>
</cp:coreProperties>
</file>

<file path=docProps/custom.xml><?xml version="1.0" encoding="utf-8"?>
<Properties xmlns="http://schemas.openxmlformats.org/officeDocument/2006/custom-properties" xmlns:vt="http://schemas.openxmlformats.org/officeDocument/2006/docPropsVTypes"/>
</file>