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0"/>
        </w:rPr>
        <w:t>Jurisynth Messy AI Medical Smoke Test</w:t>
      </w:r>
    </w:p>
    <w:p>
      <w:pPr>
        <w:spacing w:after="240"/>
      </w:pPr>
      <w:r>
        <w:rPr>
          <w:rFonts w:ascii="Aptos" w:hAnsi="Aptos"/>
          <w:b w:val="0"/>
          <w:color w:val="4F4F4F"/>
          <w:sz w:val="20"/>
        </w:rPr>
        <w:t>Professor briefing report  |  Temporary live compatibility run using NVIDIA Nemotron Super</w:t>
      </w:r>
    </w:p>
    <w:p>
      <w:pPr>
        <w:spacing w:after="120" w:line="269" w:lineRule="auto"/>
      </w:pPr>
      <w:r>
        <w:rPr>
          <w:rFonts w:ascii="Aptos" w:hAnsi="Aptos"/>
          <w:b w:val="0"/>
          <w:color w:val="000000"/>
          <w:sz w:val="21"/>
        </w:rPr>
        <w:t>This smoke completed with status SUCCESS. It exercised the full Jurisynth path from query decomposition through retrieval, leaf-level evidence-grounded answering, contradiction handling, and final synthesis. The run produced 4 leaves, 0 claims, no failed leaves, and no retrieval exceptions in 281.50 seconds.</w:t>
      </w:r>
    </w:p>
    <w:p>
      <w:pPr>
        <w:spacing w:after="120" w:line="269" w:lineRule="auto"/>
      </w:pPr>
      <w:r>
        <w:rPr>
          <w:rFonts w:ascii="Aptos" w:hAnsi="Aptos"/>
          <w:b w:val="0"/>
          <w:color w:val="000000"/>
          <w:sz w:val="21"/>
        </w:rPr>
        <w:t>Interpretation: The EU AI Act and GDPR establish overlapping but distinct regulatory frameworks for AI systems in healthcare, particularly when involving non-EU manufacturers, EU importers, hospitals as deployers, and post-deployment modifications. Based on the provided evidence, there is insufficient information to definitively resolve key questions about provider status, high-risk classification triggers, data reuse for model improvement, or incident reporting responsibilities. The evidence does not clarify whether a non-EU manufacturer automatically retains provider status when selling through an EU importer, whether a hospital can become a provider via fine-tuning, whether medical AI systems are automatically high-risk, how GDPR and the AI Act interact regarding data reuse, or who bears responsibility for detecting and reporting performance degradation in updates. These gaps indicate areas of legal uncertainty where interpretation may depend on future guidance, national implementation, or case law.</w:t>
      </w:r>
    </w:p>
    <w:p>
      <w:pPr>
        <w:spacing w:after="120" w:line="269" w:lineRule="auto"/>
      </w:pPr>
      <w:r>
        <w:rPr>
          <w:rFonts w:ascii="Aptos" w:hAnsi="Aptos"/>
          <w:b/>
          <w:color w:val="000000"/>
          <w:sz w:val="21"/>
        </w:rPr>
        <w:t xml:space="preserve">Scope note: </w:t>
      </w:r>
      <w:r>
        <w:rPr>
          <w:rFonts w:ascii="Aptos" w:hAnsi="Aptos"/>
          <w:b w:val="0"/>
          <w:color w:val="000000"/>
          <w:sz w:val="21"/>
        </w:rPr>
        <w:t>this is an engineering smoke test, not a legal-accuracy evaluation. Retrieval status indicates the pipeline contract, not necessarily complete answer-bearing coverage for a broad legal issue.</w:t>
      </w:r>
    </w:p>
    <w:p>
      <w:pPr>
        <w:pStyle w:val="Heading1"/>
        <w:spacing w:before="240" w:after="100"/>
      </w:pPr>
      <w:r>
        <w:rPr>
          <w:rFonts w:ascii="Aptos" w:hAnsi="Aptos"/>
          <w:b/>
          <w:color w:val="000000"/>
          <w:sz w:val="28"/>
        </w:rPr>
        <w:t>Original user query</w:t>
      </w:r>
    </w:p>
    <w:p>
      <w:pPr>
        <w:spacing w:after="120" w:line="269" w:lineRule="auto"/>
      </w:pPr>
      <w:r>
        <w:rPr>
          <w:rFonts w:ascii="Aptos" w:hAnsi="Aptos"/>
          <w:b w:val="0"/>
          <w:color w:val="000000"/>
          <w:sz w:val="21"/>
        </w:rPr>
        <w:t>m a bit confused about how all of this is supposed to work in practice. Say a hospital in the EU is using an AI medical system made by a company outside the EU, but it’s being sold through an EU importer/distributor, and the system is used to help doctors decide on treatments. It also processes patient health data and maybe biometric data, and the model keeps getting updated after deployment. What I’m trying to figure out is: who is actually responsible for what here? Like, is the non-EU company automatically the provider, does the importer take on some of those responsibilities, and can the hospital itself somehow become the provider if it modifies the system or fine-tunes it later? Also, does the fact that it’s a medical device automatically make it high-risk under the AI Act, or are there extra conditions? I’m also not sure how this overlaps with GDPR. If the hospital or company reuses patient data to improve the model, is that allowed just because they’re already processing the data for healthcare? And does complying with the AI Act make the GDPR side okay too, or are those completely separate things? Then suppose there’s a software update and the system suddenly starts performing worse for one group of patients, but it’s not immediately obvious whether that counts as a serious incident or just a performance problem. Who is supposed to notice this first, who has to report it, and who is responsible for fixing or withdrawing the system? Please work through this step by step, and if different EU laws seem to overlap or point in slightly different directions, don’t just smooth it over. I’d rather know where the uncertainty or conflict actually is.</w:t>
      </w:r>
    </w:p>
    <w:p>
      <w:pPr>
        <w:spacing w:after="120" w:line="269" w:lineRule="auto"/>
      </w:pPr>
      <w:r>
        <w:rPr>
          <w:rFonts w:ascii="Aptos" w:hAnsi="Aptos"/>
          <w:b w:val="0"/>
          <w:color w:val="000000"/>
          <w:sz w:val="21"/>
        </w:rPr>
        <w:t>Scenario context: Hospital in the EU uses an AI medical system developed by a non-EU company; System is sold into the EU via an EU importer/distributor; System assists doctors in treatment decisions; System processes patient health data and possibly biometric data; Model receives post-deployment updates; Questions about responsibility allocation under the EU AI Act; Questions about whether the system is automatically high-risk as a medical device; Questions about GDPR compliance when reusing patient data for model improvement; Questions about overlap and interaction between AI Act and GDPR obligations; Scenario involving post-update performance degradation affecting a patient group; Uncertainty about incident classification, reporting duties, and remediation responsibility</w:t>
      </w:r>
    </w:p>
    <w:p>
      <w:pPr>
        <w:pStyle w:val="Heading1"/>
        <w:spacing w:before="240" w:after="100"/>
      </w:pPr>
      <w:r>
        <w:rPr>
          <w:rFonts w:ascii="Aptos" w:hAnsi="Aptos"/>
          <w:b/>
          <w:color w:val="000000"/>
          <w:sz w:val="28"/>
        </w:rPr>
        <w:t>Decomposition and scheduling</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w:t>
            </w:r>
          </w:p>
        </w:tc>
        <w:tc>
          <w:tcPr>
            <w:tcW w:type="dxa" w:w="79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Atomic legal question</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Dependencies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q001</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Under the EU AI Act, who is considered the provider of an AI medical system when a non-EU manufacturer sells it through an EU importer/distributor, and can the hospital become a provider by modifying or fine-tuning the system post-deployment?</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q002</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Does the use of an AI system for medical treatment decision-making automatically classify it as high-risk under the EU AI Act, or are additional conditions required for high-risk classification?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q003</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How does the EU AI Act interact with GDPR when patient health or biometric data is processed by an AI medical system, particularly regarding reuse of data for model improvement, and does compliance with one regulation satisfy the other?</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None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q004</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In the event of a software update to an AI medical system that causes worsened performance for a specific patient group, who is responsible for detecting, reporting, and addressing the issue under the EU AI Act, and what criteria determine whether it constitutes a serious incident requiring reporting?</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None</w:t>
            </w:r>
          </w:p>
        </w:tc>
      </w:tr>
    </w:tbl>
    <w:p>
      <w:pPr>
        <w:spacing w:after="60"/>
      </w:pPr>
    </w:p>
    <w:p>
      <w:pPr>
        <w:spacing w:after="120" w:line="269" w:lineRule="auto"/>
      </w:pPr>
      <w:r>
        <w:rPr>
          <w:rFonts w:ascii="Aptos" w:hAnsi="Aptos"/>
          <w:b w:val="0"/>
          <w:color w:val="000000"/>
          <w:sz w:val="21"/>
        </w:rPr>
        <w:t>All leaves had no explicit prerequisites. The deterministic scheduler therefore treated them as independently runnable and executed them in parallel subject to its worker capacity.</w:t>
      </w:r>
    </w:p>
    <w:p>
      <w:pPr>
        <w:pStyle w:val="Heading1"/>
        <w:spacing w:before="240" w:after="100"/>
      </w:pPr>
      <w:r>
        <w:rPr>
          <w:rFonts w:ascii="Aptos" w:hAnsi="Aptos"/>
          <w:b/>
          <w:color w:val="000000"/>
          <w:sz w:val="28"/>
        </w:rPr>
        <w:t>Retrieval and leaf answer outcomes</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605"/>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Retrieval</w:t>
            </w:r>
          </w:p>
        </w:tc>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Evidence</w:t>
            </w:r>
          </w:p>
        </w:tc>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Tables</w:t>
            </w:r>
          </w:p>
        </w:tc>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Claims</w:t>
            </w:r>
          </w:p>
        </w:tc>
        <w:tc>
          <w:tcPr>
            <w:tcW w:type="dxa" w:w="6595"/>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ptos" w:hAnsi="Aptos"/>
                <w:b/>
                <w:color w:val="FFFFFF"/>
                <w:sz w:val="18"/>
              </w:rPr>
              <w:t>Leaf conclusion</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13</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The provided evidence does not contain sufficient information to determine who is considered the provider of an AI medical system under the EU AI Act when a non-EU manufacturer sells it through an EU importer/distributor, nor whether a hospital can become a provider by modifying or fine-tuning the system post-deployment. While the evidence includes references to providers, authorised representatives, and obligations related to high-risk AI systems, it does not explicitly define the provider in the context of non-EU manufacturers using EU importers/distributors, nor does it address the conditions under which a hospital (as a deployer) may become a provider through post-deployment modifications.</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29</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The provided evidence does not contain any information about the EU AI Act, high-risk AI systems, or medical treatment decision-making. Therefore, it is not possible to determine whether the use of an AI system for medical treatment decision-making automatically classifies it as high-risk under the EU AI Act or if additional conditions are required.</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q003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12</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line="240" w:lineRule="auto"/>
              <w:jc w:val="left"/>
            </w:pPr>
            <w:r>
              <w:rPr>
                <w:rFonts w:ascii="Aptos" w:hAnsi="Aptos"/>
                <w:b w:val="0"/>
                <w:color w:val="000000"/>
                <w:sz w:val="17"/>
              </w:rPr>
              <w:t>The provided evidence does not contain sufficient information to determine how the EU AI Act interacts with GDPR regarding the reuse of patient health or biometric data for model improvement in AI medical systems, nor whether compliance with one regulation satisfies the other. While the evidence includes definitions of biometric data and remote biometric identification systems under the AI Act, and references to GDPR compliance in conformity declarations, it lacks specific provisions on data reuse for model improvement, the legal basis for such processing under GDPR, or explicit interaction rules between the two regulations in this context.</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q004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success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23</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center"/>
            </w:pPr>
            <w:r>
              <w:rPr>
                <w:rFonts w:ascii="Aptos" w:hAnsi="Aptos"/>
                <w:b w:val="0"/>
                <w:color w:val="000000"/>
                <w:sz w:val="17"/>
              </w:rPr>
              <w:t>5</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0</w:t>
            </w:r>
          </w:p>
        </w:tc>
        <w:tc>
          <w:tcPr>
            <w:tcW w:type="dxa" w:w="6595"/>
            <w:tcBorders>
              <w:top w:val="single" w:sz="4" w:color="D9D9D9"/>
              <w:left w:val="single" w:sz="4" w:color="D9D9D9"/>
              <w:bottom w:val="single" w:sz="4" w:color="D9D9D9"/>
              <w:right w:val="single" w:sz="4" w:color="D9D9D9"/>
              <w:insideH w:val="single" w:sz="4" w:color="D9D9D9"/>
              <w:insideV w:val="single" w:sz="4" w:color="D9D9D9"/>
            </w:tcBorders>
            <w:vAlign w:val="center"/>
            <w:shd w:fill="F4F7FA"/>
          </w:tcPr>
          <w:p>
            <w:pPr>
              <w:spacing w:after="40" w:before="40" w:line="240" w:lineRule="auto"/>
              <w:jc w:val="left"/>
            </w:pPr>
            <w:r>
              <w:rPr>
                <w:rFonts w:ascii="Aptos" w:hAnsi="Aptos"/>
                <w:b w:val="0"/>
                <w:color w:val="000000"/>
                <w:sz w:val="17"/>
              </w:rPr>
              <w:t>The provided evidence does not contain sufficient information to determine who is responsible for detecting, reporting, and addressing worsened performance of an AI medical system update for a specific patient group under the EU AI Act, nor what criteria define a serious incident requiring reporting in this context. While evidence E_d733bf21cdffb64c and E_9663cbb18e908292 discuss reporting timelines and provider/deployer obligations for serious incidents, they do not specify responsibility for detecting performance degradation in updates, nor do they define the criteria for what constitutes a serious incident (e.g., linking worsened performance in a patient group to death, serious harm, or other thresholds). The remaining evidence pertains to pharmaceutical market definitions and interchangeability, which is irrelevant to the query.</w:t>
            </w:r>
          </w:p>
        </w:tc>
      </w:tr>
    </w:tbl>
    <w:p>
      <w:pPr>
        <w:spacing w:after="60"/>
      </w:pPr>
    </w:p>
    <w:p>
      <w:pPr>
        <w:pStyle w:val="Heading1"/>
        <w:spacing w:before="240" w:after="100"/>
      </w:pPr>
      <w:r>
        <w:rPr>
          <w:rFonts w:ascii="Aptos" w:hAnsi="Aptos"/>
          <w:b/>
          <w:color w:val="000000"/>
          <w:sz w:val="28"/>
        </w:rPr>
        <w:t>Final synthesis and grounding observations</w:t>
      </w:r>
    </w:p>
    <w:p>
      <w:pPr>
        <w:spacing w:after="120" w:line="269" w:lineRule="auto"/>
      </w:pPr>
      <w:r>
        <w:rPr>
          <w:rFonts w:ascii="Aptos" w:hAnsi="Aptos"/>
          <w:b w:val="0"/>
          <w:color w:val="000000"/>
          <w:sz w:val="21"/>
        </w:rPr>
        <w:t>The EU AI Act and GDPR establish overlapping but distinct regulatory frameworks for AI systems in healthcare, particularly when involving non-EU manufacturers, EU importers, hospitals as deployers, and post-deployment modifications. Based on the provided evidence, there is insufficient information to definitively resolve key questions about provider status, high-risk classification triggers, data reuse for model improvement, or incident reporting responsibilities. The evidence does not clarify whether a non-EU manufacturer automatically retains provider status when selling through an EU importer, whether a hospital can become a provider via fine-tuning, whether medical AI systems are automatically high-risk, how GDPR and the AI Act interact regarding data reuse, or who bears responsibility for detecting and reporting performance degradation in updates. These gaps indicate areas of legal uncertainty where interpretation may depend on future guidance, national implementation, or case law.</w:t>
      </w:r>
    </w:p>
    <w:p>
      <w:pPr>
        <w:pStyle w:val="Heading2"/>
        <w:spacing w:after="60" w:line="269" w:lineRule="auto"/>
      </w:pPr>
      <w:r>
        <w:rPr>
          <w:rFonts w:ascii="Aptos" w:hAnsi="Aptos"/>
          <w:b w:val="0"/>
          <w:color w:val="000000"/>
          <w:sz w:val="21"/>
        </w:rPr>
        <w:t>Provider Status and Role of Importers under the EU AI Act</w:t>
      </w:r>
    </w:p>
    <w:p>
      <w:pPr>
        <w:spacing w:after="120" w:line="269" w:lineRule="auto"/>
      </w:pPr>
      <w:r>
        <w:rPr>
          <w:rFonts w:ascii="Aptos" w:hAnsi="Aptos"/>
          <w:b w:val="0"/>
          <w:color w:val="000000"/>
          <w:sz w:val="21"/>
        </w:rPr>
        <w:t>The evidence does not specify whether a non-EU manufacturer is automatically considered the provider when selling an AI medical system through an EU importer/distributor, nor does it address whether the importer assumes provider-like obligations. Furthermore, there is no information on whether a hospital (as a deployer) can become a provider by modifying or fine-tuning the system post-deployment. While the AI Act defines providers and authorised representatives, and outlines obligations for high-risk AI systems, it does not, in the supplied evidence, clarify the transfer or assumption of provider status in the context of EU importers or post-deployment modifications by deployers.</w:t>
      </w:r>
    </w:p>
    <w:p>
      <w:pPr>
        <w:pStyle w:val="Heading2"/>
        <w:spacing w:after="60" w:line="269" w:lineRule="auto"/>
      </w:pPr>
      <w:r>
        <w:rPr>
          <w:rFonts w:ascii="Aptos" w:hAnsi="Aptos"/>
          <w:b w:val="0"/>
          <w:color w:val="000000"/>
          <w:sz w:val="21"/>
        </w:rPr>
        <w:t>High-Risk Classification of AI Systems for Medical Treatment Decision-Making</w:t>
      </w:r>
    </w:p>
    <w:p>
      <w:pPr>
        <w:spacing w:after="120" w:line="269" w:lineRule="auto"/>
      </w:pPr>
      <w:r>
        <w:rPr>
          <w:rFonts w:ascii="Aptos" w:hAnsi="Aptos"/>
          <w:b w:val="0"/>
          <w:color w:val="000000"/>
          <w:sz w:val="21"/>
        </w:rPr>
        <w:t>The provided evidence contains no information about the EU AI Act’s criteria for high-risk AI systems, nor does it address whether using an AI system to assist in medical treatment decision-making automatically triggers high-risk classification. Therefore, it is impossible to determine from the evidence whether additional conditions (such as intended purpose, risk level, or integration with medical devices) are required for high-risk status in this context.</w:t>
      </w:r>
    </w:p>
    <w:p>
      <w:pPr>
        <w:pStyle w:val="Heading2"/>
        <w:spacing w:after="60" w:line="269" w:lineRule="auto"/>
      </w:pPr>
      <w:r>
        <w:rPr>
          <w:rFonts w:ascii="Aptos" w:hAnsi="Aptos"/>
          <w:b w:val="0"/>
          <w:color w:val="000000"/>
          <w:sz w:val="21"/>
        </w:rPr>
        <w:t>Interaction Between the EU AI Act and GDPR Regarding Data Reuse for Model Improvement</w:t>
      </w:r>
    </w:p>
    <w:p>
      <w:pPr>
        <w:spacing w:after="120" w:line="269" w:lineRule="auto"/>
      </w:pPr>
      <w:r>
        <w:rPr>
          <w:rFonts w:ascii="Aptos" w:hAnsi="Aptos"/>
          <w:b w:val="0"/>
          <w:color w:val="000000"/>
          <w:sz w:val="21"/>
        </w:rPr>
        <w:t>The evidence does not specify how the EU AI Act and GDPR interact when patient health or biometric data is reused to improve an AI medical system’s model. While it references definitions of biometric data under the AI Act and mentions GDPR compliance in conformity declarations, it lacks provisions on the legal basis for data reuse under GDPR (e.g., consent, public interest, or research exceptions), purpose limitation, or whether compliance with one regulation satisfies obligations under the other. Consequently, it remains unclear whether reusing patient data for model improvement is permitted solely because the data was originally processed for healthcare, or whether additional safeguards or legal bases are required under GDPR, independent of AI Act compliance.</w:t>
      </w:r>
    </w:p>
    <w:p>
      <w:pPr>
        <w:pStyle w:val="Heading2"/>
        <w:spacing w:after="60" w:line="269" w:lineRule="auto"/>
      </w:pPr>
      <w:r>
        <w:rPr>
          <w:rFonts w:ascii="Aptos" w:hAnsi="Aptos"/>
          <w:b w:val="0"/>
          <w:color w:val="000000"/>
          <w:sz w:val="21"/>
        </w:rPr>
        <w:t>Responsibility for Detecting, Reporting, and Addressing Performance Degradation in AI System Updates</w:t>
      </w:r>
    </w:p>
    <w:p>
      <w:pPr>
        <w:spacing w:after="120" w:line="269" w:lineRule="auto"/>
      </w:pPr>
      <w:r>
        <w:rPr>
          <w:rFonts w:ascii="Aptos" w:hAnsi="Aptos"/>
          <w:b w:val="0"/>
          <w:color w:val="000000"/>
          <w:sz w:val="21"/>
        </w:rPr>
        <w:t>The evidence does not establish who is responsible for detecting worsened performance in a specific patient group following a software update, nor does it define the criteria that would classify such degradation as a 'serious incident' requiring reporting under the EU AI Act. Although some evidence references reporting timelines and obligations for providers and deployers in the event of serious incidents, it does not link performance deterioration in updates to incident thresholds (e.g., death, serious harm, or irreversible health impacts). As a result, responsibility for monitoring, reporting, and mitigating such issues cannot be determined from the supplied information.</w:t>
      </w:r>
    </w:p>
    <w:p>
      <w:pPr>
        <w:pStyle w:val="Heading1"/>
        <w:spacing w:before="240" w:after="100"/>
      </w:pPr>
      <w:r>
        <w:rPr>
          <w:rFonts w:ascii="Aptos" w:hAnsi="Aptos"/>
          <w:b/>
          <w:color w:val="000000"/>
          <w:sz w:val="28"/>
        </w:rPr>
        <w:t>Trace and limitations</w:t>
      </w:r>
    </w:p>
    <w:p>
      <w:pPr>
        <w:spacing w:after="120" w:line="269" w:lineRule="auto"/>
      </w:pPr>
      <w:r>
        <w:rPr>
          <w:rFonts w:ascii="Aptos" w:hAnsi="Aptos"/>
          <w:b w:val="0"/>
          <w:color w:val="000000"/>
          <w:sz w:val="21"/>
        </w:rPr>
        <w:t>Model: NVIDIA Nemotron Super. Total wall time: 281.50 seconds. The run returned 0 failed leaves and 0 retrieval errors.</w:t>
      </w:r>
    </w:p>
    <w:p>
      <w:pPr>
        <w:spacing w:after="120" w:line="269" w:lineRule="auto"/>
      </w:pPr>
      <w:r>
        <w:rPr>
          <w:rFonts w:ascii="Aptos" w:hAnsi="Aptos"/>
          <w:b w:val="0"/>
          <w:color w:val="000000"/>
          <w:sz w:val="21"/>
        </w:rPr>
        <w:t>Provenance is carried through the evidence IDs retained in each leaf answer. This briefing condenses those IDs and source excerpts for readability; the full machine-readable trace remains in the corresponding JSON run artifact and reasoning log.</w:t>
      </w:r>
    </w:p>
    <w:p>
      <w:pPr>
        <w:spacing w:after="120" w:line="269" w:lineRule="auto"/>
      </w:pPr>
      <w:r>
        <w:rPr>
          <w:rFonts w:ascii="Aptos" w:hAnsi="Aptos"/>
          <w:b w:val="0"/>
          <w:color w:val="000000"/>
          <w:sz w:val="21"/>
        </w:rPr>
        <w:t>The messy wording condensed the scenario into four broader issues. The system completed cleanly but abstained on all of them because the retrieved material did not support the scenario-specific legal conclusions.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Jurisynth smoke-test briefing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